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color w:val="617E89"/>
          <w:sz w:val="17"/>
        </w:rPr>
        <w:t>DIKWP / OPERATOR + ENGINEERING MANUAL</w:t>
      </w:r>
    </w:p>
    <w:p>
      <w:pPr>
        <w:pStyle w:val="Title"/>
      </w:pPr>
      <w:r>
        <w:t>ASCENT 0.2.0</w:t>
        <w:br/>
        <w:t>研究执行系统</w:t>
      </w:r>
    </w:p>
    <w:p>
      <w:r>
        <w:t>证据约束型ASI研究、冻结模型推理与可撤销演化内核</w:t>
      </w:r>
    </w:p>
    <w:p>
      <w:r>
        <w:t>交付日期：2026年9月8日｜许可证：Apache-2.0｜版本：0.2.0</w:t>
      </w:r>
    </w:p>
    <w:p>
      <w:pPr>
        <w:pStyle w:val="Heading2"/>
      </w:pPr>
      <w:r>
        <w:t>交付定位</w:t>
      </w:r>
    </w:p>
    <w:p>
      <w:r>
        <w:t>这是一套已经运行的有限研究系统：提出数据型候选、拟合或执行策略、检验多个数据世界、比较更强参考、保存失败、经本地审核采用版本，再执行预测、监测、停止和回退。它不包含基础模型权重，也没有证明达到人工超级智能。</w:t>
      </w:r>
    </w:p>
    <w:p>
      <w:pPr>
        <w:pStyle w:val="Heading2"/>
      </w:pPr>
      <w:r>
        <w:t>这一版具体新增</w:t>
      </w:r>
    </w:p>
    <w:p>
      <w:r>
        <w:t>真实本地控制台；旧模型冻结参数比较；强参考逐世界采用门；采用后的直接推理；新观测漂移检查；预声明批量实验；明确分割的CSV导入；外部模型的文件候选接口。</w:t>
      </w:r>
    </w:p>
    <w:p>
      <w:pPr>
        <w:pStyle w:val="Heading2"/>
      </w:pPr>
      <w:r>
        <w:t>三条阅读路径</w:t>
      </w:r>
    </w:p>
    <w:p>
      <w:r>
        <w:t>立即使用：第2—3页。理解如何研究与采用：第4—8页。接入数据、批量复现、排查和安全部署：第9—16页。</w:t>
      </w:r>
    </w:p>
    <w:p>
      <w:r>
        <w:t>参考结果为公开合成数据上的实际计算，不是现实科研成果、真人批准、独立盲测、监管认证或远端GitHub发布。报告只把已执行的检查记为完成。</w:t>
      </w:r>
    </w:p>
    <w:p>
      <w:pPr>
        <w:spacing w:before="60" w:after="180" w:line="259" w:lineRule="auto"/>
        <w:shd w:fill="EEF4F6"/>
      </w:pPr>
      <w:r>
        <w:rPr>
          <w:rFonts w:ascii="DejaVu Sans Mono" w:hAnsi="DejaVu Sans Mono" w:eastAsia="Noto Sans Mono CJK SC"/>
          <w:sz w:val="16"/>
        </w:rPr>
        <w:t>Research → Verify → Inspect → Approve → Activate</w:t>
        <w:br/>
        <w:t xml:space="preserve">                     ↓</w:t>
        <w:br/>
        <w:t xml:space="preserve">           Infer → Monitor → Stop / Roll back</w:t>
      </w:r>
    </w:p>
    <w:p>
      <w:r>
        <w:br w:type="page"/>
      </w:r>
    </w:p>
    <w:p>
      <w:pPr>
        <w:spacing w:after="180"/>
      </w:pPr>
      <w:r>
        <w:rPr>
          <w:color w:val="617E89"/>
          <w:sz w:val="17"/>
        </w:rPr>
        <w:t>START WITH THE ACTUAL RUNTIME</w:t>
      </w:r>
    </w:p>
    <w:p>
      <w:pPr>
        <w:pStyle w:val="Heading1"/>
      </w:pPr>
      <w:r>
        <w:t>01 / 交付目录与安装</w:t>
      </w:r>
    </w:p>
    <w:p>
      <w:r>
        <w:t>最直接的运行方式是PYZ：它是一个Python可执行压缩包，不需要先安装本项目。请先安装Python 3.10或以上版本。内置数值实验只使用CPU，无需GPU、API密钥和云账号。</w:t>
      </w:r>
    </w:p>
    <w:p>
      <w:pPr>
        <w:spacing w:before="60" w:after="180" w:line="259" w:lineRule="auto"/>
        <w:shd w:fill="EEF4F6"/>
      </w:pPr>
      <w:r>
        <w:rPr>
          <w:rFonts w:ascii="DejaVu Sans Mono" w:hAnsi="DejaVu Sans Mono" w:eastAsia="Noto Sans Mono CJK SC"/>
          <w:sz w:val="16"/>
        </w:rPr>
        <w:t>python DIKWP_ASCENT_v0.2.0.pyz doctor</w:t>
        <w:br/>
        <w:t>python DIKWP_ASCENT_v0.2.0.pyz serve workspace --port 8765</w:t>
      </w:r>
    </w:p>
    <w:p>
      <w:r>
        <w:t>浏览器打开 http://127.0.0.1:8765。doctor应显示版本0.2.0、console_resource_present=true和空的runtime_dependencies。服务保持在前台；按Ctrl+C结束时会尝试停止控制器。</w:t>
      </w:r>
    </w:p>
    <w:tbl>
      <w:tblPr>
        <w:tblStyle w:val="LightShading-Accent1"/>
        <w:tblW w:type="auto" w:w="0"/>
        <w:tblLayout w:type="fixed"/>
        <w:tblLook w:firstColumn="1" w:firstRow="1" w:lastColumn="0" w:lastRow="0" w:noHBand="0" w:noVBand="1" w:val="04A0"/>
      </w:tblPr>
      <w:tblGrid>
        <w:gridCol w:w="4819"/>
        <w:gridCol w:w="4819"/>
      </w:tblGrid>
      <w:tr>
        <w:trPr>
          <w:tblHeader/>
          <w:cantSplit/>
        </w:trPr>
        <w:tc>
          <w:tcPr>
            <w:tcW w:type="dxa" w:w="4819"/>
          </w:tcPr>
          <w:p>
            <w:pPr>
              <w:spacing w:after="100" w:before="100" w:line="264" w:lineRule="auto"/>
            </w:pPr>
            <w:r>
              <w:rPr>
                <w:sz w:val="18"/>
              </w:rPr>
              <w:t>文件或目录</w:t>
            </w:r>
          </w:p>
        </w:tc>
        <w:tc>
          <w:tcPr>
            <w:tcW w:type="dxa" w:w="4819"/>
          </w:tcPr>
          <w:p>
            <w:pPr>
              <w:spacing w:after="100" w:before="100" w:line="264" w:lineRule="auto"/>
            </w:pPr>
            <w:r>
              <w:rPr>
                <w:sz w:val="18"/>
              </w:rPr>
              <w:t>作用</w:t>
            </w:r>
          </w:p>
        </w:tc>
      </w:tr>
      <w:tr>
        <w:trPr>
          <w:cantSplit/>
        </w:trPr>
        <w:tc>
          <w:tcPr>
            <w:tcW w:type="dxa" w:w="4819"/>
          </w:tcPr>
          <w:p>
            <w:pPr>
              <w:spacing w:after="100" w:before="100" w:line="264" w:lineRule="auto"/>
            </w:pPr>
            <w:r>
              <w:rPr>
                <w:sz w:val="18"/>
              </w:rPr>
              <w:t>DIKWP_ASCENT_v0.2.0.pyz</w:t>
            </w:r>
          </w:p>
        </w:tc>
        <w:tc>
          <w:tcPr>
            <w:tcW w:type="dxa" w:w="4819"/>
          </w:tcPr>
          <w:p>
            <w:pPr>
              <w:spacing w:after="100" w:before="100" w:line="264" w:lineRule="auto"/>
            </w:pPr>
            <w:r>
              <w:rPr>
                <w:sz w:val="18"/>
              </w:rPr>
              <w:t>独立Python入口；所有CLI功能可用</w:t>
            </w:r>
          </w:p>
        </w:tc>
      </w:tr>
      <w:tr>
        <w:trPr>
          <w:cantSplit/>
        </w:trPr>
        <w:tc>
          <w:tcPr>
            <w:tcW w:type="dxa" w:w="4819"/>
          </w:tcPr>
          <w:p>
            <w:pPr>
              <w:spacing w:after="100" w:before="100" w:line="264" w:lineRule="auto"/>
            </w:pPr>
            <w:r>
              <w:rPr>
                <w:sz w:val="18"/>
              </w:rPr>
              <w:t>dikwp_ascent-0.2.0-py3-none-any.whl</w:t>
            </w:r>
          </w:p>
        </w:tc>
        <w:tc>
          <w:tcPr>
            <w:tcW w:type="dxa" w:w="4819"/>
          </w:tcPr>
          <w:p>
            <w:pPr>
              <w:spacing w:after="100" w:before="100" w:line="264" w:lineRule="auto"/>
            </w:pPr>
            <w:r>
              <w:rPr>
                <w:sz w:val="18"/>
              </w:rPr>
              <w:t>标准Python安装包，安装后命令名ascent</w:t>
            </w:r>
          </w:p>
        </w:tc>
      </w:tr>
      <w:tr>
        <w:trPr>
          <w:cantSplit/>
        </w:trPr>
        <w:tc>
          <w:tcPr>
            <w:tcW w:type="dxa" w:w="4819"/>
          </w:tcPr>
          <w:p>
            <w:pPr>
              <w:spacing w:after="100" w:before="100" w:line="264" w:lineRule="auto"/>
            </w:pPr>
            <w:r>
              <w:rPr>
                <w:sz w:val="18"/>
              </w:rPr>
              <w:t>SOURCE.zip / Git Bundle</w:t>
            </w:r>
          </w:p>
        </w:tc>
        <w:tc>
          <w:tcPr>
            <w:tcW w:type="dxa" w:w="4819"/>
          </w:tcPr>
          <w:p>
            <w:pPr>
              <w:spacing w:after="100" w:before="100" w:line="264" w:lineRule="auto"/>
            </w:pPr>
            <w:r>
              <w:rPr>
                <w:sz w:val="18"/>
              </w:rPr>
              <w:t>可检查源码、测试、协议与真实版本历史</w:t>
            </w:r>
          </w:p>
        </w:tc>
      </w:tr>
      <w:tr>
        <w:trPr>
          <w:cantSplit/>
        </w:trPr>
        <w:tc>
          <w:tcPr>
            <w:tcW w:type="dxa" w:w="4819"/>
          </w:tcPr>
          <w:p>
            <w:pPr>
              <w:spacing w:after="100" w:before="100" w:line="264" w:lineRule="auto"/>
            </w:pPr>
            <w:r>
              <w:rPr>
                <w:sz w:val="18"/>
              </w:rPr>
              <w:t>RESULTS_v0.2.0.html</w:t>
            </w:r>
          </w:p>
        </w:tc>
        <w:tc>
          <w:tcPr>
            <w:tcW w:type="dxa" w:w="4819"/>
          </w:tcPr>
          <w:p>
            <w:pPr>
              <w:spacing w:after="100" w:before="100" w:line="264" w:lineRule="auto"/>
            </w:pPr>
            <w:r>
              <w:rPr>
                <w:sz w:val="18"/>
              </w:rPr>
              <w:t>离线结果查看器；不是有权限的控制台</w:t>
            </w:r>
          </w:p>
        </w:tc>
      </w:tr>
      <w:tr>
        <w:trPr>
          <w:cantSplit/>
        </w:trPr>
        <w:tc>
          <w:tcPr>
            <w:tcW w:type="dxa" w:w="4819"/>
          </w:tcPr>
          <w:p>
            <w:pPr>
              <w:spacing w:after="100" w:before="100" w:line="264" w:lineRule="auto"/>
            </w:pPr>
            <w:r>
              <w:rPr>
                <w:sz w:val="18"/>
              </w:rPr>
              <w:t>validation/</w:t>
            </w:r>
          </w:p>
        </w:tc>
        <w:tc>
          <w:tcPr>
            <w:tcW w:type="dxa" w:w="4819"/>
          </w:tcPr>
          <w:p>
            <w:pPr>
              <w:spacing w:after="100" w:before="100" w:line="264" w:lineRule="auto"/>
            </w:pPr>
            <w:r>
              <w:rPr>
                <w:sz w:val="18"/>
              </w:rPr>
              <w:t>实验、失败、监测、复现及浏览器检查记录</w:t>
            </w:r>
          </w:p>
        </w:tc>
      </w:tr>
    </w:tbl>
    <w:p>
      <w:pPr>
        <w:spacing w:after="0"/>
      </w:pPr>
    </w:p>
    <w:p>
      <w:pPr>
        <w:pStyle w:val="Heading2"/>
      </w:pPr>
      <w:r>
        <w:t>源码启动</w:t>
      </w:r>
    </w:p>
    <w:p>
      <w:r>
        <w:t>Windows可双击START_ASCENT_WINDOWS.bat；Linux/macOS在源码目录执行./START_ASCENT.sh。脚本仅设置本项目路径并启动Python，不修改系统设置。</w:t>
      </w:r>
    </w:p>
    <w:p>
      <w:pPr>
        <w:spacing w:before="60" w:after="180" w:line="259" w:lineRule="auto"/>
        <w:shd w:fill="EEF4F6"/>
      </w:pPr>
      <w:r>
        <w:rPr>
          <w:rFonts w:ascii="DejaVu Sans Mono" w:hAnsi="DejaVu Sans Mono" w:eastAsia="Noto Sans Mono CJK SC"/>
          <w:sz w:val="16"/>
        </w:rPr>
        <w:t># 安装Wheel后的等价启动</w:t>
        <w:br/>
        <w:t>python -m pip install ./dikwp_ascent-0.2.0-py3-none-any.whl</w:t>
        <w:br/>
        <w:t>ascent serve workspace --port 8765</w:t>
      </w:r>
    </w:p>
    <w:p>
      <w:r>
        <w:t>本次实机环境为Linux、Python 3.13.5和Chromium。Windows/macOS启动器已提供，但未在这两个系统上实机执行。组织策略阻止回环地址时请使用CLI或由管理员审核，不应通过暴露公共端口绕过策略。</w:t>
      </w:r>
    </w:p>
    <w:p>
      <w:r>
        <w:br w:type="page"/>
      </w:r>
    </w:p>
    <w:p>
      <w:pPr>
        <w:spacing w:after="180"/>
      </w:pPr>
      <w:r>
        <w:rPr>
          <w:color w:val="617E89"/>
          <w:sz w:val="17"/>
        </w:rPr>
        <w:t>RUN · INSPECT · ACTIVATE · USE</w:t>
      </w:r>
    </w:p>
    <w:p>
      <w:pPr>
        <w:pStyle w:val="Heading1"/>
      </w:pPr>
      <w:r>
        <w:t>02 / 第一小时操作</w:t>
      </w:r>
    </w:p>
    <w:p>
      <w:pPr>
        <w:pStyle w:val="Heading2"/>
      </w:pPr>
      <w:r>
        <w:t>先做一次完整、独立演示</w:t>
      </w:r>
    </w:p>
    <w:p>
      <w:pPr>
        <w:spacing w:before="60" w:after="180" w:line="259" w:lineRule="auto"/>
        <w:shd w:fill="EEF4F6"/>
      </w:pPr>
      <w:r>
        <w:rPr>
          <w:rFonts w:ascii="DejaVu Sans Mono" w:hAnsi="DejaVu Sans Mono" w:eastAsia="Noto Sans Mono CJK SC"/>
          <w:sz w:val="16"/>
        </w:rPr>
        <w:t>python DIKWP_ASCENT_v0.2.0.pyz walkthrough --output fresh-demo</w:t>
      </w:r>
    </w:p>
    <w:p>
      <w:r>
        <w:t>fresh-demo必须不存在或为空。程序会建立新的合成控制器，执行四类任务，以明确标注的synthetic reviewer完成一次审批演示，再运行预测、重复票据拒绝、漂移提示、停止和回退。不能把这个测试审核者当成现实人员已经批准。</w:t>
      </w:r>
    </w:p>
    <w:p>
      <w:pPr>
        <w:pStyle w:val="Heading2"/>
      </w:pPr>
      <w:r>
        <w:t>然后使用自己的控制台</w:t>
      </w:r>
    </w:p>
    <w:p>
      <w:r>
        <w:t>选择periodic，种子17，候选上限96，每阶段时间预算30秒。点击Run后，后台实际执行研究，界面显示本地任务状态和记录，不只是播放预存动画。</w:t>
      </w:r>
    </w:p>
    <w:p>
      <w:r>
        <w:t>结果出现后点击Inspect。先看每个世界的候选损失、当前模型损失、固定参考损失，以及不可采用理由。只有REVIEWABLE记录才提供Approve；批准后仍需单独点击Activate。</w:t>
      </w:r>
    </w:p>
    <w:p>
      <w:r>
        <w:t>在“Use the active policy”输入x值，点击Infer。此时执行的是刚采用的冻结参数，不重新搜索、不重新拟合、不请求大模型。随后测试STOP；新推理和研究应被拒绝。</w:t>
      </w:r>
    </w:p>
    <w:tbl>
      <w:tblPr>
        <w:tblStyle w:val="LightShading-Accent1"/>
        <w:tblW w:type="auto" w:w="0"/>
        <w:tblLayout w:type="fixed"/>
        <w:tblLook w:firstColumn="1" w:firstRow="1" w:lastColumn="0" w:lastRow="0" w:noHBand="0" w:noVBand="1" w:val="04A0"/>
      </w:tblPr>
      <w:tblGrid>
        <w:gridCol w:w="4819"/>
        <w:gridCol w:w="4819"/>
      </w:tblGrid>
      <w:tr>
        <w:trPr>
          <w:tblHeader/>
          <w:cantSplit/>
        </w:trPr>
        <w:tc>
          <w:tcPr>
            <w:tcW w:type="dxa" w:w="4819"/>
          </w:tcPr>
          <w:p>
            <w:pPr>
              <w:spacing w:after="100" w:before="100" w:line="264" w:lineRule="auto"/>
            </w:pPr>
            <w:r>
              <w:rPr>
                <w:sz w:val="18"/>
              </w:rPr>
              <w:t>状态</w:t>
            </w:r>
          </w:p>
        </w:tc>
        <w:tc>
          <w:tcPr>
            <w:tcW w:type="dxa" w:w="4819"/>
          </w:tcPr>
          <w:p>
            <w:pPr>
              <w:spacing w:after="100" w:before="100" w:line="264" w:lineRule="auto"/>
            </w:pPr>
            <w:r>
              <w:rPr>
                <w:sz w:val="18"/>
              </w:rPr>
              <w:t>应该如何理解</w:t>
            </w:r>
          </w:p>
        </w:tc>
      </w:tr>
      <w:tr>
        <w:trPr>
          <w:cantSplit/>
        </w:trPr>
        <w:tc>
          <w:tcPr>
            <w:tcW w:type="dxa" w:w="4819"/>
          </w:tcPr>
          <w:p>
            <w:pPr>
              <w:spacing w:after="100" w:before="100" w:line="264" w:lineRule="auto"/>
            </w:pPr>
            <w:r>
              <w:rPr>
                <w:sz w:val="18"/>
              </w:rPr>
              <w:t>REVIEWABLE</w:t>
            </w:r>
          </w:p>
        </w:tc>
        <w:tc>
          <w:tcPr>
            <w:tcW w:type="dxa" w:w="4819"/>
          </w:tcPr>
          <w:p>
            <w:pPr>
              <w:spacing w:after="100" w:before="100" w:line="264" w:lineRule="auto"/>
            </w:pPr>
            <w:r>
              <w:rPr>
                <w:sz w:val="18"/>
              </w:rPr>
              <w:t>采用门通过，进入审阅；不是自动推荐采用</w:t>
            </w:r>
          </w:p>
        </w:tc>
      </w:tr>
      <w:tr>
        <w:trPr>
          <w:cantSplit/>
        </w:trPr>
        <w:tc>
          <w:tcPr>
            <w:tcW w:type="dxa" w:w="4819"/>
          </w:tcPr>
          <w:p>
            <w:pPr>
              <w:spacing w:after="100" w:before="100" w:line="264" w:lineRule="auto"/>
            </w:pPr>
            <w:r>
              <w:rPr>
                <w:sz w:val="18"/>
              </w:rPr>
              <w:t>NOT_PROMOTABLE</w:t>
            </w:r>
          </w:p>
        </w:tc>
        <w:tc>
          <w:tcPr>
            <w:tcW w:type="dxa" w:w="4819"/>
          </w:tcPr>
          <w:p>
            <w:pPr>
              <w:spacing w:after="100" w:before="100" w:line="264" w:lineRule="auto"/>
            </w:pPr>
            <w:r>
              <w:rPr>
                <w:sz w:val="18"/>
              </w:rPr>
              <w:t>结果保留，但当前采用条件未满足</w:t>
            </w:r>
          </w:p>
        </w:tc>
      </w:tr>
      <w:tr>
        <w:trPr>
          <w:cantSplit/>
        </w:trPr>
        <w:tc>
          <w:tcPr>
            <w:tcW w:type="dxa" w:w="4819"/>
          </w:tcPr>
          <w:p>
            <w:pPr>
              <w:spacing w:after="100" w:before="100" w:line="264" w:lineRule="auto"/>
            </w:pPr>
            <w:r>
              <w:rPr>
                <w:sz w:val="18"/>
              </w:rPr>
              <w:t>STOPPED</w:t>
            </w:r>
          </w:p>
        </w:tc>
        <w:tc>
          <w:tcPr>
            <w:tcW w:type="dxa" w:w="4819"/>
          </w:tcPr>
          <w:p>
            <w:pPr>
              <w:spacing w:after="100" w:before="100" w:line="264" w:lineRule="auto"/>
            </w:pPr>
            <w:r>
              <w:rPr>
                <w:sz w:val="18"/>
              </w:rPr>
              <w:t>控制器已停止；恢复是明确的人类操作</w:t>
            </w:r>
          </w:p>
        </w:tc>
      </w:tr>
      <w:tr>
        <w:trPr>
          <w:cantSplit/>
        </w:trPr>
        <w:tc>
          <w:tcPr>
            <w:tcW w:type="dxa" w:w="4819"/>
          </w:tcPr>
          <w:p>
            <w:pPr>
              <w:spacing w:after="100" w:before="100" w:line="264" w:lineRule="auto"/>
            </w:pPr>
            <w:r>
              <w:rPr>
                <w:sz w:val="18"/>
              </w:rPr>
              <w:t>无活动策略</w:t>
            </w:r>
          </w:p>
        </w:tc>
        <w:tc>
          <w:tcPr>
            <w:tcW w:type="dxa" w:w="4819"/>
          </w:tcPr>
          <w:p>
            <w:pPr>
              <w:spacing w:after="100" w:before="100" w:line="264" w:lineRule="auto"/>
            </w:pPr>
            <w:r>
              <w:rPr>
                <w:sz w:val="18"/>
              </w:rPr>
              <w:t>没有被采用的模型；不能执行受控推理</w:t>
            </w:r>
          </w:p>
        </w:tc>
      </w:tr>
    </w:tbl>
    <w:p>
      <w:pPr>
        <w:spacing w:after="0"/>
      </w:pPr>
    </w:p>
    <w:p>
      <w:r>
        <w:t>下一次实验不得反复使用已披露的同一验收数据。换一个合成种子可测试工作流，但仍不是独立真实世界验证。当前版本与0.1的控制策略不同，使用新的workspace，不自动迁移旧授权。</w:t>
      </w:r>
    </w:p>
    <w:p>
      <w:r>
        <w:br w:type="page"/>
      </w:r>
    </w:p>
    <w:p>
      <w:pPr>
        <w:spacing w:after="180"/>
      </w:pPr>
      <w:r>
        <w:rPr>
          <w:color w:val="617E89"/>
          <w:sz w:val="17"/>
        </w:rPr>
        <w:t>CAPABILITY LOOP ≠ AUTHORITY LOOP</w:t>
      </w:r>
    </w:p>
    <w:p>
      <w:pPr>
        <w:pStyle w:val="Heading1"/>
      </w:pPr>
      <w:r>
        <w:t>03 / 架构：研究与控制分离</w:t>
      </w:r>
    </w:p>
    <w:p>
      <w:r>
        <w:t>附件区分了“是否执行目标”与“目标模糊或遇到压力时是否坚持价值底线”。本系统把这一问题转成可以测试的结构：提高任务性能的代码，不拥有修改评估器和授权机制的接口。[F1]</w:t>
      </w:r>
    </w:p>
    <w:p>
      <w:pPr>
        <w:spacing w:before="60" w:after="180" w:line="259" w:lineRule="auto"/>
        <w:shd w:fill="EEF4F6"/>
      </w:pPr>
      <w:r>
        <w:rPr>
          <w:rFonts w:ascii="DejaVu Sans Mono" w:hAnsi="DejaVu Sans Mono" w:eastAsia="Noto Sans Mono CJK SC"/>
          <w:sz w:val="16"/>
        </w:rPr>
        <w:t>数据/候选JSON</w:t>
        <w:br/>
        <w:t xml:space="preserve">    ↓</w:t>
        <w:br/>
        <w:t>输入检查 → 搜索器 → 冻结候选 → 验收器</w:t>
        <w:br/>
        <w:t xml:space="preserve">                                     ↓</w:t>
        <w:br/>
        <w:t xml:space="preserve">                             强参考逐世界门</w:t>
        <w:br/>
        <w:t xml:space="preserve">                                     ↓</w:t>
        <w:br/>
        <w:t xml:space="preserve">                          不可采用 / 可审阅记录</w:t>
        <w:br/>
        <w:t xml:space="preserve">                                     ↓</w:t>
        <w:br/>
        <w:t xml:space="preserve">                  本地批准票据 → 原子采用 → 冻结推理</w:t>
        <w:br/>
        <w:t xml:space="preserve">                                     ↓</w:t>
        <w:br/>
        <w:t xml:space="preserve">                            监测、停止、回退</w:t>
      </w:r>
    </w:p>
    <w:tbl>
      <w:tblPr>
        <w:tblStyle w:val="LightShading-Accent1"/>
        <w:tblW w:type="auto" w:w="0"/>
        <w:tblLayout w:type="fixed"/>
        <w:tblLook w:firstColumn="1" w:firstRow="1" w:lastColumn="0" w:lastRow="0" w:noHBand="0" w:noVBand="1" w:val="04A0"/>
      </w:tblPr>
      <w:tblGrid>
        <w:gridCol w:w="4819"/>
        <w:gridCol w:w="4819"/>
      </w:tblGrid>
      <w:tr>
        <w:trPr>
          <w:tblHeader/>
          <w:cantSplit/>
        </w:trPr>
        <w:tc>
          <w:tcPr>
            <w:tcW w:type="dxa" w:w="4819"/>
          </w:tcPr>
          <w:p>
            <w:pPr>
              <w:spacing w:after="100" w:before="100" w:line="264" w:lineRule="auto"/>
            </w:pPr>
            <w:r>
              <w:rPr>
                <w:sz w:val="18"/>
              </w:rPr>
              <w:t>模块</w:t>
            </w:r>
          </w:p>
        </w:tc>
        <w:tc>
          <w:tcPr>
            <w:tcW w:type="dxa" w:w="4819"/>
          </w:tcPr>
          <w:p>
            <w:pPr>
              <w:spacing w:after="100" w:before="100" w:line="264" w:lineRule="auto"/>
            </w:pPr>
            <w:r>
              <w:rPr>
                <w:sz w:val="18"/>
              </w:rPr>
              <w:t>实际职责</w:t>
            </w:r>
          </w:p>
        </w:tc>
      </w:tr>
      <w:tr>
        <w:trPr>
          <w:cantSplit/>
        </w:trPr>
        <w:tc>
          <w:tcPr>
            <w:tcW w:type="dxa" w:w="4819"/>
          </w:tcPr>
          <w:p>
            <w:pPr>
              <w:spacing w:after="100" w:before="100" w:line="264" w:lineRule="auto"/>
            </w:pPr>
            <w:r>
              <w:rPr>
                <w:sz w:val="18"/>
              </w:rPr>
              <w:t>dsl.py / problems.py</w:t>
            </w:r>
          </w:p>
        </w:tc>
        <w:tc>
          <w:tcPr>
            <w:tcW w:type="dxa" w:w="4819"/>
          </w:tcPr>
          <w:p>
            <w:pPr>
              <w:spacing w:after="100" w:before="100" w:line="264" w:lineRule="auto"/>
            </w:pPr>
            <w:r>
              <w:rPr>
                <w:sz w:val="18"/>
              </w:rPr>
              <w:t>候选语法、可信执行器、数据生成及检查</w:t>
            </w:r>
          </w:p>
        </w:tc>
      </w:tr>
      <w:tr>
        <w:trPr>
          <w:cantSplit/>
        </w:trPr>
        <w:tc>
          <w:tcPr>
            <w:tcW w:type="dxa" w:w="4819"/>
          </w:tcPr>
          <w:p>
            <w:pPr>
              <w:spacing w:after="100" w:before="100" w:line="264" w:lineRule="auto"/>
            </w:pPr>
            <w:r>
              <w:rPr>
                <w:sz w:val="18"/>
              </w:rPr>
              <w:t>search.py / evaluator.py</w:t>
            </w:r>
          </w:p>
        </w:tc>
        <w:tc>
          <w:tcPr>
            <w:tcW w:type="dxa" w:w="4819"/>
          </w:tcPr>
          <w:p>
            <w:pPr>
              <w:spacing w:after="100" w:before="100" w:line="264" w:lineRule="auto"/>
            </w:pPr>
            <w:r>
              <w:rPr>
                <w:sz w:val="18"/>
              </w:rPr>
              <w:t>候选产生、开发集选择、损失与区间计算</w:t>
            </w:r>
          </w:p>
        </w:tc>
      </w:tr>
      <w:tr>
        <w:trPr>
          <w:cantSplit/>
        </w:trPr>
        <w:tc>
          <w:tcPr>
            <w:tcW w:type="dxa" w:w="4819"/>
          </w:tcPr>
          <w:p>
            <w:pPr>
              <w:spacing w:after="100" w:before="100" w:line="264" w:lineRule="auto"/>
            </w:pPr>
            <w:r>
              <w:rPr>
                <w:sz w:val="18"/>
              </w:rPr>
              <w:t>engine.py / policy.py</w:t>
            </w:r>
          </w:p>
        </w:tc>
        <w:tc>
          <w:tcPr>
            <w:tcW w:type="dxa" w:w="4819"/>
          </w:tcPr>
          <w:p>
            <w:pPr>
              <w:spacing w:after="100" w:before="100" w:line="264" w:lineRule="auto"/>
            </w:pPr>
            <w:r>
              <w:rPr>
                <w:sz w:val="18"/>
              </w:rPr>
              <w:t>研究顺序、冻结摘要、预算和采用门</w:t>
            </w:r>
          </w:p>
        </w:tc>
      </w:tr>
      <w:tr>
        <w:trPr>
          <w:cantSplit/>
        </w:trPr>
        <w:tc>
          <w:tcPr>
            <w:tcW w:type="dxa" w:w="4819"/>
          </w:tcPr>
          <w:p>
            <w:pPr>
              <w:spacing w:after="100" w:before="100" w:line="264" w:lineRule="auto"/>
            </w:pPr>
            <w:r>
              <w:rPr>
                <w:sz w:val="18"/>
              </w:rPr>
              <w:t>registry.py</w:t>
            </w:r>
          </w:p>
        </w:tc>
        <w:tc>
          <w:tcPr>
            <w:tcW w:type="dxa" w:w="4819"/>
          </w:tcPr>
          <w:p>
            <w:pPr>
              <w:spacing w:after="100" w:before="100" w:line="264" w:lineRule="auto"/>
            </w:pPr>
            <w:r>
              <w:rPr>
                <w:sz w:val="18"/>
              </w:rPr>
              <w:t>一次性验收、本地票据、版本、停止和账本</w:t>
            </w:r>
          </w:p>
        </w:tc>
      </w:tr>
      <w:tr>
        <w:trPr>
          <w:cantSplit/>
        </w:trPr>
        <w:tc>
          <w:tcPr>
            <w:tcW w:type="dxa" w:w="4819"/>
          </w:tcPr>
          <w:p>
            <w:pPr>
              <w:spacing w:after="100" w:before="100" w:line="264" w:lineRule="auto"/>
            </w:pPr>
            <w:r>
              <w:rPr>
                <w:sz w:val="18"/>
              </w:rPr>
              <w:t>runtime.py / intake.py</w:t>
            </w:r>
          </w:p>
        </w:tc>
        <w:tc>
          <w:tcPr>
            <w:tcW w:type="dxa" w:w="4819"/>
          </w:tcPr>
          <w:p>
            <w:pPr>
              <w:spacing w:after="100" w:before="100" w:line="264" w:lineRule="auto"/>
            </w:pPr>
            <w:r>
              <w:rPr>
                <w:sz w:val="18"/>
              </w:rPr>
              <w:t>批量实验、推理、监测、CSV及模型候选接口</w:t>
            </w:r>
          </w:p>
        </w:tc>
      </w:tr>
      <w:tr>
        <w:trPr>
          <w:cantSplit/>
        </w:trPr>
        <w:tc>
          <w:tcPr>
            <w:tcW w:type="dxa" w:w="4819"/>
          </w:tcPr>
          <w:p>
            <w:pPr>
              <w:spacing w:after="100" w:before="100" w:line="264" w:lineRule="auto"/>
            </w:pPr>
            <w:r>
              <w:rPr>
                <w:sz w:val="18"/>
              </w:rPr>
              <w:t>server.py / console.html</w:t>
            </w:r>
          </w:p>
        </w:tc>
        <w:tc>
          <w:tcPr>
            <w:tcW w:type="dxa" w:w="4819"/>
          </w:tcPr>
          <w:p>
            <w:pPr>
              <w:spacing w:after="100" w:before="100" w:line="264" w:lineRule="auto"/>
            </w:pPr>
            <w:r>
              <w:rPr>
                <w:sz w:val="18"/>
              </w:rPr>
              <w:t>真实回环API和交互控制台</w:t>
            </w:r>
          </w:p>
        </w:tc>
      </w:tr>
      <w:tr>
        <w:trPr>
          <w:cantSplit/>
        </w:trPr>
        <w:tc>
          <w:tcPr>
            <w:tcW w:type="dxa" w:w="4819"/>
          </w:tcPr>
          <w:p>
            <w:pPr>
              <w:spacing w:after="100" w:before="100" w:line="264" w:lineRule="auto"/>
            </w:pPr>
            <w:r>
              <w:rPr>
                <w:sz w:val="18"/>
              </w:rPr>
              <w:t>reporting.py / cli.py</w:t>
            </w:r>
          </w:p>
        </w:tc>
        <w:tc>
          <w:tcPr>
            <w:tcW w:type="dxa" w:w="4819"/>
          </w:tcPr>
          <w:p>
            <w:pPr>
              <w:spacing w:after="100" w:before="100" w:line="264" w:lineRule="auto"/>
            </w:pPr>
            <w:r>
              <w:rPr>
                <w:sz w:val="18"/>
              </w:rPr>
              <w:t>报告、参数导出及全部命令入口</w:t>
            </w:r>
          </w:p>
        </w:tc>
      </w:tr>
    </w:tbl>
    <w:p>
      <w:pPr>
        <w:spacing w:after="0"/>
      </w:pPr>
    </w:p>
    <w:p>
      <w:r>
        <w:t>候选只是数据对象。研究器、评估器和控制器是同一可信软件中的不同模块，并非独立操作系统安全域。对同一OS用户或宿主管理员的恶意控制，本版不提供隔离保证。</w:t>
      </w:r>
    </w:p>
    <w:p>
      <w:r>
        <w:br w:type="page"/>
      </w:r>
    </w:p>
    <w:p>
      <w:pPr>
        <w:spacing w:after="180"/>
      </w:pPr>
      <w:r>
        <w:rPr>
          <w:color w:val="617E89"/>
          <w:sz w:val="17"/>
        </w:rPr>
        <w:t>BOUNDED TASKS, REAL COMPUTATION</w:t>
      </w:r>
    </w:p>
    <w:p>
      <w:pPr>
        <w:pStyle w:val="Heading1"/>
      </w:pPr>
      <w:r>
        <w:t>04 / 当前能力具体到什么程度</w:t>
      </w:r>
    </w:p>
    <w:tbl>
      <w:tblPr>
        <w:tblStyle w:val="LightShading-Accent1"/>
        <w:tblW w:type="auto" w:w="0"/>
        <w:tblLayout w:type="fixed"/>
        <w:tblLook w:firstColumn="1" w:firstRow="1" w:lastColumn="0" w:lastRow="0" w:noHBand="0" w:noVBand="1" w:val="04A0"/>
      </w:tblPr>
      <w:tblGrid>
        <w:gridCol w:w="3213"/>
        <w:gridCol w:w="3213"/>
        <w:gridCol w:w="3213"/>
      </w:tblGrid>
      <w:tr>
        <w:trPr>
          <w:tblHeader/>
          <w:cantSplit/>
        </w:trPr>
        <w:tc>
          <w:tcPr>
            <w:tcW w:type="dxa" w:w="3213"/>
          </w:tcPr>
          <w:p>
            <w:pPr>
              <w:spacing w:after="100" w:before="100" w:line="264" w:lineRule="auto"/>
            </w:pPr>
            <w:r>
              <w:rPr>
                <w:sz w:val="18"/>
              </w:rPr>
              <w:t>任务</w:t>
            </w:r>
          </w:p>
        </w:tc>
        <w:tc>
          <w:tcPr>
            <w:tcW w:type="dxa" w:w="3213"/>
          </w:tcPr>
          <w:p>
            <w:pPr>
              <w:spacing w:after="100" w:before="100" w:line="264" w:lineRule="auto"/>
            </w:pPr>
            <w:r>
              <w:rPr>
                <w:sz w:val="18"/>
              </w:rPr>
              <w:t>研究对象</w:t>
            </w:r>
          </w:p>
        </w:tc>
        <w:tc>
          <w:tcPr>
            <w:tcW w:type="dxa" w:w="3213"/>
          </w:tcPr>
          <w:p>
            <w:pPr>
              <w:spacing w:after="100" w:before="100" w:line="264" w:lineRule="auto"/>
            </w:pPr>
            <w:r>
              <w:rPr>
                <w:sz w:val="18"/>
              </w:rPr>
              <w:t>独立计算的目标</w:t>
            </w:r>
          </w:p>
        </w:tc>
      </w:tr>
      <w:tr>
        <w:trPr>
          <w:cantSplit/>
        </w:trPr>
        <w:tc>
          <w:tcPr>
            <w:tcW w:type="dxa" w:w="3213"/>
          </w:tcPr>
          <w:p>
            <w:pPr>
              <w:spacing w:after="100" w:before="100" w:line="264" w:lineRule="auto"/>
            </w:pPr>
            <w:r>
              <w:rPr>
                <w:sz w:val="18"/>
              </w:rPr>
              <w:t>quadratic</w:t>
            </w:r>
          </w:p>
        </w:tc>
        <w:tc>
          <w:tcPr>
            <w:tcW w:type="dxa" w:w="3213"/>
          </w:tcPr>
          <w:p>
            <w:pPr>
              <w:spacing w:after="100" w:before="100" w:line="264" w:lineRule="auto"/>
            </w:pPr>
            <w:r>
              <w:rPr>
                <w:sz w:val="18"/>
              </w:rPr>
              <w:t>噪声中的二次响应</w:t>
            </w:r>
          </w:p>
        </w:tc>
        <w:tc>
          <w:tcPr>
            <w:tcW w:type="dxa" w:w="3213"/>
          </w:tcPr>
          <w:p>
            <w:pPr>
              <w:spacing w:after="100" w:before="100" w:line="264" w:lineRule="auto"/>
            </w:pPr>
            <w:r>
              <w:rPr>
                <w:sz w:val="18"/>
              </w:rPr>
              <w:t>各世界均方误差</w:t>
            </w:r>
          </w:p>
        </w:tc>
      </w:tr>
      <w:tr>
        <w:trPr>
          <w:cantSplit/>
        </w:trPr>
        <w:tc>
          <w:tcPr>
            <w:tcW w:type="dxa" w:w="3213"/>
          </w:tcPr>
          <w:p>
            <w:pPr>
              <w:spacing w:after="100" w:before="100" w:line="264" w:lineRule="auto"/>
            </w:pPr>
            <w:r>
              <w:rPr>
                <w:sz w:val="18"/>
              </w:rPr>
              <w:t>periodic</w:t>
            </w:r>
          </w:p>
        </w:tc>
        <w:tc>
          <w:tcPr>
            <w:tcW w:type="dxa" w:w="3213"/>
          </w:tcPr>
          <w:p>
            <w:pPr>
              <w:spacing w:after="100" w:before="100" w:line="264" w:lineRule="auto"/>
            </w:pPr>
            <w:r>
              <w:rPr>
                <w:sz w:val="18"/>
              </w:rPr>
              <w:t>线性趋势与周期项</w:t>
            </w:r>
          </w:p>
        </w:tc>
        <w:tc>
          <w:tcPr>
            <w:tcW w:type="dxa" w:w="3213"/>
          </w:tcPr>
          <w:p>
            <w:pPr>
              <w:spacing w:after="100" w:before="100" w:line="264" w:lineRule="auto"/>
            </w:pPr>
            <w:r>
              <w:rPr>
                <w:sz w:val="18"/>
              </w:rPr>
              <w:t>分布外预测误差</w:t>
            </w:r>
          </w:p>
        </w:tc>
      </w:tr>
      <w:tr>
        <w:trPr>
          <w:cantSplit/>
        </w:trPr>
        <w:tc>
          <w:tcPr>
            <w:tcW w:type="dxa" w:w="3213"/>
          </w:tcPr>
          <w:p>
            <w:pPr>
              <w:spacing w:after="100" w:before="100" w:line="264" w:lineRule="auto"/>
            </w:pPr>
            <w:r>
              <w:rPr>
                <w:sz w:val="18"/>
              </w:rPr>
              <w:t>sensor_shift</w:t>
            </w:r>
          </w:p>
        </w:tc>
        <w:tc>
          <w:tcPr>
            <w:tcW w:type="dxa" w:w="3213"/>
          </w:tcPr>
          <w:p>
            <w:pPr>
              <w:spacing w:after="100" w:before="100" w:line="264" w:lineRule="auto"/>
            </w:pPr>
            <w:r>
              <w:rPr>
                <w:sz w:val="18"/>
              </w:rPr>
              <w:t>训练中好用、变化后失效的代理</w:t>
            </w:r>
          </w:p>
        </w:tc>
        <w:tc>
          <w:tcPr>
            <w:tcW w:type="dxa" w:w="3213"/>
          </w:tcPr>
          <w:p>
            <w:pPr>
              <w:spacing w:after="100" w:before="100" w:line="264" w:lineRule="auto"/>
            </w:pPr>
            <w:r>
              <w:rPr>
                <w:sz w:val="18"/>
              </w:rPr>
              <w:t>代理失效时损失</w:t>
            </w:r>
          </w:p>
        </w:tc>
      </w:tr>
      <w:tr>
        <w:trPr>
          <w:cantSplit/>
        </w:trPr>
        <w:tc>
          <w:tcPr>
            <w:tcW w:type="dxa" w:w="3213"/>
          </w:tcPr>
          <w:p>
            <w:pPr>
              <w:spacing w:after="100" w:before="100" w:line="264" w:lineRule="auto"/>
            </w:pPr>
            <w:r>
              <w:rPr>
                <w:sz w:val="18"/>
              </w:rPr>
              <w:t>scheduling</w:t>
            </w:r>
          </w:p>
        </w:tc>
        <w:tc>
          <w:tcPr>
            <w:tcW w:type="dxa" w:w="3213"/>
          </w:tcPr>
          <w:p>
            <w:pPr>
              <w:spacing w:after="100" w:before="100" w:line="264" w:lineRule="auto"/>
            </w:pPr>
            <w:r>
              <w:rPr>
                <w:sz w:val="18"/>
              </w:rPr>
              <w:t>容量受限的收益选择</w:t>
            </w:r>
          </w:p>
        </w:tc>
        <w:tc>
          <w:tcPr>
            <w:tcW w:type="dxa" w:w="3213"/>
          </w:tcPr>
          <w:p>
            <w:pPr>
              <w:spacing w:after="100" w:before="100" w:line="264" w:lineRule="auto"/>
            </w:pPr>
            <w:r>
              <w:rPr>
                <w:sz w:val="18"/>
              </w:rPr>
              <w:t>相对动态规划最优值的遗憾</w:t>
            </w:r>
          </w:p>
        </w:tc>
      </w:tr>
    </w:tbl>
    <w:p>
      <w:pPr>
        <w:spacing w:after="0"/>
      </w:pPr>
    </w:p>
    <w:p>
      <w:r>
        <w:t>回归语法允许x、x²、x³、sin(x)、cos(x)和proxy。候选选择特征组合与正则化系数，可信实现拟合少量实数系数。调度候选选择收益/成本排序指数和至多三轮局部交换。</w:t>
      </w:r>
    </w:p>
    <w:p>
      <w:r>
        <w:t>默认训练集为72条记录；开发集和验收集各有三个世界，每世界分别48和128条记录。世界名为in_distribution、shifted_inputs和proxy_failure。自定义任务只支持同样的一维回归格式，不是任意维度数据科学平台。</w:t>
      </w:r>
    </w:p>
    <w:p>
      <w:pPr>
        <w:pStyle w:val="Heading2"/>
      </w:pPr>
      <w:r>
        <w:t>候选的准确形态</w:t>
      </w:r>
    </w:p>
    <w:p>
      <w:pPr>
        <w:spacing w:before="60" w:after="180" w:line="259" w:lineRule="auto"/>
        <w:shd w:fill="EEF4F6"/>
      </w:pPr>
      <w:r>
        <w:rPr>
          <w:rFonts w:ascii="DejaVu Sans Mono" w:hAnsi="DejaVu Sans Mono" w:eastAsia="Noto Sans Mono CJK SC"/>
          <w:sz w:val="16"/>
        </w:rPr>
        <w:t>{"kind":"basis",</w:t>
        <w:br/>
        <w:t xml:space="preserve"> "features":["sin","x","x2"],</w:t>
        <w:br/>
        <w:t xml:space="preserve"> "ridge":0.001}</w:t>
      </w:r>
    </w:p>
    <w:p>
      <w:r>
        <w:t>这不是Python表达式，也没有可调用的文件、进程、网络或账户。未知字段、自报分数、非有限数字、超范围参数及错误任务族会被拒绝。</w:t>
      </w:r>
    </w:p>
    <w:p>
      <w:pPr>
        <w:pStyle w:val="Heading2"/>
      </w:pPr>
      <w:r>
        <w:t>没有交付的能力</w:t>
      </w:r>
    </w:p>
    <w:p>
      <w:r>
        <w:t>没有基础大模型、通用聊天推理、自动浏览、任意编程、物理实验器械控制、基础权重训练或模型API接入。把任务标题改成某个未解科学问题，不会扩展候选语言或产生相应研究能力。扩大能力需要新增任务语义、验证器、数据和独立评估。</w:t>
      </w:r>
    </w:p>
    <w:p>
      <w:r>
        <w:br w:type="page"/>
      </w:r>
    </w:p>
    <w:p>
      <w:pPr>
        <w:spacing w:after="180"/>
      </w:pPr>
      <w:r>
        <w:rPr>
          <w:color w:val="617E89"/>
          <w:sz w:val="17"/>
        </w:rPr>
        <w:t>THE MEASUREMENT IS NOT THE CLAIM</w:t>
      </w:r>
    </w:p>
    <w:p>
      <w:pPr>
        <w:pStyle w:val="Heading1"/>
      </w:pPr>
      <w:r>
        <w:t>05 / 搜索与验收数学</w:t>
      </w:r>
    </w:p>
    <w:p>
      <w:r>
        <w:t>回归损失为每个世界的均方误差；调度损失为(最优收益−候选收益)/max(1,最优收益)。最优收益由独立动态规划例程计算，不采信候选对自己输出的评价。</w:t>
      </w:r>
    </w:p>
    <w:p>
      <w:pPr>
        <w:spacing w:before="60" w:after="180" w:line="259" w:lineRule="auto"/>
        <w:shd w:fill="EEF4F6"/>
      </w:pPr>
      <w:r>
        <w:rPr>
          <w:rFonts w:ascii="DejaVu Sans Mono" w:hAnsi="DejaVu Sans Mono" w:eastAsia="Noto Sans Mono CJK SC"/>
          <w:sz w:val="16"/>
        </w:rPr>
        <w:t>J_dev(θ) = max_w L_w(θ) + 10⁻⁵ × complexity(θ)</w:t>
        <w:br/>
        <w:t>θ* = 在预算内选出的最低开发集评分候选</w:t>
      </w:r>
    </w:p>
    <w:p>
      <w:r>
        <w:t>搜索是有限候选语言中的算法搜索，不承诺连续参数空间或全部程序空间的全局最优。默认上限为96个候选、6代、8,000,000记账工作单位；验收保留独立8,000,000单位预算。时间限制每阶段最多120秒。</w:t>
      </w:r>
    </w:p>
    <w:p>
      <w:pPr>
        <w:pStyle w:val="Heading2"/>
      </w:pPr>
      <w:r>
        <w:t>当前模型门</w:t>
      </w:r>
    </w:p>
    <w:p>
      <w:r>
        <w:t>候选须在各验收世界不显著数值退化，最差世界损失必须下降，配对Bootstrap改进区间的下界也必须超过阈值。默认600次重采样，区间标注为描述性95%区间，不对无限试验和任意自适应选择提供统计保证。</w:t>
      </w:r>
    </w:p>
    <w:p>
      <w:pPr>
        <w:pStyle w:val="Heading2"/>
      </w:pPr>
      <w:r>
        <w:t>新增强参考门</w:t>
      </w:r>
    </w:p>
    <w:p>
      <w:pPr>
        <w:spacing w:before="60" w:after="180" w:line="259" w:lineRule="auto"/>
        <w:shd w:fill="EEF4F6"/>
      </w:pPr>
      <w:r>
        <w:rPr>
          <w:rFonts w:ascii="DejaVu Sans Mono" w:hAnsi="DejaVu Sans Mono" w:eastAsia="Noto Sans Mono CJK SC"/>
          <w:sz w:val="16"/>
        </w:rPr>
        <w:t>对每个验收世界w：</w:t>
        <w:br/>
        <w:t>L_w(candidate) − L_w(reference) ≤ 10⁻⁹</w:t>
        <w:br/>
        <w:br/>
        <w:t>REVIEWABLE = 当前模型验收通过 AND 强参考逐世界门通过</w:t>
      </w:r>
    </w:p>
    <w:p>
      <w:r>
        <w:t>1e−9只是数值非退化容差，不是相对参考模型的统计显著性证明。固定参考也不是全世界最优模型。本版故意采用严格门：宁可保留一个有趣但不可采用的结果，也不把“比简单基线好”自动当成研究进步。</w:t>
      </w:r>
    </w:p>
    <w:p>
      <w:r>
        <w:t>AlphaEvolve采用候选生成、评价和演化选择的研究结构，可作为架构参照；本项目没有复现它的系统或成果，也没有进行同任务同预算比较。[P1]</w:t>
      </w:r>
    </w:p>
    <w:p>
      <w:r>
        <w:br w:type="page"/>
      </w:r>
    </w:p>
    <w:p>
      <w:pPr>
        <w:spacing w:after="180"/>
      </w:pPr>
      <w:r>
        <w:rPr>
          <w:color w:val="617E89"/>
          <w:sz w:val="17"/>
        </w:rPr>
        <w:t>KEEP ADVERSE COMPARISONS VISIBLE</w:t>
      </w:r>
    </w:p>
    <w:p>
      <w:pPr>
        <w:pStyle w:val="Heading1"/>
      </w:pPr>
      <w:r>
        <w:t>06 / 实际结果与反例</w:t>
      </w:r>
    </w:p>
    <w:p>
      <w:r>
        <w:t>以下为本次运行种子17所得结果。前三行单位是MSE，最后一行是调度遗憾比例。均为合成数据，不能跨任务比较绝对数值，也不能换算成通用智能等级。[R1]</w:t>
      </w:r>
    </w:p>
    <w:tbl>
      <w:tblPr>
        <w:tblStyle w:val="LightShading-Accent1"/>
        <w:tblW w:type="auto" w:w="0"/>
        <w:tblLayout w:type="fixed"/>
        <w:tblLook w:firstColumn="1" w:firstRow="1" w:lastColumn="0" w:lastRow="0" w:noHBand="0" w:noVBand="1" w:val="04A0"/>
      </w:tblPr>
      <w:tblGrid>
        <w:gridCol w:w="3213"/>
        <w:gridCol w:w="3213"/>
        <w:gridCol w:w="3213"/>
      </w:tblGrid>
      <w:tr>
        <w:trPr>
          <w:tblHeader/>
          <w:cantSplit/>
        </w:trPr>
        <w:tc>
          <w:tcPr>
            <w:tcW w:type="dxa" w:w="3213"/>
          </w:tcPr>
          <w:p>
            <w:pPr>
              <w:spacing w:after="100" w:before="100" w:line="264" w:lineRule="auto"/>
            </w:pPr>
            <w:r>
              <w:rPr>
                <w:sz w:val="18"/>
              </w:rPr>
              <w:t>任务</w:t>
            </w:r>
          </w:p>
        </w:tc>
        <w:tc>
          <w:tcPr>
            <w:tcW w:type="dxa" w:w="3213"/>
          </w:tcPr>
          <w:p>
            <w:pPr>
              <w:spacing w:after="100" w:before="100" w:line="264" w:lineRule="auto"/>
            </w:pPr>
            <w:r>
              <w:rPr>
                <w:sz w:val="18"/>
              </w:rPr>
              <w:t>当前/候选/参考：最差损失</w:t>
            </w:r>
          </w:p>
        </w:tc>
        <w:tc>
          <w:tcPr>
            <w:tcW w:type="dxa" w:w="3213"/>
          </w:tcPr>
          <w:p>
            <w:pPr>
              <w:spacing w:after="100" w:before="100" w:line="264" w:lineRule="auto"/>
            </w:pPr>
            <w:r>
              <w:rPr>
                <w:sz w:val="18"/>
              </w:rPr>
              <w:t>采用状态</w:t>
            </w:r>
          </w:p>
        </w:tc>
      </w:tr>
      <w:tr>
        <w:trPr>
          <w:cantSplit/>
        </w:trPr>
        <w:tc>
          <w:tcPr>
            <w:tcW w:type="dxa" w:w="3213"/>
          </w:tcPr>
          <w:p>
            <w:pPr>
              <w:spacing w:after="100" w:before="100" w:line="264" w:lineRule="auto"/>
            </w:pPr>
            <w:r>
              <w:rPr>
                <w:sz w:val="18"/>
              </w:rPr>
              <w:t>二次响应</w:t>
            </w:r>
          </w:p>
        </w:tc>
        <w:tc>
          <w:tcPr>
            <w:tcW w:type="dxa" w:w="3213"/>
          </w:tcPr>
          <w:p>
            <w:pPr>
              <w:spacing w:after="100" w:before="100" w:line="264" w:lineRule="auto"/>
            </w:pPr>
            <w:r>
              <w:rPr>
                <w:sz w:val="18"/>
              </w:rPr>
              <w:t>27.611113 / 0.003419 / 0.002834</w:t>
            </w:r>
          </w:p>
        </w:tc>
        <w:tc>
          <w:tcPr>
            <w:tcW w:type="dxa" w:w="3213"/>
          </w:tcPr>
          <w:p>
            <w:pPr>
              <w:spacing w:after="100" w:before="100" w:line="264" w:lineRule="auto"/>
            </w:pPr>
            <w:r>
              <w:rPr>
                <w:sz w:val="18"/>
              </w:rPr>
              <w:t>不可采用</w:t>
            </w:r>
          </w:p>
        </w:tc>
      </w:tr>
      <w:tr>
        <w:trPr>
          <w:cantSplit/>
        </w:trPr>
        <w:tc>
          <w:tcPr>
            <w:tcW w:type="dxa" w:w="3213"/>
          </w:tcPr>
          <w:p>
            <w:pPr>
              <w:spacing w:after="100" w:before="100" w:line="264" w:lineRule="auto"/>
            </w:pPr>
            <w:r>
              <w:rPr>
                <w:sz w:val="18"/>
              </w:rPr>
              <w:t>周期响应</w:t>
            </w:r>
          </w:p>
        </w:tc>
        <w:tc>
          <w:tcPr>
            <w:tcW w:type="dxa" w:w="3213"/>
          </w:tcPr>
          <w:p>
            <w:pPr>
              <w:spacing w:after="100" w:before="100" w:line="264" w:lineRule="auto"/>
            </w:pPr>
            <w:r>
              <w:rPr>
                <w:sz w:val="18"/>
              </w:rPr>
              <w:t>9.172172 / 0.004294 / 0.188747</w:t>
            </w:r>
          </w:p>
        </w:tc>
        <w:tc>
          <w:tcPr>
            <w:tcW w:type="dxa" w:w="3213"/>
          </w:tcPr>
          <w:p>
            <w:pPr>
              <w:spacing w:after="100" w:before="100" w:line="264" w:lineRule="auto"/>
            </w:pPr>
            <w:r>
              <w:rPr>
                <w:sz w:val="18"/>
              </w:rPr>
              <w:t>可审阅</w:t>
            </w:r>
          </w:p>
        </w:tc>
      </w:tr>
      <w:tr>
        <w:trPr>
          <w:cantSplit/>
        </w:trPr>
        <w:tc>
          <w:tcPr>
            <w:tcW w:type="dxa" w:w="3213"/>
          </w:tcPr>
          <w:p>
            <w:pPr>
              <w:spacing w:after="100" w:before="100" w:line="264" w:lineRule="auto"/>
            </w:pPr>
            <w:r>
              <w:rPr>
                <w:sz w:val="18"/>
              </w:rPr>
              <w:t>代理失效</w:t>
            </w:r>
          </w:p>
        </w:tc>
        <w:tc>
          <w:tcPr>
            <w:tcW w:type="dxa" w:w="3213"/>
          </w:tcPr>
          <w:p>
            <w:pPr>
              <w:spacing w:after="100" w:before="100" w:line="264" w:lineRule="auto"/>
            </w:pPr>
            <w:r>
              <w:rPr>
                <w:sz w:val="18"/>
              </w:rPr>
              <w:t>15.695588 / 0.003923 / 0.002883</w:t>
            </w:r>
          </w:p>
        </w:tc>
        <w:tc>
          <w:tcPr>
            <w:tcW w:type="dxa" w:w="3213"/>
          </w:tcPr>
          <w:p>
            <w:pPr>
              <w:spacing w:after="100" w:before="100" w:line="264" w:lineRule="auto"/>
            </w:pPr>
            <w:r>
              <w:rPr>
                <w:sz w:val="18"/>
              </w:rPr>
              <w:t>不可采用</w:t>
            </w:r>
          </w:p>
        </w:tc>
      </w:tr>
      <w:tr>
        <w:trPr>
          <w:cantSplit/>
        </w:trPr>
        <w:tc>
          <w:tcPr>
            <w:tcW w:type="dxa" w:w="3213"/>
          </w:tcPr>
          <w:p>
            <w:pPr>
              <w:spacing w:after="100" w:before="100" w:line="264" w:lineRule="auto"/>
            </w:pPr>
            <w:r>
              <w:rPr>
                <w:sz w:val="18"/>
              </w:rPr>
              <w:t>资源调度</w:t>
            </w:r>
          </w:p>
        </w:tc>
        <w:tc>
          <w:tcPr>
            <w:tcW w:type="dxa" w:w="3213"/>
          </w:tcPr>
          <w:p>
            <w:pPr>
              <w:spacing w:after="100" w:before="100" w:line="264" w:lineRule="auto"/>
            </w:pPr>
            <w:r>
              <w:rPr>
                <w:sz w:val="18"/>
              </w:rPr>
              <w:t>0.193899 / 0.008158 / 0.006953</w:t>
            </w:r>
          </w:p>
        </w:tc>
        <w:tc>
          <w:tcPr>
            <w:tcW w:type="dxa" w:w="3213"/>
          </w:tcPr>
          <w:p>
            <w:pPr>
              <w:spacing w:after="100" w:before="100" w:line="264" w:lineRule="auto"/>
            </w:pPr>
            <w:r>
              <w:rPr>
                <w:sz w:val="18"/>
              </w:rPr>
              <w:t>不可采用</w:t>
            </w:r>
          </w:p>
        </w:tc>
      </w:tr>
    </w:tbl>
    <w:p>
      <w:pPr>
        <w:spacing w:after="0"/>
      </w:pPr>
    </w:p>
    <w:p>
      <w:r>
        <w:t>四项都比简单基线好，但三项在至少一个验收世界不如固定参考。它们被标为NOT_PROMOTABLE，而不是从报告中删除。周期任务在三个验收世界都满足强参考门，可进入本地审阅。</w:t>
      </w:r>
    </w:p>
    <w:p>
      <w:pPr>
        <w:pStyle w:val="Heading2"/>
      </w:pPr>
      <w:r>
        <w:t>采用的周期模型</w:t>
      </w:r>
    </w:p>
    <w:p>
      <w:pPr>
        <w:spacing w:before="60" w:after="180" w:line="259" w:lineRule="auto"/>
        <w:shd w:fill="EEF4F6"/>
      </w:pPr>
      <w:r>
        <w:rPr>
          <w:rFonts w:ascii="DejaVu Sans Mono" w:hAnsi="DejaVu Sans Mono" w:eastAsia="Noto Sans Mono CJK SC"/>
          <w:sz w:val="16"/>
        </w:rPr>
        <w:t>y = 0.397302031</w:t>
        <w:br/>
        <w:t xml:space="preserve">  + 2.022909449 sin(x)</w:t>
        <w:br/>
        <w:t xml:space="preserve">  + 0.685216587 x</w:t>
        <w:br/>
        <w:t xml:space="preserve">  + 0.004592292 x²</w:t>
      </w:r>
    </w:p>
    <w:p>
      <w:r>
        <w:t>这是真实拟合参数，不是人工填入的标准答案。使用冻结模型预测x=−1、0、1、2，得到−1.985541871、0.397302031、2.789330516、3.625530729。</w:t>
      </w:r>
    </w:p>
    <w:p>
      <w:pPr>
        <w:pStyle w:val="Heading2"/>
      </w:pPr>
      <w:r>
        <w:t>必须失败的案例</w:t>
      </w:r>
    </w:p>
    <w:p>
      <w:r>
        <w:t>只使用proxy的候选可能在训练中表现很好，却在代理变量失效的世界失败。validation/rejected_shortcut.json保存了这一反例。验证者不因候选叙述合理、自称有信心或训练分数优秀而放宽结果检查。</w:t>
      </w:r>
    </w:p>
    <w:p>
      <w:r>
        <w:br w:type="page"/>
      </w:r>
    </w:p>
    <w:p>
      <w:pPr>
        <w:spacing w:after="180"/>
      </w:pPr>
      <w:r>
        <w:rPr>
          <w:color w:val="617E89"/>
          <w:sz w:val="17"/>
        </w:rPr>
        <w:t>PERMISSION IS NOT INHERITED FROM IMPROVEMENT</w:t>
      </w:r>
    </w:p>
    <w:p>
      <w:pPr>
        <w:pStyle w:val="Heading1"/>
      </w:pPr>
      <w:r>
        <w:t>07 / 本地采用、冻结与回退</w:t>
      </w:r>
    </w:p>
    <w:p>
      <w:r>
        <w:t>0.1.0持续研究会按旧特征重新拟合基线。这不等于比较真正部署中的旧参数。0.2.0改为读取活动版本的完整冻结模型，保持其系数不变；候选仍在新训练集拟合。记录公开incumbent_evaluation_mode。</w:t>
      </w:r>
    </w:p>
    <w:p>
      <w:pPr>
        <w:spacing w:before="60" w:after="180" w:line="259" w:lineRule="auto"/>
        <w:shd w:fill="EEF4F6"/>
      </w:pPr>
      <w:r>
        <w:rPr>
          <w:rFonts w:ascii="DejaVu Sans Mono" w:hAnsi="DejaVu Sans Mono" w:eastAsia="Noto Sans Mono CJK SC"/>
          <w:sz w:val="16"/>
        </w:rPr>
        <w:t>ascent init workspace</w:t>
        <w:br/>
        <w:t>ascent run workspace --task periodic --seed 17 --output run.json</w:t>
        <w:br/>
        <w:t>ascent report run.json --output experiment.md</w:t>
        <w:br/>
        <w:t>ascent status workspace</w:t>
      </w:r>
    </w:p>
    <w:p>
      <w:r>
        <w:t>把下列RUN_ID替换为本次打印的真实运行标识。请实际查看结果后执行，不能复制别人的运行ID或历史票据。</w:t>
      </w:r>
    </w:p>
    <w:p>
      <w:pPr>
        <w:spacing w:before="60" w:after="180" w:line="259" w:lineRule="auto"/>
        <w:shd w:fill="EEF4F6"/>
      </w:pPr>
      <w:r>
        <w:rPr>
          <w:rFonts w:ascii="DejaVu Sans Mono" w:hAnsi="DejaVu Sans Mono" w:eastAsia="Noto Sans Mono CJK SC"/>
          <w:sz w:val="16"/>
        </w:rPr>
        <w:t>ascent approve workspace RUN_ID --operator local-reviewer --ttl 300 --output approval.json</w:t>
        <w:br/>
        <w:t>ascent promote workspace approval.json</w:t>
      </w:r>
    </w:p>
    <w:p>
      <w:r>
        <w:t>票据绑定运行摘要、源码指纹、父版本、控制代次、范围、期限和唯一ID。签名为本地HMAC；它证明这个安装实例的秘密持有，不证明local-reviewer是某位真实身份人士。</w:t>
      </w:r>
    </w:p>
    <w:p>
      <w:r>
        <w:t>采用在事务中检查全部条件并消费票据。旧父版本、修改过的源码、到期票据和重复票据都不能继续使用。共享导出的模型参数不会附带批准权。SQLite事务用于本地状态原子转换，不构成外部部署保障。[P3]</w:t>
      </w:r>
    </w:p>
    <w:p>
      <w:pPr>
        <w:spacing w:before="60" w:after="180" w:line="259" w:lineRule="auto"/>
        <w:shd w:fill="EEF4F6"/>
      </w:pPr>
      <w:r>
        <w:rPr>
          <w:rFonts w:ascii="DejaVu Sans Mono" w:hAnsi="DejaVu Sans Mono" w:eastAsia="Noto Sans Mono CJK SC"/>
          <w:sz w:val="16"/>
        </w:rPr>
        <w:t>ascent stop workspace --reason "Review required"</w:t>
        <w:br/>
        <w:t>ascent rollback workspace --task periodic --reason "Return to prior policy"</w:t>
        <w:br/>
        <w:t>ascent audit workspace</w:t>
        <w:br/>
        <w:t>ascent resume workspace --operator local-reviewer</w:t>
      </w:r>
    </w:p>
    <w:p>
      <w:r>
        <w:t>停止提高授权代次，研究和推理都会被拒绝；恢复不会复活旧票据。回退保留原版本和原因。若没有上一活动版本，回退结果是没有活动模型，而不是虚构一个替代模型。</w:t>
      </w:r>
    </w:p>
    <w:p>
      <w:r>
        <w:br w:type="page"/>
      </w:r>
    </w:p>
    <w:p>
      <w:pPr>
        <w:spacing w:after="180"/>
      </w:pPr>
      <w:r>
        <w:rPr>
          <w:color w:val="617E89"/>
          <w:sz w:val="17"/>
        </w:rPr>
        <w:t>EXPLICIT SPLITS AND AUTHORIZED DATA</w:t>
      </w:r>
    </w:p>
    <w:p>
      <w:pPr>
        <w:pStyle w:val="Heading1"/>
      </w:pPr>
      <w:r>
        <w:t>08 / 自己的数据如何进入</w:t>
      </w:r>
    </w:p>
    <w:p>
      <w:r>
        <w:t>本版支持自定义一维回归数据。你需要先确定目标y、特征x、可选proxy，以及为什么数据分布会变化。先设计验收，再选择候选；不要随机混合后宣称解决真实分布外问题。</w:t>
      </w:r>
    </w:p>
    <w:p>
      <w:pPr>
        <w:spacing w:before="60" w:after="180" w:line="259" w:lineRule="auto"/>
        <w:shd w:fill="EEF4F6"/>
      </w:pPr>
      <w:r>
        <w:rPr>
          <w:rFonts w:ascii="DejaVu Sans Mono" w:hAnsi="DejaVu Sans Mono" w:eastAsia="Noto Sans Mono CJK SC"/>
          <w:sz w:val="16"/>
        </w:rPr>
        <w:t>split,world,x,y,proxy</w:t>
        <w:br/>
        <w:t>train,in_distribution,-1.0,2.1,0</w:t>
        <w:br/>
        <w:t>development,normal,0.2,1.3,0</w:t>
        <w:br/>
        <w:t>development,shifted,2.0,5.1,0</w:t>
        <w:br/>
        <w:t>audit,normal,0.3,1.5,0</w:t>
        <w:br/>
        <w:t>audit,shifted,2.2,5.9,0</w:t>
      </w:r>
    </w:p>
    <w:p>
      <w:r>
        <w:t>上面只有格式示意，不足以运行。完整示例在examples/custom-dataset.csv。train需8—4096条；development和audit各需2—6个同名世界，每世界8—4096条。x范围−10到10；y范围−10000到10000；proxy范围−1000到1000。</w:t>
      </w:r>
    </w:p>
    <w:p>
      <w:pPr>
        <w:spacing w:before="60" w:after="180" w:line="259" w:lineRule="auto"/>
        <w:shd w:fill="EEF4F6"/>
      </w:pPr>
      <w:r>
        <w:rPr>
          <w:rFonts w:ascii="DejaVu Sans Mono" w:hAnsi="DejaVu Sans Mono" w:eastAsia="Noto Sans Mono CJK SC"/>
          <w:sz w:val="16"/>
        </w:rPr>
        <w:t>ascent csv-import examples/custom-dataset.csv --output custom-data.json</w:t>
        <w:br/>
        <w:t>ascent run workspace --task custom_regression --data custom-data.json --output custom-run.json</w:t>
      </w:r>
    </w:p>
    <w:p>
      <w:r>
        <w:t>CSV限制2MB，列名必须完全一致。JSON顶层仅允许train、development和audit。相同记录在不同分割或世界间重叠会被拒绝，但语义相似、同一主体重复测量、时间泄漏和共同来源不一定能自动识别。</w:t>
      </w:r>
    </w:p>
    <w:p>
      <w:pPr>
        <w:pStyle w:val="Heading2"/>
      </w:pPr>
      <w:r>
        <w:t>验收资料的真正隔离</w:t>
      </w:r>
    </w:p>
    <w:p>
      <w:r>
        <w:t>可信协调模块会接触完整文件以做结构校验；搜索函数不接收audit。源代码持有者仍可查看文件或重建公开合成生成器。真正独立的盲验收应由另一数据负责人持有新观测并运行独立验证环境，本版并未替你完成这种组织隔离。</w:t>
      </w:r>
    </w:p>
    <w:p>
      <w:r>
        <w:br w:type="page"/>
      </w:r>
    </w:p>
    <w:p>
      <w:pPr>
        <w:spacing w:after="180"/>
      </w:pPr>
      <w:r>
        <w:rPr>
          <w:color w:val="617E89"/>
          <w:sz w:val="17"/>
        </w:rPr>
        <w:t>MODEL SUGGESTS; VERIFIER RECOMPUTES</w:t>
      </w:r>
    </w:p>
    <w:p>
      <w:pPr>
        <w:pStyle w:val="Heading1"/>
      </w:pPr>
      <w:r>
        <w:t>09 / 与强模型协作的接口</w:t>
      </w:r>
    </w:p>
    <w:p>
      <w:r>
        <w:t>本版不捆绑某家模型，不虚构GPT或其他API调用。它提供的是文件级候选接口：导出经过选择的训练和开发数据，允许你在完成数据授权审查后，手动交给外部模型。</w:t>
      </w:r>
    </w:p>
    <w:p>
      <w:pPr>
        <w:spacing w:before="60" w:after="180" w:line="259" w:lineRule="auto"/>
        <w:shd w:fill="EEF4F6"/>
      </w:pPr>
      <w:r>
        <w:rPr>
          <w:rFonts w:ascii="DejaVu Sans Mono" w:hAnsi="DejaVu Sans Mono" w:eastAsia="Noto Sans Mono CJK SC"/>
          <w:sz w:val="16"/>
        </w:rPr>
        <w:t>ascent proposer-request --task periodic --seed 17 --output proposer-request.json</w:t>
      </w:r>
    </w:p>
    <w:p>
      <w:r>
        <w:t>模型应只返回不超过32个JSON候选，不能返回自报成绩、文件路径、命令、评估器修改或新权限。你可以修改提问文字，但不能用模型生成的自我说明代替实验。</w:t>
      </w:r>
    </w:p>
    <w:p>
      <w:pPr>
        <w:spacing w:before="60" w:after="180" w:line="259" w:lineRule="auto"/>
        <w:shd w:fill="EEF4F6"/>
      </w:pPr>
      <w:r>
        <w:rPr>
          <w:rFonts w:ascii="DejaVu Sans Mono" w:hAnsi="DejaVu Sans Mono" w:eastAsia="Noto Sans Mono CJK SC"/>
          <w:sz w:val="16"/>
        </w:rPr>
        <w:t>[</w:t>
        <w:br/>
        <w:t xml:space="preserve">  {"kind":"basis", "features":["sin","x","x2"], "ridge":0.001},</w:t>
        <w:br/>
        <w:t xml:space="preserve">  {"kind":"basis", "features":["x","x2"], "ridge":0.01}</w:t>
        <w:br/>
        <w:t>]</w:t>
      </w:r>
    </w:p>
    <w:p>
      <w:pPr>
        <w:spacing w:before="60" w:after="180" w:line="259" w:lineRule="auto"/>
        <w:shd w:fill="EEF4F6"/>
      </w:pPr>
      <w:r>
        <w:rPr>
          <w:rFonts w:ascii="DejaVu Sans Mono" w:hAnsi="DejaVu Sans Mono" w:eastAsia="Noto Sans Mono CJK SC"/>
          <w:sz w:val="16"/>
        </w:rPr>
        <w:t>ascent run workspace --task periodic --seed 17 --candidate-file candidates.json --output model-proposal-run.json</w:t>
      </w:r>
    </w:p>
    <w:p>
      <w:r>
        <w:t>候选经语法校验后，与内置算法生成的候选共同参与有限搜索。系数由可信数值程序拟合；真实损失由验收器重算。外部模型没有controller.key、停止开关、评分规则或自动激活接口。</w:t>
      </w:r>
    </w:p>
    <w:p>
      <w:pPr>
        <w:pStyle w:val="Heading2"/>
      </w:pPr>
      <w:r>
        <w:t>该接口没有证明什么</w:t>
      </w:r>
    </w:p>
    <w:p>
      <w:r>
        <w:t>它没有证明模型提出了新理论，没有证明模型优于没有模型的搜索，也没有证明外部提供商保密性。正式试验应保留无模型对照、等预算参考、实际调用收据、完整失败集和独立验收数据。不要在模型请求中加入私人验收标签、控制密钥或批准票据。</w:t>
      </w:r>
    </w:p>
    <w:p>
      <w:r>
        <w:br w:type="page"/>
      </w:r>
    </w:p>
    <w:p>
      <w:pPr>
        <w:spacing w:after="180"/>
      </w:pPr>
      <w:r>
        <w:rPr>
          <w:color w:val="617E89"/>
          <w:sz w:val="17"/>
        </w:rPr>
        <w:t>DECLARE THE GRID BEFORE SEEING RESULTS</w:t>
      </w:r>
    </w:p>
    <w:p>
      <w:pPr>
        <w:pStyle w:val="Heading1"/>
      </w:pPr>
      <w:r>
        <w:t>10 / 批量研究与资源预算</w:t>
      </w:r>
    </w:p>
    <w:p>
      <w:pPr>
        <w:spacing w:before="60" w:after="180" w:line="259" w:lineRule="auto"/>
        <w:shd w:fill="EEF4F6"/>
      </w:pPr>
      <w:r>
        <w:rPr>
          <w:rFonts w:ascii="DejaVu Sans Mono" w:hAnsi="DejaVu Sans Mono" w:eastAsia="Noto Sans Mono CJK SC"/>
          <w:sz w:val="16"/>
        </w:rPr>
        <w:t>ascent init campaign-workspace</w:t>
        <w:br/>
        <w:t>ascent campaign campaign-workspace --tasks quadratic periodic sensor_shift scheduling --seeds 17 23 31 --output new-campaign --seconds 300 --proposals 96</w:t>
      </w:r>
    </w:p>
    <w:p>
      <w:r>
        <w:t>这个命令预先声明4个任务×3个种子，写入campaign-spec.json，然后执行研究。候选上限、工作量、整批时间和源码指纹均可复查。最多32项试验，整批最多600秒，单阶段最多120秒。</w:t>
      </w:r>
    </w:p>
    <w:tbl>
      <w:tblPr>
        <w:tblStyle w:val="LightShading-Accent1"/>
        <w:tblW w:type="auto" w:w="0"/>
        <w:tblLayout w:type="fixed"/>
        <w:tblLook w:firstColumn="1" w:firstRow="1" w:lastColumn="0" w:lastRow="0" w:noHBand="0" w:noVBand="1" w:val="04A0"/>
      </w:tblPr>
      <w:tblGrid>
        <w:gridCol w:w="4819"/>
        <w:gridCol w:w="4819"/>
      </w:tblGrid>
      <w:tr>
        <w:trPr>
          <w:tblHeader/>
          <w:cantSplit/>
        </w:trPr>
        <w:tc>
          <w:tcPr>
            <w:tcW w:type="dxa" w:w="4819"/>
          </w:tcPr>
          <w:p>
            <w:pPr>
              <w:spacing w:after="100" w:before="100" w:line="264" w:lineRule="auto"/>
            </w:pPr>
            <w:r>
              <w:rPr>
                <w:sz w:val="18"/>
              </w:rPr>
              <w:t>结果文件</w:t>
            </w:r>
          </w:p>
        </w:tc>
        <w:tc>
          <w:tcPr>
            <w:tcW w:type="dxa" w:w="4819"/>
          </w:tcPr>
          <w:p>
            <w:pPr>
              <w:spacing w:after="100" w:before="100" w:line="264" w:lineRule="auto"/>
            </w:pPr>
            <w:r>
              <w:rPr>
                <w:sz w:val="18"/>
              </w:rPr>
              <w:t>用途</w:t>
            </w:r>
          </w:p>
        </w:tc>
      </w:tr>
      <w:tr>
        <w:trPr>
          <w:cantSplit/>
        </w:trPr>
        <w:tc>
          <w:tcPr>
            <w:tcW w:type="dxa" w:w="4819"/>
          </w:tcPr>
          <w:p>
            <w:pPr>
              <w:spacing w:after="100" w:before="100" w:line="264" w:lineRule="auto"/>
            </w:pPr>
            <w:r>
              <w:rPr>
                <w:sz w:val="18"/>
              </w:rPr>
              <w:t>campaign-spec.json</w:t>
            </w:r>
          </w:p>
        </w:tc>
        <w:tc>
          <w:tcPr>
            <w:tcW w:type="dxa" w:w="4819"/>
          </w:tcPr>
          <w:p>
            <w:pPr>
              <w:spacing w:after="100" w:before="100" w:line="264" w:lineRule="auto"/>
            </w:pPr>
            <w:r>
              <w:rPr>
                <w:sz w:val="18"/>
              </w:rPr>
              <w:t>执行前的研究网格和资源限制</w:t>
            </w:r>
          </w:p>
        </w:tc>
      </w:tr>
      <w:tr>
        <w:trPr>
          <w:cantSplit/>
        </w:trPr>
        <w:tc>
          <w:tcPr>
            <w:tcW w:type="dxa" w:w="4819"/>
          </w:tcPr>
          <w:p>
            <w:pPr>
              <w:spacing w:after="100" w:before="100" w:line="264" w:lineRule="auto"/>
            </w:pPr>
            <w:r>
              <w:rPr>
                <w:sz w:val="18"/>
              </w:rPr>
              <w:t>任务名-种子.json</w:t>
            </w:r>
          </w:p>
        </w:tc>
        <w:tc>
          <w:tcPr>
            <w:tcW w:type="dxa" w:w="4819"/>
          </w:tcPr>
          <w:p>
            <w:pPr>
              <w:spacing w:after="100" w:before="100" w:line="264" w:lineRule="auto"/>
            </w:pPr>
            <w:r>
              <w:rPr>
                <w:sz w:val="18"/>
              </w:rPr>
              <w:t>每个完成试验的完整记录</w:t>
            </w:r>
          </w:p>
        </w:tc>
      </w:tr>
      <w:tr>
        <w:trPr>
          <w:cantSplit/>
        </w:trPr>
        <w:tc>
          <w:tcPr>
            <w:tcW w:type="dxa" w:w="4819"/>
          </w:tcPr>
          <w:p>
            <w:pPr>
              <w:spacing w:after="100" w:before="100" w:line="264" w:lineRule="auto"/>
            </w:pPr>
            <w:r>
              <w:rPr>
                <w:sz w:val="18"/>
              </w:rPr>
              <w:t>campaign-progress.json</w:t>
            </w:r>
          </w:p>
        </w:tc>
        <w:tc>
          <w:tcPr>
            <w:tcW w:type="dxa" w:w="4819"/>
          </w:tcPr>
          <w:p>
            <w:pPr>
              <w:spacing w:after="100" w:before="100" w:line="264" w:lineRule="auto"/>
            </w:pPr>
            <w:r>
              <w:rPr>
                <w:sz w:val="18"/>
              </w:rPr>
              <w:t>执行中的已记录进度</w:t>
            </w:r>
          </w:p>
        </w:tc>
      </w:tr>
      <w:tr>
        <w:trPr>
          <w:cantSplit/>
        </w:trPr>
        <w:tc>
          <w:tcPr>
            <w:tcW w:type="dxa" w:w="4819"/>
          </w:tcPr>
          <w:p>
            <w:pPr>
              <w:spacing w:after="100" w:before="100" w:line="264" w:lineRule="auto"/>
            </w:pPr>
            <w:r>
              <w:rPr>
                <w:sz w:val="18"/>
              </w:rPr>
              <w:t>campaign.json</w:t>
            </w:r>
          </w:p>
        </w:tc>
        <w:tc>
          <w:tcPr>
            <w:tcW w:type="dxa" w:w="4819"/>
          </w:tcPr>
          <w:p>
            <w:pPr>
              <w:spacing w:after="100" w:before="100" w:line="264" w:lineRule="auto"/>
            </w:pPr>
            <w:r>
              <w:rPr>
                <w:sz w:val="18"/>
              </w:rPr>
              <w:t>全部已声明项，包括失败与未运行项</w:t>
            </w:r>
          </w:p>
        </w:tc>
      </w:tr>
    </w:tbl>
    <w:p>
      <w:pPr>
        <w:spacing w:after="0"/>
      </w:pPr>
    </w:p>
    <w:p>
      <w:r>
        <w:t>本次12项试验全部完成：8项可审阅，4项不可采用，0项执行失败，0项未运行。这个比例是公开合成任务上预先声明采用门的通过率，不是ASI成功率、真实世界泛化率或模型产品排名。</w:t>
      </w:r>
    </w:p>
    <w:p>
      <w:r>
        <w:t>验收失败和采用失败不是同一状态。旧验收数据已经被消费、预算耗尽、用户停止或输入错误会留下失败或未运行信息。系统不会只输出最好的种子，也不会自动采用批量研究中的任何候选。</w:t>
      </w:r>
    </w:p>
    <w:p>
      <w:pPr>
        <w:pStyle w:val="Heading2"/>
      </w:pPr>
      <w:r>
        <w:t>重跑与恢复</w:t>
      </w:r>
    </w:p>
    <w:p>
      <w:r>
        <w:t>输出目录必须新建或为空，已有目录不会被清空。一个控制器内相同验收内容只可使用一次；失败也消耗该资格。研究数据换种子不能自动成为独立证据。进程异常中断后检查原有记录，再为新的、正当的数据设计新实验。</w:t>
      </w:r>
    </w:p>
    <w:p>
      <w:r>
        <w:br w:type="page"/>
      </w:r>
    </w:p>
    <w:p>
      <w:pPr>
        <w:spacing w:after="180"/>
      </w:pPr>
      <w:r>
        <w:rPr>
          <w:color w:val="617E89"/>
          <w:sz w:val="17"/>
        </w:rPr>
        <w:t>USE THE MODEL, THEN LET REALITY CORRECT IT</w:t>
      </w:r>
    </w:p>
    <w:p>
      <w:pPr>
        <w:pStyle w:val="Heading1"/>
      </w:pPr>
      <w:r>
        <w:t>11 / 推理、漂移监测与现实接触</w:t>
      </w:r>
    </w:p>
    <w:p>
      <w:pPr>
        <w:pStyle w:val="Heading2"/>
      </w:pPr>
      <w:r>
        <w:t>直接使用采用后的模型</w:t>
      </w:r>
    </w:p>
    <w:p>
      <w:pPr>
        <w:spacing w:before="60" w:after="180" w:line="259" w:lineRule="auto"/>
        <w:shd w:fill="EEF4F6"/>
      </w:pPr>
      <w:r>
        <w:rPr>
          <w:rFonts w:ascii="DejaVu Sans Mono" w:hAnsi="DejaVu Sans Mono" w:eastAsia="Noto Sans Mono CJK SC"/>
          <w:sz w:val="16"/>
        </w:rPr>
        <w:t>ascent infer workspace --task periodic --input examples/predict-periodic.json --output predictions.json</w:t>
      </w:r>
    </w:p>
    <w:p>
      <w:r>
        <w:t>回归输入格式为{"rows":[{"x":−1},{"x":0}]}，可选proxy。每次最多4096行。输出记录使用的版本、模型摘要、输入摘要和输出摘要。不是复制一次实验得分，而是以固定参数计算新输入。</w:t>
      </w:r>
    </w:p>
    <w:p>
      <w:pPr>
        <w:pStyle w:val="Heading2"/>
      </w:pPr>
      <w:r>
        <w:t>监测不是再训练</w:t>
      </w:r>
    </w:p>
    <w:p>
      <w:pPr>
        <w:spacing w:before="60" w:after="180" w:line="259" w:lineRule="auto"/>
        <w:shd w:fill="EEF4F6"/>
      </w:pPr>
      <w:r>
        <w:rPr>
          <w:rFonts w:ascii="DejaVu Sans Mono" w:hAnsi="DejaVu Sans Mono" w:eastAsia="Noto Sans Mono CJK SC"/>
          <w:sz w:val="16"/>
        </w:rPr>
        <w:t>ascent canary workspace --task periodic --data examples/monitor-drift.json --threshold 0.1 --output canary.json</w:t>
      </w:r>
    </w:p>
    <w:p>
      <w:r>
        <w:t>监测文件按世界保存新x、y及可选proxy。本次演示对新合成观测的标签加5，最差MSE为25.012717，超过0.1，review_recommended=true。该人造漂移用来验证管道，不证明能发现全部现实漂移。</w:t>
      </w:r>
    </w:p>
    <w:p>
      <w:r>
        <w:t>监测不会修改模型，不自动采用候选，也不自动回退。原模型继续存在，操作者决定停止、调查、回退或设计新实验。监测数据标注为USER_SUPPLIED_MONITORING_NOT_INDEPENDENT_HOLDOUT。</w:t>
      </w:r>
    </w:p>
    <w:p>
      <w:pPr>
        <w:pStyle w:val="Heading2"/>
      </w:pPr>
      <w:r>
        <w:t>导出与携带</w:t>
      </w:r>
    </w:p>
    <w:p>
      <w:pPr>
        <w:spacing w:before="60" w:after="180" w:line="259" w:lineRule="auto"/>
        <w:shd w:fill="EEF4F6"/>
      </w:pPr>
      <w:r>
        <w:rPr>
          <w:rFonts w:ascii="DejaVu Sans Mono" w:hAnsi="DejaVu Sans Mono" w:eastAsia="Noto Sans Mono CJK SC"/>
          <w:sz w:val="16"/>
        </w:rPr>
        <w:t>ascent export-policy workspace --task periodic --output active-policy.json</w:t>
      </w:r>
    </w:p>
    <w:p>
      <w:r>
        <w:t>导出只包括任务、参数、版本和摘要，明确authority_transferred=false。另一个实例读取模型文件，不因此取得原工作区的身份、授权、批准或验收资格。</w:t>
      </w:r>
    </w:p>
    <w:p>
      <w:r>
        <w:t>调度推理最多128个案例、每例128个job；漂移监测因使用精确最优解而限得更紧。不要将这个小调度例程接入支付、医疗、生产控制或劳动分配并宣称经过生产验证。</w:t>
      </w:r>
    </w:p>
    <w:p>
      <w:r>
        <w:br w:type="page"/>
      </w:r>
    </w:p>
    <w:p>
      <w:pPr>
        <w:spacing w:after="180"/>
      </w:pPr>
      <w:r>
        <w:rPr>
          <w:color w:val="617E89"/>
          <w:sz w:val="17"/>
        </w:rPr>
        <w:t>AN OPERATOR TOOL, NOT AN EXPOSED AGENT SERVER</w:t>
      </w:r>
    </w:p>
    <w:p>
      <w:pPr>
        <w:pStyle w:val="Heading1"/>
      </w:pPr>
      <w:r>
        <w:t>12 / 本地控制台与API</w:t>
      </w:r>
    </w:p>
    <w:p>
      <w:r>
        <w:t>服务只绑定127.0.0.1，不接受远端接口。页面使用每次服务器会话生成的令牌调用API，同时检查Host和Origin。所有输入为有界JSON；没有任意路径、代理请求、系统Shell或动态插件接口。</w:t>
      </w:r>
    </w:p>
    <w:tbl>
      <w:tblPr>
        <w:tblStyle w:val="LightShading-Accent1"/>
        <w:tblW w:type="auto" w:w="0"/>
        <w:tblLayout w:type="fixed"/>
        <w:tblLook w:firstColumn="1" w:firstRow="1" w:lastColumn="0" w:lastRow="0" w:noHBand="0" w:noVBand="1" w:val="04A0"/>
      </w:tblPr>
      <w:tblGrid>
        <w:gridCol w:w="4819"/>
        <w:gridCol w:w="4819"/>
      </w:tblGrid>
      <w:tr>
        <w:trPr>
          <w:tblHeader/>
          <w:cantSplit/>
        </w:trPr>
        <w:tc>
          <w:tcPr>
            <w:tcW w:type="dxa" w:w="4819"/>
          </w:tcPr>
          <w:p>
            <w:pPr>
              <w:spacing w:after="100" w:before="100" w:line="264" w:lineRule="auto"/>
            </w:pPr>
            <w:r>
              <w:rPr>
                <w:sz w:val="18"/>
              </w:rPr>
              <w:t>接口</w:t>
            </w:r>
          </w:p>
        </w:tc>
        <w:tc>
          <w:tcPr>
            <w:tcW w:type="dxa" w:w="4819"/>
          </w:tcPr>
          <w:p>
            <w:pPr>
              <w:spacing w:after="100" w:before="100" w:line="264" w:lineRule="auto"/>
            </w:pPr>
            <w:r>
              <w:rPr>
                <w:sz w:val="18"/>
              </w:rPr>
              <w:t>用途</w:t>
            </w:r>
          </w:p>
        </w:tc>
      </w:tr>
      <w:tr>
        <w:trPr>
          <w:cantSplit/>
        </w:trPr>
        <w:tc>
          <w:tcPr>
            <w:tcW w:type="dxa" w:w="4819"/>
          </w:tcPr>
          <w:p>
            <w:pPr>
              <w:spacing w:after="100" w:before="100" w:line="264" w:lineRule="auto"/>
            </w:pPr>
            <w:r>
              <w:rPr>
                <w:sz w:val="18"/>
              </w:rPr>
              <w:t>GET /api/status、/api/jobs</w:t>
            </w:r>
          </w:p>
        </w:tc>
        <w:tc>
          <w:tcPr>
            <w:tcW w:type="dxa" w:w="4819"/>
          </w:tcPr>
          <w:p>
            <w:pPr>
              <w:spacing w:after="100" w:before="100" w:line="264" w:lineRule="auto"/>
            </w:pPr>
            <w:r>
              <w:rPr>
                <w:sz w:val="18"/>
              </w:rPr>
              <w:t>本地状态和任务进度</w:t>
            </w:r>
          </w:p>
        </w:tc>
      </w:tr>
      <w:tr>
        <w:trPr>
          <w:cantSplit/>
        </w:trPr>
        <w:tc>
          <w:tcPr>
            <w:tcW w:type="dxa" w:w="4819"/>
          </w:tcPr>
          <w:p>
            <w:pPr>
              <w:spacing w:after="100" w:before="100" w:line="264" w:lineRule="auto"/>
            </w:pPr>
            <w:r>
              <w:rPr>
                <w:sz w:val="18"/>
              </w:rPr>
              <w:t>GET /api/run?id=…、/api/model?task=…</w:t>
            </w:r>
          </w:p>
        </w:tc>
        <w:tc>
          <w:tcPr>
            <w:tcW w:type="dxa" w:w="4819"/>
          </w:tcPr>
          <w:p>
            <w:pPr>
              <w:spacing w:after="100" w:before="100" w:line="264" w:lineRule="auto"/>
            </w:pPr>
            <w:r>
              <w:rPr>
                <w:sz w:val="18"/>
              </w:rPr>
              <w:t>查看记录和当前模型</w:t>
            </w:r>
          </w:p>
        </w:tc>
      </w:tr>
      <w:tr>
        <w:trPr>
          <w:cantSplit/>
        </w:trPr>
        <w:tc>
          <w:tcPr>
            <w:tcW w:type="dxa" w:w="4819"/>
          </w:tcPr>
          <w:p>
            <w:pPr>
              <w:spacing w:after="100" w:before="100" w:line="264" w:lineRule="auto"/>
            </w:pPr>
            <w:r>
              <w:rPr>
                <w:sz w:val="18"/>
              </w:rPr>
              <w:t>POST /api/run、/api/infer</w:t>
            </w:r>
          </w:p>
        </w:tc>
        <w:tc>
          <w:tcPr>
            <w:tcW w:type="dxa" w:w="4819"/>
          </w:tcPr>
          <w:p>
            <w:pPr>
              <w:spacing w:after="100" w:before="100" w:line="264" w:lineRule="auto"/>
            </w:pPr>
            <w:r>
              <w:rPr>
                <w:sz w:val="18"/>
              </w:rPr>
              <w:t>实际实验和冻结模型推理</w:t>
            </w:r>
          </w:p>
        </w:tc>
      </w:tr>
      <w:tr>
        <w:trPr>
          <w:cantSplit/>
        </w:trPr>
        <w:tc>
          <w:tcPr>
            <w:tcW w:type="dxa" w:w="4819"/>
          </w:tcPr>
          <w:p>
            <w:pPr>
              <w:spacing w:after="100" w:before="100" w:line="264" w:lineRule="auto"/>
            </w:pPr>
            <w:r>
              <w:rPr>
                <w:sz w:val="18"/>
              </w:rPr>
              <w:t>POST /api/approve、/api/promote</w:t>
            </w:r>
          </w:p>
        </w:tc>
        <w:tc>
          <w:tcPr>
            <w:tcW w:type="dxa" w:w="4819"/>
          </w:tcPr>
          <w:p>
            <w:pPr>
              <w:spacing w:after="100" w:before="100" w:line="264" w:lineRule="auto"/>
            </w:pPr>
            <w:r>
              <w:rPr>
                <w:sz w:val="18"/>
              </w:rPr>
              <w:t>明确分开的审核与采用</w:t>
            </w:r>
          </w:p>
        </w:tc>
      </w:tr>
      <w:tr>
        <w:trPr>
          <w:cantSplit/>
        </w:trPr>
        <w:tc>
          <w:tcPr>
            <w:tcW w:type="dxa" w:w="4819"/>
          </w:tcPr>
          <w:p>
            <w:pPr>
              <w:spacing w:after="100" w:before="100" w:line="264" w:lineRule="auto"/>
            </w:pPr>
            <w:r>
              <w:rPr>
                <w:sz w:val="18"/>
              </w:rPr>
              <w:t>POST /api/stop、/api/resume、/api/rollback</w:t>
            </w:r>
          </w:p>
        </w:tc>
        <w:tc>
          <w:tcPr>
            <w:tcW w:type="dxa" w:w="4819"/>
          </w:tcPr>
          <w:p>
            <w:pPr>
              <w:spacing w:after="100" w:before="100" w:line="264" w:lineRule="auto"/>
            </w:pPr>
            <w:r>
              <w:rPr>
                <w:sz w:val="18"/>
              </w:rPr>
              <w:t>停止、恢复和回退</w:t>
            </w:r>
          </w:p>
        </w:tc>
      </w:tr>
    </w:tbl>
    <w:p>
      <w:pPr>
        <w:spacing w:after="0"/>
      </w:pPr>
    </w:p>
    <w:p>
      <w:r>
        <w:t>所有API需要X-ASCENT-Token；根页面对本机用户可访问。本机制主要减少意外跨站调用，不是多用户身份认证。每次只允许一个研究worker；状态读取使用一致事务，避免轮询看到不一致的账本视图。</w:t>
      </w:r>
    </w:p>
    <w:p>
      <w:pPr>
        <w:pStyle w:val="Heading2"/>
      </w:pPr>
      <w:r>
        <w:t>浏览器验证的准确范围</w:t>
      </w:r>
    </w:p>
    <w:p>
      <w:r>
        <w:t>真实HTTP客户端完成了本地服务、令牌、Host/Origin、任务和停止测试。受管Chromium阻止直接本地地址导航，界面测试改为把实际服务HTML放入DOM，只替换fetch封装为通向真实HTTP后端的测试桥。因此已验证界面状态及真实后端协作，但未证明直接导航与CSP在该环境中的完整行为。</w:t>
      </w:r>
    </w:p>
    <w:p>
      <w:r>
        <w:t>桌面和390px移动布局均检查，没有水平溢出或页面错误。Windows、macOS、Safari和所有组织浏览器策略不在本次实测范围。Python官方明确指出http.server不适合生产部署。[P2]</w:t>
      </w:r>
    </w:p>
    <w:p>
      <w:r>
        <w:br w:type="page"/>
      </w:r>
    </w:p>
    <w:p>
      <w:pPr>
        <w:spacing w:after="180"/>
      </w:pPr>
      <w:r>
        <w:rPr>
          <w:color w:val="617E89"/>
          <w:sz w:val="17"/>
        </w:rPr>
        <w:t>TESTED MECHANISMS, NOT A UNIVERSAL PROOF</w:t>
      </w:r>
    </w:p>
    <w:p>
      <w:pPr>
        <w:pStyle w:val="Heading1"/>
      </w:pPr>
      <w:r>
        <w:t>13 / 验证、安全边界和保管</w:t>
      </w:r>
    </w:p>
    <w:tbl>
      <w:tblPr>
        <w:tblStyle w:val="LightShading-Accent1"/>
        <w:tblW w:type="auto" w:w="0"/>
        <w:tblLayout w:type="fixed"/>
        <w:tblLook w:firstColumn="1" w:firstRow="1" w:lastColumn="0" w:lastRow="0" w:noHBand="0" w:noVBand="1" w:val="04A0"/>
      </w:tblPr>
      <w:tblGrid>
        <w:gridCol w:w="4819"/>
        <w:gridCol w:w="4819"/>
      </w:tblGrid>
      <w:tr>
        <w:trPr>
          <w:tblHeader/>
          <w:cantSplit/>
        </w:trPr>
        <w:tc>
          <w:tcPr>
            <w:tcW w:type="dxa" w:w="4819"/>
          </w:tcPr>
          <w:p>
            <w:pPr>
              <w:spacing w:after="100" w:before="100" w:line="264" w:lineRule="auto"/>
            </w:pPr>
            <w:r>
              <w:rPr>
                <w:sz w:val="18"/>
              </w:rPr>
              <w:t>本次检查</w:t>
            </w:r>
          </w:p>
        </w:tc>
        <w:tc>
          <w:tcPr>
            <w:tcW w:type="dxa" w:w="4819"/>
          </w:tcPr>
          <w:p>
            <w:pPr>
              <w:spacing w:after="100" w:before="100" w:line="264" w:lineRule="auto"/>
            </w:pPr>
            <w:r>
              <w:rPr>
                <w:sz w:val="18"/>
              </w:rPr>
              <w:t>结果或范围</w:t>
            </w:r>
          </w:p>
        </w:tc>
      </w:tr>
      <w:tr>
        <w:trPr>
          <w:cantSplit/>
        </w:trPr>
        <w:tc>
          <w:tcPr>
            <w:tcW w:type="dxa" w:w="4819"/>
          </w:tcPr>
          <w:p>
            <w:pPr>
              <w:spacing w:after="100" w:before="100" w:line="264" w:lineRule="auto"/>
            </w:pPr>
            <w:r>
              <w:rPr>
                <w:sz w:val="18"/>
              </w:rPr>
              <w:t>原版回归测试</w:t>
            </w:r>
          </w:p>
        </w:tc>
        <w:tc>
          <w:tcPr>
            <w:tcW w:type="dxa" w:w="4819"/>
          </w:tcPr>
          <w:p>
            <w:pPr>
              <w:spacing w:after="100" w:before="100" w:line="264" w:lineRule="auto"/>
            </w:pPr>
            <w:r>
              <w:rPr>
                <w:sz w:val="18"/>
              </w:rPr>
              <w:t>0.1.0原有54项测试先实际通过</w:t>
            </w:r>
          </w:p>
        </w:tc>
      </w:tr>
      <w:tr>
        <w:trPr>
          <w:cantSplit/>
        </w:trPr>
        <w:tc>
          <w:tcPr>
            <w:tcW w:type="dxa" w:w="4819"/>
          </w:tcPr>
          <w:p>
            <w:pPr>
              <w:spacing w:after="100" w:before="100" w:line="264" w:lineRule="auto"/>
            </w:pPr>
            <w:r>
              <w:rPr>
                <w:sz w:val="18"/>
              </w:rPr>
              <w:t>升级版自动化测试</w:t>
            </w:r>
          </w:p>
        </w:tc>
        <w:tc>
          <w:tcPr>
            <w:tcW w:type="dxa" w:w="4819"/>
          </w:tcPr>
          <w:p>
            <w:pPr>
              <w:spacing w:after="100" w:before="100" w:line="264" w:lineRule="auto"/>
            </w:pPr>
            <w:r>
              <w:rPr>
                <w:sz w:val="18"/>
              </w:rPr>
              <w:t>93项通过，0失败</w:t>
            </w:r>
          </w:p>
        </w:tc>
      </w:tr>
      <w:tr>
        <w:trPr>
          <w:cantSplit/>
        </w:trPr>
        <w:tc>
          <w:tcPr>
            <w:tcW w:type="dxa" w:w="4819"/>
          </w:tcPr>
          <w:p>
            <w:pPr>
              <w:spacing w:after="100" w:before="100" w:line="264" w:lineRule="auto"/>
            </w:pPr>
            <w:r>
              <w:rPr>
                <w:sz w:val="18"/>
              </w:rPr>
              <w:t>独立有限控制模型</w:t>
            </w:r>
          </w:p>
        </w:tc>
        <w:tc>
          <w:tcPr>
            <w:tcW w:type="dxa" w:w="4819"/>
          </w:tcPr>
          <w:p>
            <w:pPr>
              <w:spacing w:after="100" w:before="100" w:line="264" w:lineRule="auto"/>
            </w:pPr>
            <w:r>
              <w:rPr>
                <w:sz w:val="18"/>
              </w:rPr>
              <w:t>47状态、63转移，未发现声明属性违反</w:t>
            </w:r>
          </w:p>
        </w:tc>
      </w:tr>
      <w:tr>
        <w:trPr>
          <w:cantSplit/>
        </w:trPr>
        <w:tc>
          <w:tcPr>
            <w:tcW w:type="dxa" w:w="4819"/>
          </w:tcPr>
          <w:p>
            <w:pPr>
              <w:spacing w:after="100" w:before="100" w:line="264" w:lineRule="auto"/>
            </w:pPr>
            <w:r>
              <w:rPr>
                <w:sz w:val="18"/>
              </w:rPr>
              <w:t>负向控制</w:t>
            </w:r>
          </w:p>
        </w:tc>
        <w:tc>
          <w:tcPr>
            <w:tcW w:type="dxa" w:w="4819"/>
          </w:tcPr>
          <w:p>
            <w:pPr>
              <w:spacing w:after="100" w:before="100" w:line="264" w:lineRule="auto"/>
            </w:pPr>
            <w:r>
              <w:rPr>
                <w:sz w:val="18"/>
              </w:rPr>
              <w:t>忽略停止/参考、重复票据、忽略撤销均被识别</w:t>
            </w:r>
          </w:p>
        </w:tc>
      </w:tr>
      <w:tr>
        <w:trPr>
          <w:cantSplit/>
        </w:trPr>
        <w:tc>
          <w:tcPr>
            <w:tcW w:type="dxa" w:w="4819"/>
          </w:tcPr>
          <w:p>
            <w:pPr>
              <w:spacing w:after="100" w:before="100" w:line="264" w:lineRule="auto"/>
            </w:pPr>
            <w:r>
              <w:rPr>
                <w:sz w:val="18"/>
              </w:rPr>
              <w:t>完整工作流</w:t>
            </w:r>
          </w:p>
        </w:tc>
        <w:tc>
          <w:tcPr>
            <w:tcW w:type="dxa" w:w="4819"/>
          </w:tcPr>
          <w:p>
            <w:pPr>
              <w:spacing w:after="100" w:before="100" w:line="264" w:lineRule="auto"/>
            </w:pPr>
            <w:r>
              <w:rPr>
                <w:sz w:val="18"/>
              </w:rPr>
              <w:t>推理、漂移提示、重复票据拒绝、停止、回退通过</w:t>
            </w:r>
          </w:p>
        </w:tc>
      </w:tr>
      <w:tr>
        <w:trPr>
          <w:cantSplit/>
        </w:trPr>
        <w:tc>
          <w:tcPr>
            <w:tcW w:type="dxa" w:w="4819"/>
          </w:tcPr>
          <w:p>
            <w:pPr>
              <w:spacing w:after="100" w:before="100" w:line="264" w:lineRule="auto"/>
            </w:pPr>
            <w:r>
              <w:rPr>
                <w:sz w:val="18"/>
              </w:rPr>
              <w:t>合成实验</w:t>
            </w:r>
          </w:p>
        </w:tc>
        <w:tc>
          <w:tcPr>
            <w:tcW w:type="dxa" w:w="4819"/>
          </w:tcPr>
          <w:p>
            <w:pPr>
              <w:spacing w:after="100" w:before="100" w:line="264" w:lineRule="auto"/>
            </w:pPr>
            <w:r>
              <w:rPr>
                <w:sz w:val="18"/>
              </w:rPr>
              <w:t>四任务与十二项预声明campaign保留所有结果</w:t>
            </w:r>
          </w:p>
        </w:tc>
      </w:tr>
    </w:tbl>
    <w:p>
      <w:pPr>
        <w:spacing w:after="0"/>
      </w:pPr>
    </w:p>
    <w:p>
      <w:r>
        <w:t>有限模型不是TLC，也不是对实际代码所有并发路径的形式证明。静态扫描只覆盖指定的危险执行入口，不等于渗透测试。全部测试通过也不能证明科学正确性、价值对齐、意识或ASI。</w:t>
      </w:r>
    </w:p>
    <w:p>
      <w:pPr>
        <w:pStyle w:val="Heading2"/>
      </w:pPr>
      <w:r>
        <w:t>必须保密的文件</w:t>
      </w:r>
    </w:p>
    <w:p>
      <w:pPr>
        <w:spacing w:before="60" w:after="180" w:line="259" w:lineRule="auto"/>
        <w:shd w:fill="EEF4F6"/>
      </w:pPr>
      <w:r>
        <w:rPr>
          <w:rFonts w:ascii="DejaVu Sans Mono" w:hAnsi="DejaVu Sans Mono" w:eastAsia="Noto Sans Mono CJK SC"/>
          <w:sz w:val="16"/>
        </w:rPr>
        <w:t>workspace/controller.key</w:t>
        <w:br/>
        <w:t>workspace/registry.sqlite</w:t>
      </w:r>
    </w:p>
    <w:p>
      <w:r>
        <w:t>这些文件包含本地权限与研究状态，数据库未加密。备份时保管密钥与状态的一致版本，不要把工作区提交到开源仓库。删除或替换整个工作区会破坏本地历史连续性；本系统没有外部不可回滚时间戳。</w:t>
      </w:r>
    </w:p>
    <w:p>
      <w:r>
        <w:t>权限保护假设本机OS用户、解释器、软件源码和控制器状态可信。不防御盗取密钥的同用户进程、宿主管理员、完整历史重写或恶意更新。把候选改成原生代码，或把回环服务暴露上网，都超出本版已测试边界。</w:t>
      </w:r>
    </w:p>
    <w:p>
      <w:r>
        <w:br w:type="page"/>
      </w:r>
    </w:p>
    <w:p>
      <w:pPr>
        <w:spacing w:after="180"/>
      </w:pPr>
      <w:r>
        <w:rPr>
          <w:color w:val="617E89"/>
          <w:sz w:val="17"/>
        </w:rPr>
        <w:t>TROUBLESHOOT WITHOUT DESTROYING EVIDENCE</w:t>
      </w:r>
    </w:p>
    <w:p>
      <w:pPr>
        <w:pStyle w:val="Heading1"/>
      </w:pPr>
      <w:r>
        <w:t>14 / 常见失败不是都该绕过</w:t>
      </w:r>
    </w:p>
    <w:tbl>
      <w:tblPr>
        <w:tblStyle w:val="LightShading-Accent1"/>
        <w:tblW w:type="auto" w:w="0"/>
        <w:tblLayout w:type="fixed"/>
        <w:tblLook w:firstColumn="1" w:firstRow="1" w:lastColumn="0" w:lastRow="0" w:noHBand="0" w:noVBand="1" w:val="04A0"/>
      </w:tblPr>
      <w:tblGrid>
        <w:gridCol w:w="4819"/>
        <w:gridCol w:w="4819"/>
      </w:tblGrid>
      <w:tr>
        <w:trPr>
          <w:tblHeader/>
          <w:cantSplit/>
        </w:trPr>
        <w:tc>
          <w:tcPr>
            <w:tcW w:type="dxa" w:w="4819"/>
          </w:tcPr>
          <w:p>
            <w:pPr>
              <w:spacing w:after="100" w:before="100" w:line="264" w:lineRule="auto"/>
            </w:pPr>
            <w:r>
              <w:rPr>
                <w:sz w:val="18"/>
              </w:rPr>
              <w:t>现象</w:t>
            </w:r>
          </w:p>
        </w:tc>
        <w:tc>
          <w:tcPr>
            <w:tcW w:type="dxa" w:w="4819"/>
          </w:tcPr>
          <w:p>
            <w:pPr>
              <w:spacing w:after="100" w:before="100" w:line="264" w:lineRule="auto"/>
            </w:pPr>
            <w:r>
              <w:rPr>
                <w:sz w:val="18"/>
              </w:rPr>
              <w:t>含义与正确处理</w:t>
            </w:r>
          </w:p>
        </w:tc>
      </w:tr>
      <w:tr>
        <w:trPr>
          <w:cantSplit/>
        </w:trPr>
        <w:tc>
          <w:tcPr>
            <w:tcW w:type="dxa" w:w="4819"/>
          </w:tcPr>
          <w:p>
            <w:pPr>
              <w:spacing w:after="100" w:before="100" w:line="264" w:lineRule="auto"/>
            </w:pPr>
            <w:r>
              <w:rPr>
                <w:sz w:val="18"/>
              </w:rPr>
              <w:t>NOT_PROMOTABLE</w:t>
            </w:r>
          </w:p>
        </w:tc>
        <w:tc>
          <w:tcPr>
            <w:tcW w:type="dxa" w:w="4819"/>
          </w:tcPr>
          <w:p>
            <w:pPr>
              <w:spacing w:after="100" w:before="100" w:line="264" w:lineRule="auto"/>
            </w:pPr>
            <w:r>
              <w:rPr>
                <w:sz w:val="18"/>
              </w:rPr>
              <w:t>读blocking_reasons；强参考更好时不要强行采用</w:t>
            </w:r>
          </w:p>
        </w:tc>
      </w:tr>
      <w:tr>
        <w:trPr>
          <w:cantSplit/>
        </w:trPr>
        <w:tc>
          <w:tcPr>
            <w:tcW w:type="dxa" w:w="4819"/>
          </w:tcPr>
          <w:p>
            <w:pPr>
              <w:spacing w:after="100" w:before="100" w:line="264" w:lineRule="auto"/>
            </w:pPr>
            <w:r>
              <w:rPr>
                <w:sz w:val="18"/>
              </w:rPr>
              <w:t>No active policy</w:t>
            </w:r>
          </w:p>
        </w:tc>
        <w:tc>
          <w:tcPr>
            <w:tcW w:type="dxa" w:w="4819"/>
          </w:tcPr>
          <w:p>
            <w:pPr>
              <w:spacing w:after="100" w:before="100" w:line="264" w:lineRule="auto"/>
            </w:pPr>
            <w:r>
              <w:rPr>
                <w:sz w:val="18"/>
              </w:rPr>
              <w:t>尚未Approve/Activate，或已回退为空</w:t>
            </w:r>
          </w:p>
        </w:tc>
      </w:tr>
      <w:tr>
        <w:trPr>
          <w:cantSplit/>
        </w:trPr>
        <w:tc>
          <w:tcPr>
            <w:tcW w:type="dxa" w:w="4819"/>
          </w:tcPr>
          <w:p>
            <w:pPr>
              <w:spacing w:after="100" w:before="100" w:line="264" w:lineRule="auto"/>
            </w:pPr>
            <w:r>
              <w:rPr>
                <w:sz w:val="18"/>
              </w:rPr>
              <w:t>Operator stop is active</w:t>
            </w:r>
          </w:p>
        </w:tc>
        <w:tc>
          <w:tcPr>
            <w:tcW w:type="dxa" w:w="4819"/>
          </w:tcPr>
          <w:p>
            <w:pPr>
              <w:spacing w:after="100" w:before="100" w:line="264" w:lineRule="auto"/>
            </w:pPr>
            <w:r>
              <w:rPr>
                <w:sz w:val="18"/>
              </w:rPr>
              <w:t>先审计停止原因；需要时显式resume</w:t>
            </w:r>
          </w:p>
        </w:tc>
      </w:tr>
      <w:tr>
        <w:trPr>
          <w:cantSplit/>
        </w:trPr>
        <w:tc>
          <w:tcPr>
            <w:tcW w:type="dxa" w:w="4819"/>
          </w:tcPr>
          <w:p>
            <w:pPr>
              <w:spacing w:after="100" w:before="100" w:line="264" w:lineRule="auto"/>
            </w:pPr>
            <w:r>
              <w:rPr>
                <w:sz w:val="18"/>
              </w:rPr>
              <w:t>Audit already claimed</w:t>
            </w:r>
          </w:p>
        </w:tc>
        <w:tc>
          <w:tcPr>
            <w:tcW w:type="dxa" w:w="4819"/>
          </w:tcPr>
          <w:p>
            <w:pPr>
              <w:spacing w:after="100" w:before="100" w:line="264" w:lineRule="auto"/>
            </w:pPr>
            <w:r>
              <w:rPr>
                <w:sz w:val="18"/>
              </w:rPr>
              <w:t>同一验收内容用过；不要删除库骗取新资格</w:t>
            </w:r>
          </w:p>
        </w:tc>
      </w:tr>
      <w:tr>
        <w:trPr>
          <w:cantSplit/>
        </w:trPr>
        <w:tc>
          <w:tcPr>
            <w:tcW w:type="dxa" w:w="4819"/>
          </w:tcPr>
          <w:p>
            <w:pPr>
              <w:spacing w:after="100" w:before="100" w:line="264" w:lineRule="auto"/>
            </w:pPr>
            <w:r>
              <w:rPr>
                <w:sz w:val="18"/>
              </w:rPr>
              <w:t>BudgetExceeded</w:t>
            </w:r>
          </w:p>
        </w:tc>
        <w:tc>
          <w:tcPr>
            <w:tcW w:type="dxa" w:w="4819"/>
          </w:tcPr>
          <w:p>
            <w:pPr>
              <w:spacing w:after="100" w:before="100" w:line="264" w:lineRule="auto"/>
            </w:pPr>
            <w:r>
              <w:rPr>
                <w:sz w:val="18"/>
              </w:rPr>
              <w:t>缩小任务或预先增加合法预算；保留失败</w:t>
            </w:r>
          </w:p>
        </w:tc>
      </w:tr>
      <w:tr>
        <w:trPr>
          <w:cantSplit/>
        </w:trPr>
        <w:tc>
          <w:tcPr>
            <w:tcW w:type="dxa" w:w="4819"/>
          </w:tcPr>
          <w:p>
            <w:pPr>
              <w:spacing w:after="100" w:before="100" w:line="264" w:lineRule="auto"/>
            </w:pPr>
            <w:r>
              <w:rPr>
                <w:sz w:val="18"/>
              </w:rPr>
              <w:t>Run/source mismatch</w:t>
            </w:r>
          </w:p>
        </w:tc>
        <w:tc>
          <w:tcPr>
            <w:tcW w:type="dxa" w:w="4819"/>
          </w:tcPr>
          <w:p>
            <w:pPr>
              <w:spacing w:after="100" w:before="100" w:line="264" w:lineRule="auto"/>
            </w:pPr>
            <w:r>
              <w:rPr>
                <w:sz w:val="18"/>
              </w:rPr>
              <w:t>源码改变；旧审核不能自动适用于新实现</w:t>
            </w:r>
          </w:p>
        </w:tc>
      </w:tr>
      <w:tr>
        <w:trPr>
          <w:cantSplit/>
        </w:trPr>
        <w:tc>
          <w:tcPr>
            <w:tcW w:type="dxa" w:w="4819"/>
          </w:tcPr>
          <w:p>
            <w:pPr>
              <w:spacing w:after="100" w:before="100" w:line="264" w:lineRule="auto"/>
            </w:pPr>
            <w:r>
              <w:rPr>
                <w:sz w:val="18"/>
              </w:rPr>
              <w:t>CSV/JSON validation error</w:t>
            </w:r>
          </w:p>
        </w:tc>
        <w:tc>
          <w:tcPr>
            <w:tcW w:type="dxa" w:w="4819"/>
          </w:tcPr>
          <w:p>
            <w:pPr>
              <w:spacing w:after="100" w:before="100" w:line="264" w:lineRule="auto"/>
            </w:pPr>
            <w:r>
              <w:rPr>
                <w:sz w:val="18"/>
              </w:rPr>
              <w:t>列名、字段、数字范围、世界或样本数不符</w:t>
            </w:r>
          </w:p>
        </w:tc>
      </w:tr>
      <w:tr>
        <w:trPr>
          <w:cantSplit/>
        </w:trPr>
        <w:tc>
          <w:tcPr>
            <w:tcW w:type="dxa" w:w="4819"/>
          </w:tcPr>
          <w:p>
            <w:pPr>
              <w:spacing w:after="100" w:before="100" w:line="264" w:lineRule="auto"/>
            </w:pPr>
            <w:r>
              <w:rPr>
                <w:sz w:val="18"/>
              </w:rPr>
              <w:t>端口8765占用</w:t>
            </w:r>
          </w:p>
        </w:tc>
        <w:tc>
          <w:tcPr>
            <w:tcW w:type="dxa" w:w="4819"/>
          </w:tcPr>
          <w:p>
            <w:pPr>
              <w:spacing w:after="100" w:before="100" w:line="264" w:lineRule="auto"/>
            </w:pPr>
            <w:r>
              <w:rPr>
                <w:sz w:val="18"/>
              </w:rPr>
              <w:t>选择另一个本地端口，如--port 8877</w:t>
            </w:r>
          </w:p>
        </w:tc>
      </w:tr>
      <w:tr>
        <w:trPr>
          <w:cantSplit/>
        </w:trPr>
        <w:tc>
          <w:tcPr>
            <w:tcW w:type="dxa" w:w="4819"/>
          </w:tcPr>
          <w:p>
            <w:pPr>
              <w:spacing w:after="100" w:before="100" w:line="264" w:lineRule="auto"/>
            </w:pPr>
            <w:r>
              <w:rPr>
                <w:sz w:val="18"/>
              </w:rPr>
              <w:t>组织禁止回环地址</w:t>
            </w:r>
          </w:p>
        </w:tc>
        <w:tc>
          <w:tcPr>
            <w:tcW w:type="dxa" w:w="4819"/>
          </w:tcPr>
          <w:p>
            <w:pPr>
              <w:spacing w:after="100" w:before="100" w:line="264" w:lineRule="auto"/>
            </w:pPr>
            <w:r>
              <w:rPr>
                <w:sz w:val="18"/>
              </w:rPr>
              <w:t>使用CLI或请管理员审核，不绕过安全策略</w:t>
            </w:r>
          </w:p>
        </w:tc>
      </w:tr>
      <w:tr>
        <w:trPr>
          <w:cantSplit/>
        </w:trPr>
        <w:tc>
          <w:tcPr>
            <w:tcW w:type="dxa" w:w="4819"/>
          </w:tcPr>
          <w:p>
            <w:pPr>
              <w:spacing w:after="100" w:before="100" w:line="264" w:lineRule="auto"/>
            </w:pPr>
            <w:r>
              <w:rPr>
                <w:sz w:val="18"/>
              </w:rPr>
              <w:t>输出目录非空</w:t>
            </w:r>
          </w:p>
        </w:tc>
        <w:tc>
          <w:tcPr>
            <w:tcW w:type="dxa" w:w="4819"/>
          </w:tcPr>
          <w:p>
            <w:pPr>
              <w:spacing w:after="100" w:before="100" w:line="264" w:lineRule="auto"/>
            </w:pPr>
            <w:r>
              <w:rPr>
                <w:sz w:val="18"/>
              </w:rPr>
              <w:t>换新目录，不能以reset删除已有研究</w:t>
            </w:r>
          </w:p>
        </w:tc>
      </w:tr>
    </w:tbl>
    <w:p>
      <w:pPr>
        <w:spacing w:after="0"/>
      </w:pPr>
    </w:p>
    <w:p>
      <w:pPr>
        <w:pStyle w:val="Heading2"/>
      </w:pPr>
      <w:r>
        <w:t>安全更新版本</w:t>
      </w:r>
    </w:p>
    <w:p>
      <w:r>
        <w:t>0.2.0改变采用策略和记录格式，旧数据留作历史，不继承旧批准。新版本先在新的工作区重跑独立数据和负向测试。不要为了使报表更好看而修改默认损失、隐藏参考模型或只保留最好种子。</w:t>
      </w:r>
    </w:p>
    <w:p>
      <w:pPr>
        <w:pStyle w:val="Heading2"/>
      </w:pPr>
      <w:r>
        <w:t>故障后恢复</w:t>
      </w:r>
    </w:p>
    <w:p>
      <w:r>
        <w:t>停服务，保存密钥与数据库的完整备份，运行audit。完整性失败时不要继续生成票据。若需重新建库，应把它明确记录为新的控制器实例，不冒充旧历史没有中断。异常强制杀进程可能无法追加最后一条停止记录，重启前必须核查。</w:t>
      </w:r>
    </w:p>
    <w:p>
      <w:r>
        <w:br w:type="page"/>
      </w:r>
    </w:p>
    <w:p>
      <w:pPr>
        <w:spacing w:after="180"/>
      </w:pPr>
      <w:r>
        <w:rPr>
          <w:color w:val="617E89"/>
          <w:sz w:val="17"/>
        </w:rPr>
        <w:t>EVIDENCE MILESTONES, NOT REBRANDING</w:t>
      </w:r>
    </w:p>
    <w:p>
      <w:pPr>
        <w:pStyle w:val="Heading1"/>
      </w:pPr>
      <w:r>
        <w:t>15 / 如何向更强系统推进</w:t>
      </w:r>
    </w:p>
    <w:tbl>
      <w:tblPr>
        <w:tblStyle w:val="LightShading-Accent1"/>
        <w:tblW w:type="auto" w:w="0"/>
        <w:tblLayout w:type="fixed"/>
        <w:tblLook w:firstColumn="1" w:firstRow="1" w:lastColumn="0" w:lastRow="0" w:noHBand="0" w:noVBand="1" w:val="04A0"/>
      </w:tblPr>
      <w:tblGrid>
        <w:gridCol w:w="4819"/>
        <w:gridCol w:w="4819"/>
      </w:tblGrid>
      <w:tr>
        <w:trPr>
          <w:tblHeader/>
          <w:cantSplit/>
        </w:trPr>
        <w:tc>
          <w:tcPr>
            <w:tcW w:type="dxa" w:w="4819"/>
          </w:tcPr>
          <w:p>
            <w:pPr>
              <w:spacing w:after="100" w:before="100" w:line="264" w:lineRule="auto"/>
            </w:pPr>
            <w:r>
              <w:rPr>
                <w:sz w:val="18"/>
              </w:rPr>
              <w:t>下一阶段</w:t>
            </w:r>
          </w:p>
        </w:tc>
        <w:tc>
          <w:tcPr>
            <w:tcW w:type="dxa" w:w="4819"/>
          </w:tcPr>
          <w:p>
            <w:pPr>
              <w:spacing w:after="100" w:before="100" w:line="264" w:lineRule="auto"/>
            </w:pPr>
            <w:r>
              <w:rPr>
                <w:sz w:val="18"/>
              </w:rPr>
              <w:t>必须新增的实证</w:t>
            </w:r>
          </w:p>
        </w:tc>
      </w:tr>
      <w:tr>
        <w:trPr>
          <w:cantSplit/>
        </w:trPr>
        <w:tc>
          <w:tcPr>
            <w:tcW w:type="dxa" w:w="4819"/>
          </w:tcPr>
          <w:p>
            <w:pPr>
              <w:spacing w:after="100" w:before="100" w:line="264" w:lineRule="auto"/>
            </w:pPr>
            <w:r>
              <w:rPr>
                <w:sz w:val="18"/>
              </w:rPr>
              <w:t>独立新数据复现</w:t>
            </w:r>
          </w:p>
        </w:tc>
        <w:tc>
          <w:tcPr>
            <w:tcW w:type="dxa" w:w="4819"/>
          </w:tcPr>
          <w:p>
            <w:pPr>
              <w:spacing w:after="100" w:before="100" w:line="264" w:lineRule="auto"/>
            </w:pPr>
            <w:r>
              <w:rPr>
                <w:sz w:val="18"/>
              </w:rPr>
              <w:t>另一数据负责人、未公开验收、同成本强参考</w:t>
            </w:r>
          </w:p>
        </w:tc>
      </w:tr>
      <w:tr>
        <w:trPr>
          <w:cantSplit/>
        </w:trPr>
        <w:tc>
          <w:tcPr>
            <w:tcW w:type="dxa" w:w="4819"/>
          </w:tcPr>
          <w:p>
            <w:pPr>
              <w:spacing w:after="100" w:before="100" w:line="264" w:lineRule="auto"/>
            </w:pPr>
            <w:r>
              <w:rPr>
                <w:sz w:val="18"/>
              </w:rPr>
              <w:t>模型候选生成</w:t>
            </w:r>
          </w:p>
        </w:tc>
        <w:tc>
          <w:tcPr>
            <w:tcW w:type="dxa" w:w="4819"/>
          </w:tcPr>
          <w:p>
            <w:pPr>
              <w:spacing w:after="100" w:before="100" w:line="264" w:lineRule="auto"/>
            </w:pPr>
            <w:r>
              <w:rPr>
                <w:sz w:val="18"/>
              </w:rPr>
              <w:t>真实调用记录、无模型对照、完整失败与费用</w:t>
            </w:r>
          </w:p>
        </w:tc>
      </w:tr>
      <w:tr>
        <w:trPr>
          <w:cantSplit/>
        </w:trPr>
        <w:tc>
          <w:tcPr>
            <w:tcW w:type="dxa" w:w="4819"/>
          </w:tcPr>
          <w:p>
            <w:pPr>
              <w:spacing w:after="100" w:before="100" w:line="264" w:lineRule="auto"/>
            </w:pPr>
            <w:r>
              <w:rPr>
                <w:sz w:val="18"/>
              </w:rPr>
              <w:t>真实限定科研</w:t>
            </w:r>
          </w:p>
        </w:tc>
        <w:tc>
          <w:tcPr>
            <w:tcW w:type="dxa" w:w="4819"/>
          </w:tcPr>
          <w:p>
            <w:pPr>
              <w:spacing w:after="100" w:before="100" w:line="264" w:lineRule="auto"/>
            </w:pPr>
            <w:r>
              <w:rPr>
                <w:sz w:val="18"/>
              </w:rPr>
              <w:t>专业目标、授权数据、专家审阅与实际结果</w:t>
            </w:r>
          </w:p>
        </w:tc>
      </w:tr>
      <w:tr>
        <w:trPr>
          <w:cantSplit/>
        </w:trPr>
        <w:tc>
          <w:tcPr>
            <w:tcW w:type="dxa" w:w="4819"/>
          </w:tcPr>
          <w:p>
            <w:pPr>
              <w:spacing w:after="100" w:before="100" w:line="264" w:lineRule="auto"/>
            </w:pPr>
            <w:r>
              <w:rPr>
                <w:sz w:val="18"/>
              </w:rPr>
              <w:t>代码或实验执行器</w:t>
            </w:r>
          </w:p>
        </w:tc>
        <w:tc>
          <w:tcPr>
            <w:tcW w:type="dxa" w:w="4819"/>
          </w:tcPr>
          <w:p>
            <w:pPr>
              <w:spacing w:after="100" w:before="100" w:line="264" w:lineRule="auto"/>
            </w:pPr>
            <w:r>
              <w:rPr>
                <w:sz w:val="18"/>
              </w:rPr>
              <w:t>OS级隔离、出网治理、独立监控与恢复</w:t>
            </w:r>
          </w:p>
        </w:tc>
      </w:tr>
      <w:tr>
        <w:trPr>
          <w:cantSplit/>
        </w:trPr>
        <w:tc>
          <w:tcPr>
            <w:tcW w:type="dxa" w:w="4819"/>
          </w:tcPr>
          <w:p>
            <w:pPr>
              <w:spacing w:after="100" w:before="100" w:line="264" w:lineRule="auto"/>
            </w:pPr>
            <w:r>
              <w:rPr>
                <w:sz w:val="18"/>
              </w:rPr>
              <w:t>广域ASI评估</w:t>
            </w:r>
          </w:p>
        </w:tc>
        <w:tc>
          <w:tcPr>
            <w:tcW w:type="dxa" w:w="4819"/>
          </w:tcPr>
          <w:p>
            <w:pPr>
              <w:spacing w:after="100" w:before="100" w:line="264" w:lineRule="auto"/>
            </w:pPr>
            <w:r>
              <w:rPr>
                <w:sz w:val="18"/>
              </w:rPr>
              <w:t>未知跨领域任务、强人类团队、资源归一和长时可靠性</w:t>
            </w:r>
          </w:p>
        </w:tc>
      </w:tr>
    </w:tbl>
    <w:p>
      <w:pPr>
        <w:spacing w:after="0"/>
      </w:pPr>
    </w:p>
    <w:p>
      <w:r>
        <w:t>能力、泛化、可控性、价值对齐、资源效率和现实收益分配是不同轴。不能用其中一个成绩替代其他轴，也不能从四个数值任务推导人工超级智能。NIST AI RMF可为治理、映射、测量和管理提供框架参照，不构成产品认证。[P4]</w:t>
      </w:r>
    </w:p>
    <w:p>
      <w:pPr>
        <w:pStyle w:val="Heading2"/>
      </w:pPr>
      <w:r>
        <w:t>来源与论证边界</w:t>
      </w:r>
    </w:p>
    <w:p>
      <w:r>
        <w:t>[F1] 用户附件《OpenAI首席科学家：我们已造出异星心智，全人类都要刹车了》，2026-09-07。本文使用其“目标对齐/价值对齐”及评估风险作为设计问题，不把标题或RSI结论当作本项目实证。</w:t>
      </w:r>
    </w:p>
    <w:p>
      <w:r>
        <w:t>[P1] Google DeepMind, AlphaEvolve (2025-05-14). Architecture reference; no reproduction or superiority claim.</w:t>
        <w:br/>
        <w:t>https://deepmind.google/blog/alphaevolve-a-gemini-powered-coding-agent-for-designing-advanced-algorithms/</w:t>
      </w:r>
    </w:p>
    <w:p>
      <w:r>
        <w:t>[P2] Python, http.server documentation.</w:t>
        <w:br/>
        <w:t>https://docs.python.org/3/library/http.server.html</w:t>
        <w:br/>
        <w:t>[P3] SQLite, Isolation.</w:t>
        <w:br/>
        <w:t>https://www.sqlite.org/isolation.html</w:t>
        <w:br/>
        <w:t>[P4] NIST, AI Risk Management Framework.</w:t>
        <w:br/>
        <w:t>https://www.nist.gov/itl/ai-risk-management-framework</w:t>
      </w:r>
    </w:p>
    <w:p>
      <w:r>
        <w:t>[R1] 本次真实计算：validation/summary.json、四项运行记录、campaign.json、browser.json及分发一致性记录。在线资料核对日为2026-09-08。项目没有调用外部模型、提交远端GitHub、获得第三方认证或取得基础模型权重。</w:t>
      </w:r>
    </w:p>
    <w:sectPr w:rsidR="00FC693F" w:rsidRPr="0006063C" w:rsidSect="00034616">
      <w:headerReference w:type="default" r:id="rId9"/>
      <w:footerReference w:type="default" r:id="rId10"/>
      <w:pgSz w:w="11906" w:h="16838"/>
      <w:pgMar w:top="1049" w:right="113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2026-09-08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26C79"/>
        <w:sz w:val="16"/>
      </w:rPr>
      <w:t>DIKWP  /  ASCENT                                        RESEARCH EXECUTION  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1" w:lineRule="auto" w:after="140"/>
    </w:pPr>
    <w:rPr>
      <w:rFonts w:ascii="Aptos" w:hAnsi="Aptos"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80"/>
      <w:outlineLvl w:val="0"/>
    </w:pPr>
    <w:rPr>
      <w:rFonts w:asciiTheme="majorHAnsi" w:eastAsiaTheme="majorEastAsia" w:hAnsiTheme="majorHAnsi" w:cstheme="majorBidi" w:ascii="Aptos" w:hAnsi="Aptos" w:eastAsia="Noto Sans CJK SC"/>
      <w:b/>
      <w:bCs/>
      <w:color w:val="143C50"/>
      <w:sz w:val="4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eastAsia="Noto Sans CJK SC"/>
      <w:b/>
      <w:bCs/>
      <w:color w:val="14616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Noto Sans CJK SC"/>
      <w:color w:val="143C50"/>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eastAsia="Noto Sans CJK SC"/>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DIKWP ASCENT 0.2.0 — 操作与工程手册</dc:title>
  <dc:subject>Bounded research, frozen inference, revocable local adoption</dc:subject>
  <dc:creator>DIKWP ASCENT project</dc:creator>
  <cp:keywords>ASCENT, DIKWP, research, verification, operator manual</cp:keywords>
  <dc:description>generated by python-docx</dc:description>
  <cp:lastModifiedBy/>
  <cp:revision>1</cp:revision>
  <dcterms:created xsi:type="dcterms:W3CDTF">2013-12-23T23:15:00Z</dcterms:created>
  <dcterms:modified xsi:type="dcterms:W3CDTF">2013-12-23T23:15:00Z</dcterms:modified>
  <cp:category/>
</cp:coreProperties>
</file>