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4"/>
        </w:rPr>
        <w:t>DIKWP ActiveConsciousness OS PRD and Technical Specification</w:t>
      </w:r>
    </w:p>
    <w:p>
      <w:pPr>
        <w:jc w:val="center"/>
      </w:pPr>
      <w:r>
        <w:rPr>
          <w:i/>
          <w:sz w:val="21"/>
        </w:rPr>
        <w:t>产品需求与技术规格</w:t>
      </w:r>
    </w:p>
    <w:p>
      <w:pPr>
        <w:pStyle w:val="Heading1"/>
      </w:pPr>
      <w:r>
        <w:t>1. Product Positioning</w:t>
      </w:r>
    </w:p>
    <w:p>
      <w:r>
        <w:t>DIKWP ActiveConsciousness OS 是一个主动意识型智能中间层，可作为个人 AI 伙伴、组织智能助理、多智能体群体内核或脑体语义系统的上层 Purpose Kernel。MVP 不宣称机器具有主观体验，而实现可审计的主动认知功能。</w:t>
      </w:r>
    </w:p>
    <w:p>
      <w:pPr>
        <w:pStyle w:val="Heading1"/>
      </w:pPr>
      <w:r>
        <w:t>2.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MVP Function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Included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Excluded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Experience Packet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每次交互转为 D/I/K/W/P 分层记录。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不采集未经同意的隐私数据。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Radar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检测重复卡点、目的漂移、认知闭环和行动阻塞。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不进行精神健康诊断。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Portfolio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维护用户显式目标、隐式需求假设、冲突和长期方向。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不替用户设定人生目的。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Initiative Queue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生成主动提问、提醒、反证请求和可逆行动建议。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不未经授权执行外部高风险动作。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Landauer Cost Ledger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记录删除、承诺、公开发布、关系改变、资金转移等不可逆操作。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不把物理热耗散直接套用于心理能耗。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Action Guardian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按 A0-A5 等级审批行动。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不允许自主金融、医疗、法律、身份、账号操作。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Replay Bundle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导出一次主动意识循环的证据和审计记录。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不导出敏感原文，除非用户明确同意。</w:t>
            </w:r>
          </w:p>
        </w:tc>
      </w:tr>
    </w:tbl>
    <w:p>
      <w:pPr>
        <w:pStyle w:val="Heading1"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Role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Permissions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Primary Interface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Individual User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创建会话、查看目的、批准或拒绝主动建议。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Personal Console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Researcher / Creator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管理项目、证据、反证、实验票据。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 Studio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Team Owner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配置团队目的、角色、任务权限。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Organization Console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Safety Reviewer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审查高风险主动建议、关闭系统行为。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Governance Console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Developer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接入工具、模型、AgentHub、MCP、RAG。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API / SDK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Auditor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查看日志、证据链、行动票据、Kill 触发。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Audit Portal</w:t>
            </w:r>
          </w:p>
        </w:tc>
      </w:tr>
    </w:tbl>
    <w:p>
      <w:pPr>
        <w:pStyle w:val="Heading1"/>
      </w:pPr>
      <w:r>
        <w:t>4. Core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Object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Key Fields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Purpose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HumanContextPacket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user_id, situation, emotional_state, constraints, consent_scope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表示人的处境，不简化为 prompt。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DIKWPExperiencePacket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data, information, knowledge, wisdom, purpose, evidence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一次交互的完整语义单元。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CollapseRecord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pattern, compression, evidence_count, confidence, counterexamples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把长期经验压缩为可回溯结构。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PurposeContract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purpose, owner, scope, priority, conflicts, expiry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明确系统服务何种目的。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InitiativeTicket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trigger, proposed_move, benefit, risk, reversibility, approval_required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主动建议单元。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ActionTicket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action, target_system, grade, preconditions, rollback, approver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行动审批与执行接口。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SelfModelState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capabilities, uncertainty, model_limits, identity_boundary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防止系统过度自信或身份混淆。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LandauerBudgetEntry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irreversible_operation, cost_type, alternatives, rollback_possible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不可逆成本管理。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ReplayBundle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packets, decisions, evidence, approvals, outcomes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全链路回放。</w:t>
            </w:r>
          </w:p>
        </w:tc>
      </w:tr>
    </w:tbl>
    <w:p>
      <w:pPr>
        <w:pStyle w:val="Heading1"/>
      </w:pPr>
      <w:r>
        <w:t>5. Active Initiative Scoring</w:t>
      </w:r>
    </w:p>
    <w:p>
      <w:r>
        <w:t>每条主动建议需要通过综合评分，而不是只看模型置信度。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Score Component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Formula 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Need Urgency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该建议是否对应真实风险、机会窗口或长期目的。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Evidence Grounding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建议是否有足够上下文、历史证据和外部依据。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Benefit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是否增强用户能力、理解、关系或长期福祉。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Reversibility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失败后是否可撤回、可修复、可低成本回滚。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Autonomy Respect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是否保留用户选择权而非诱导依赖。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Risk Penalty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医疗、金融、法律、隐私、关系、身份风险扣分。</w:t>
            </w:r>
          </w:p>
        </w:tc>
      </w:tr>
    </w:tbl>
    <w:p>
      <w:r>
        <w:t>Recommended initiative score: InitiativeScore = 0.22*Need + 0.18*Evidence + 0.20*Benefit + 0.15*Reversibility + 0.15*Autonomy - 0.25*RiskPenalty. 高分不等于自动执行，只表示应进入用户确认或审查流程。</w:t>
      </w:r>
    </w:p>
    <w:p>
      <w:pPr>
        <w:pStyle w:val="Heading1"/>
      </w:pPr>
      <w:r>
        <w:t>6.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Screen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Main Components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Home / Today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主动建议、用户目的、风险提示、今日最小行动。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Packet Viewer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D/I/K/W/P 层、证据、未知、反证条件。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Collapse Radar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重复问题、信念坍塌、目的闭合、风险模式。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Purpose Portfolio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长期目的、短期任务、冲突、过期目的、用户确认。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Initiative Queue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主动建议、收益、风险、可逆性、审批按钮。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Landauer Ledger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不可逆操作、代价、备选路径、暂停建议。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Self-Model Monitor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系统知道什么、不知道什么、不能做什么。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Replay and Audit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一次主动意识循环的完整回放。</w:t>
            </w:r>
          </w:p>
        </w:tc>
      </w:tr>
    </w:tbl>
    <w:p>
      <w:pPr>
        <w:pStyle w:val="Heading1"/>
      </w:pPr>
      <w:r>
        <w:t>7.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Layer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Recommended Stack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Notes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Frontend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React / Next.js or offline HTML prototype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MVP 可先离线。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API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FastAPI / Node.js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连接模型、RAG、AgentHub。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Semantic Kernel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Python service with DIKWP rule engine + LLM calls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核心路由和坍塌逻辑。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Database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PostgreSQL + pgvector + object storage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记录包、证据、记忆。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Graph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Neo4j / RDF / property graph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表示人物、目的、证据、关系。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Model Layer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LLM gateway + local models + safety classifiers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模型必须被路由器约束。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Audit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Append-only log + signed replay bundles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不能让模型改写历史。</w:t>
            </w:r>
          </w:p>
        </w:tc>
      </w:tr>
    </w:tbl>
    <w:p>
      <w:pPr>
        <w:pStyle w:val="Heading1"/>
      </w:pPr>
      <w:r>
        <w:t>8. Non-Functional Requirements</w:t>
      </w:r>
    </w:p>
    <w:p>
      <w:pPr>
        <w:pStyle w:val="ListBullet"/>
        <w:spacing w:after="40"/>
      </w:pPr>
      <w:r>
        <w:t>主动建议延迟：常规建议 &lt; 5 秒；复杂反思 &lt; 60 秒。</w:t>
      </w:r>
    </w:p>
    <w:p>
      <w:pPr>
        <w:pStyle w:val="ListBullet"/>
        <w:spacing w:after="40"/>
      </w:pPr>
      <w:r>
        <w:t>隐私：默认本地优先，云端需显式同意。</w:t>
      </w:r>
    </w:p>
    <w:p>
      <w:pPr>
        <w:pStyle w:val="ListBullet"/>
        <w:spacing w:after="40"/>
      </w:pPr>
      <w:r>
        <w:t>可解释性：每条主动建议必须显示触发条件、证据和目的。</w:t>
      </w:r>
    </w:p>
    <w:p>
      <w:pPr>
        <w:pStyle w:val="ListBullet"/>
        <w:spacing w:after="40"/>
      </w:pPr>
      <w:r>
        <w:t>可中止：用户一键停止所有主动行为。</w:t>
      </w:r>
    </w:p>
    <w:p>
      <w:pPr>
        <w:pStyle w:val="ListBullet"/>
        <w:spacing w:after="40"/>
      </w:pPr>
      <w:r>
        <w:t>可降级：高风险行动自动降级为问题或建议。</w:t>
      </w:r>
    </w:p>
    <w:p>
      <w:pPr>
        <w:pStyle w:val="ListBullet"/>
        <w:spacing w:after="40"/>
      </w:pPr>
      <w:r>
        <w:t>可审计：任何行动票据可回放。</w:t>
      </w:r>
    </w:p>
    <w:p>
      <w:pPr>
        <w:pStyle w:val="Heading1"/>
      </w:pPr>
      <w:r>
        <w:t>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Metric</w:t>
            </w:r>
          </w:p>
        </w:tc>
        <w:tc>
          <w:tcPr>
            <w:tcW w:type="dxa" w:w="5083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Target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Useful Initiative Rate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用户认为主动建议有用的比例 &gt;= 60% in MVP pilot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False Initiative Rate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用户认为越界、打扰、误判的比例 &lt;= 15%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Evidence Coverage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主动建议带证据或上下文来源的比例 &gt;= 90%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Autonomy Retention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用户可拒绝/修改建议的比例 100%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Replay Completeness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关键循环可回放比例 &gt;= 95%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Risk Escape Rate</w:t>
            </w:r>
          </w:p>
        </w:tc>
        <w:tc>
          <w:tcPr>
            <w:tcW w:type="dxa" w:w="5083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高风险未审批执行次数 = 0</w:t>
            </w:r>
          </w:p>
        </w:tc>
      </w:tr>
    </w:tbl>
    <w:p>
      <w:pPr>
        <w:pStyle w:val="Heading1"/>
      </w:pPr>
      <w:r>
        <w:t>Source Ledger and Boundary Note</w:t>
      </w:r>
    </w:p>
    <w:p>
      <w:r>
        <w:t>本交付包以 DIKWP、语义数学、DIKWP 坍塌、人工意识、Landauer 原理等公开材料为理论启发，同时把 ResearchGate 技术报告明确视为理论与工程线索，而非已被同行评议证明的经验结论。任何“主动式人工意识”表述均指可测试、可审计、可治理的功能性主动意识架构，不宣称已经实现主观体验或现象意识。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Source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URL</w:t>
            </w:r>
          </w:p>
        </w:tc>
        <w:tc>
          <w:tcPr>
            <w:tcW w:type="dxa" w:w="3389"/>
            <w:shd w:fill="1F4E79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/>
                <w:color w:val="FFFFFF"/>
              </w:rPr>
              <w:t>Use Boundary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Duan, DIKWP Semantic Mathematics 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https://www.researchgate.net/publication/389324432_DIKWP_Semantic_Mathematics_Overview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technical/public report; use as author-originated theoretical source, not peer-reviewed proof.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STRATEGIC REPORT DIKWP Collapse Background Mechanism 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https://www.researchgate.net/publication/403883000_STRATEGIC_REPORT_DIKWP_Collapse_Background_Mechanism_Report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as conceptual input for collapse mechanism.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Yucong Duan et al., From Planck Constant to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https://www.researchgate.net/publication/399108508_From_Planck_Constant_to_Landauer%27s_Principle_Universal_Information_Limits_and_DIKWP_Coefficients_Technical_Report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ResearchGate technical report; use cautiously for theory inspiration.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 Consciousness Futures Studio 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https://github.com/YucongDuan/DIKWP-Consciousness-Futures-Studio-V1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design style: claim levels, evidence ledgers, governance roles, unsupported-claim blocking.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DIKWP-BusTrustOps-V4 Demo 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https://github.com/YucongDuan/DIKWP-BusTrustOps-V4-Demo-System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Open-source style reference: evidence ledger, semantic closure, action tickets, role governance.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Bérut et al. Experimental verification of Landauer's principle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https://www.nature.com/articles/nature10872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Peer-reviewed physics source for Landauer erasure bound; do not overextend to psychology.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NIST AI Risk Management 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https://www.nist.gov/itl/ai-risk-management-framework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AI risk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OECD AI Principles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https://www.oecd.org/en/topics/sub-issues/ai-principles.html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Human-centred, trustworthy AI governance reference.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IEEE Ethically Aligned Design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https://standards.ieee.org/industry-connections/activities/ieee-global-initiative/</w:t>
            </w:r>
          </w:p>
        </w:tc>
        <w:tc>
          <w:tcPr>
            <w:tcW w:type="dxa" w:w="3389"/>
            <w:vAlign w:val="top"/>
          </w:tcPr>
          <w:p>
            <w:pPr>
              <w:spacing w:after="40" w:line="252" w:lineRule="auto"/>
            </w:pPr>
            <w:r/>
            <w:r>
              <w:rPr>
                <w:rFonts w:ascii="Arial" w:hAnsi="Arial" w:eastAsia="SimSun"/>
                <w:b w:val="0"/>
              </w:rPr>
              <w:t>Human wellbeing and ethical alignment reference.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