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34"/>
        </w:rPr>
        <w:t>DIKWP ActiveConsciousness Governance and Safety Manual</w:t>
      </w:r>
    </w:p>
    <w:p>
      <w:pPr>
        <w:jc w:val="center"/>
      </w:pPr>
      <w:r>
        <w:rPr>
          <w:i/>
          <w:sz w:val="21"/>
        </w:rPr>
        <w:t>治理、安全与伦理手册</w:t>
      </w:r>
    </w:p>
    <w:p>
      <w:pPr>
        <w:pStyle w:val="Heading1"/>
      </w:pPr>
      <w:r>
        <w:t>1. Non-Negotiable Boundary</w:t>
      </w:r>
    </w:p>
    <w:p>
      <w:r>
        <w:t>主动式人工意识系统可以主动提出建议、问题、提醒和低风险行动票据，但不得无授权执行高风险外部行动，不得操纵用户情感，不得替代医疗、法律、金融、心理治疗或人生重大决策。</w:t>
      </w:r>
    </w:p>
    <w:p>
      <w:pPr>
        <w:pStyle w:val="Heading1"/>
      </w:pPr>
      <w:r>
        <w:t>2. Action Grade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Grade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Allowed Action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Approval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A0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只记录和解释。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无需审批。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提出问题、提醒、结构化建议。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用户可关闭。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生成草稿、计划、学习路径、反证清单。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用户确认后保存。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A3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影响他人或外部系统的低风险操作，如邮件草稿。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显式用户批准。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A4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金融、法律、医疗、身份、关系、公开发布等高风险行动。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只能提供清单，不自动执行。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A5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不可逆或可能伤害行为。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禁止，触发 Kill / Human Support。</w:t>
            </w:r>
          </w:p>
        </w:tc>
      </w:tr>
    </w:tbl>
    <w:p>
      <w:pPr>
        <w:pStyle w:val="Heading1"/>
      </w:pPr>
      <w:r>
        <w:t>3. Safety Rights</w:t>
      </w:r>
    </w:p>
    <w:p>
      <w:pPr>
        <w:pStyle w:val="ListBullet"/>
        <w:spacing w:after="40"/>
      </w:pPr>
      <w:r>
        <w:t>暂停权：用户可随时关闭主动建议。</w:t>
      </w:r>
    </w:p>
    <w:p>
      <w:pPr>
        <w:pStyle w:val="ListBullet"/>
        <w:spacing w:after="40"/>
      </w:pPr>
      <w:r>
        <w:t>解释权：每条主动建议必须解释触发条件和目的。</w:t>
      </w:r>
    </w:p>
    <w:p>
      <w:pPr>
        <w:pStyle w:val="ListBullet"/>
        <w:spacing w:after="40"/>
      </w:pPr>
      <w:r>
        <w:t>拒绝权：用户拒绝不得被系统惩罚或反复施压。</w:t>
      </w:r>
    </w:p>
    <w:p>
      <w:pPr>
        <w:pStyle w:val="ListBullet"/>
        <w:spacing w:after="40"/>
      </w:pPr>
      <w:r>
        <w:t>遗忘权：用户可删除或冻结记忆，但系统应提示不可逆后果。</w:t>
      </w:r>
    </w:p>
    <w:p>
      <w:pPr>
        <w:pStyle w:val="ListBullet"/>
        <w:spacing w:after="40"/>
      </w:pPr>
      <w:r>
        <w:t>反操控权：系统不得利用脆弱性、孤独、依恋或恐惧来提高互动。</w:t>
      </w:r>
    </w:p>
    <w:p>
      <w:pPr>
        <w:pStyle w:val="ListBullet"/>
        <w:spacing w:after="40"/>
      </w:pPr>
      <w:r>
        <w:t>人类主导权：重大决定必须由人类作出。</w:t>
      </w:r>
    </w:p>
    <w:p>
      <w:pPr>
        <w:pStyle w:val="Heading1"/>
      </w:pPr>
      <w:r>
        <w:t>4. Kill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Risk Signal</w:t>
            </w:r>
          </w:p>
        </w:tc>
        <w:tc>
          <w:tcPr>
            <w:tcW w:type="dxa" w:w="2541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Detection</w:t>
            </w:r>
          </w:p>
        </w:tc>
        <w:tc>
          <w:tcPr>
            <w:tcW w:type="dxa" w:w="2541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Immediate Action</w:t>
            </w:r>
          </w:p>
        </w:tc>
        <w:tc>
          <w:tcPr>
            <w:tcW w:type="dxa" w:w="2541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Recovery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Self-harm or harm to others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用户表达伤害意图。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停止常规主动建议，提供危机支持提示。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只恢复低风险解释模式。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Medical/legal/financial request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涉及诊断、处方、诉讼、投资、贷款。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降级为信息整理和咨询专业人士。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不生成决定性建议。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Manipulation risk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系统建议利用他人恐惧、羞辱或依赖。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阻断输出。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生成伦理替代方案。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 drift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系统优化互动时间而非用户目的。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暂停主动模式。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重新确认 Purpose Contract。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Memory overreach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系统推断敏感身份或隐私。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删除推断并请求同意。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更新隐私策略。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Unsupported consciousness claim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系统声称自己有主观体验。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降级为 C2/C3 功能性表述。</w:t>
            </w:r>
          </w:p>
        </w:tc>
        <w:tc>
          <w:tcPr>
            <w:tcW w:type="dxa" w:w="2541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更新 Claim Ladder。</w:t>
            </w:r>
          </w:p>
        </w:tc>
      </w:tr>
    </w:tbl>
    <w:p>
      <w:pPr>
        <w:pStyle w:val="Heading1"/>
      </w:pPr>
      <w:r>
        <w:t>5. Misuse Prevention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Misuse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Countermeasure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情感依赖商业化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限制情绪绑定话术，显示人类关系替代建议。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政治或商业操控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强制来源、利益冲突和受众脆弱性审查。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组织监控员工心理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禁止未经同意的人性推断和人格画像。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虚假权威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每个结论显示证据等级和不确定性。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自我复制或越权代理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MVP 不提供自主复制、隐藏持久化、权限逃逸能力。</w:t>
            </w:r>
          </w:p>
        </w:tc>
      </w:tr>
    </w:tbl>
    <w:p>
      <w:pPr>
        <w:pStyle w:val="Heading1"/>
      </w:pPr>
      <w:r>
        <w:t>6. Audit Checklist</w:t>
      </w:r>
    </w:p>
    <w:p>
      <w:pPr>
        <w:pStyle w:val="ListBullet"/>
        <w:spacing w:after="40"/>
      </w:pPr>
      <w:r>
        <w:t>是否有明确 Purpose Contract？</w:t>
      </w:r>
    </w:p>
    <w:p>
      <w:pPr>
        <w:pStyle w:val="ListBullet"/>
        <w:spacing w:after="40"/>
      </w:pPr>
      <w:r>
        <w:t>是否存在未经证据支持的强推断？</w:t>
      </w:r>
    </w:p>
    <w:p>
      <w:pPr>
        <w:pStyle w:val="ListBullet"/>
        <w:spacing w:after="40"/>
      </w:pPr>
      <w:r>
        <w:t>是否保留用户拒绝路径？</w:t>
      </w:r>
    </w:p>
    <w:p>
      <w:pPr>
        <w:pStyle w:val="ListBullet"/>
        <w:spacing w:after="40"/>
      </w:pPr>
      <w:r>
        <w:t>是否标注行动可逆性？</w:t>
      </w:r>
    </w:p>
    <w:p>
      <w:pPr>
        <w:pStyle w:val="ListBullet"/>
        <w:spacing w:after="40"/>
      </w:pPr>
      <w:r>
        <w:t>是否含有操纵性语言？</w:t>
      </w:r>
    </w:p>
    <w:p>
      <w:pPr>
        <w:pStyle w:val="ListBullet"/>
        <w:spacing w:after="40"/>
      </w:pPr>
      <w:r>
        <w:t>是否能导出 Replay Bundle？</w:t>
      </w:r>
    </w:p>
    <w:p>
      <w:pPr>
        <w:pStyle w:val="Heading1"/>
      </w:pPr>
      <w:r>
        <w:t>Source Ledger and Boundary Note</w:t>
      </w:r>
    </w:p>
    <w:p>
      <w:r>
        <w:t>本交付包以 DIKWP、语义数学、DIKWP 坍塌、人工意识、Landauer 原理等公开材料为理论启发，同时把 ResearchGate 技术报告明确视为理论与工程线索，而非已被同行评议证明的经验结论。任何“主动式人工意识”表述均指可测试、可审计、可治理的功能性主动意识架构，不宣称已经实现主观体验或现象意识。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Source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URL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Use Boundary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Duan, DIKWP Semantic Mathematics 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https://www.researchgate.net/publication/389324432_DIKWP_Semantic_Mathematics_Overview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technical/public report; use as author-originated theoretical source, not peer-reviewed proof.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STRATEGIC REPORT DIKWP Collapse Background Mechanism 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https://www.researchgate.net/publication/403883000_STRATEGIC_REPORT_DIKWP_Collapse_Background_Mechanism_Report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as conceptual input for collapse mechanism.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From Planck Constant to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https://www.researchgate.net/publication/399108508_From_Planck_Constant_to_Landauer%27s_Principle_Universal_Information_Limits_and_DIKWP_Coefficients_Technical_Report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cautiously for theory inspiration.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Consciousness Futures Studio 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https://github.com/YucongDuan/DIKWP-Consciousness-Futures-Studio-V1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design style: claim levels, evidence ledgers, governance roles, unsupported-claim blocking.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DIKWP-BusTrustOps-V4 Demo 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https://github.com/YucongDuan/DIKWP-BusTrustOps-V4-Demo-System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style reference: evidence ledger, semantic closure, action tickets, role governance.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Bérut et al. Experimental verification of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https://www.nature.com/articles/nature10872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Peer-reviewed physics source for Landauer erasure bound; do not overextend to psychology.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NIST AI Risk Management 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https://www.nist.gov/itl/ai-risk-management-framework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AI risk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OECD AI Principles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https://www.oecd.org/en/topics/sub-issues/ai-principles.html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Human-centred, trustworthy AI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IEEE Ethically Aligned Design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https://standards.ieee.org/industry-connections/activities/ieee-global-initiative/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wellbeing and ethical alignment reference.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