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SimHei"/>
          <w:b/>
          <w:sz w:val="34"/>
        </w:rPr>
        <w:t>DIKWP ActiveConsciousness OS Communication and Partnership Templates</w:t>
      </w:r>
    </w:p>
    <w:p>
      <w:pPr>
        <w:jc w:val="center"/>
      </w:pPr>
      <w:r>
        <w:rPr>
          <w:i/>
          <w:sz w:val="21"/>
        </w:rPr>
        <w:t>传播、合作、立项与 FAQ 模板</w:t>
      </w:r>
    </w:p>
    <w:p>
      <w:pPr>
        <w:pStyle w:val="Heading1"/>
      </w:pPr>
      <w:r>
        <w:t>1. Public Explanation</w:t>
      </w:r>
    </w:p>
    <w:p>
      <w:r>
        <w:t>DIKWP ActiveConsciousness OS is a next-generation active AI architecture designed to move beyond passive response. It helps AI systems understand human context, maintain purpose, accumulate experience, detect cognitive collapse, propose reversible initiatives, and remain auditable under human control. It does not claim phenomenal consciousness. It builds functional, testable, accountable active consciousness capabilities for human development.</w:t>
      </w:r>
    </w:p>
    <w:p>
      <w:pPr>
        <w:pStyle w:val="Heading1"/>
      </w:pPr>
      <w:r>
        <w:t>2. Chinese One-Paragraph Pitch</w:t>
      </w:r>
    </w:p>
    <w:p>
      <w:r>
        <w:t>DIKWP ActiveConsciousness OS 试图把 AI 从“被动回答工具”推进为“主动认知伙伴”。系统通过 DIKWP 五层语义链理解人的事实、差异、知识、价值和目的，通过坍塌式积累形成可展开、可审计的长期经验，通过人性模型识别真实需求与脆弱性，通过 Landauer 不可逆成本账本避免过早行动和不可逆伤害，并以 Action Guardian 保证任何主动行为都可解释、可拒绝、可撤回、可审计。</w:t>
      </w:r>
    </w:p>
    <w:p>
      <w:pPr>
        <w:pStyle w:val="Heading1"/>
      </w:pPr>
      <w:r>
        <w:t>3. Investor / Grant Pitch</w:t>
      </w:r>
    </w:p>
    <w:tbl>
      <w:tblPr>
        <w:tblStyle w:val="TableGrid"/>
        <w:tblW w:type="auto" w:w="0"/>
        <w:jc w:val="center"/>
        <w:tblLook w:firstColumn="1" w:firstRow="1" w:lastColumn="0" w:lastRow="0" w:noHBand="0" w:noVBand="1" w:val="04A0"/>
      </w:tblPr>
      <w:tblGrid>
        <w:gridCol w:w="5083"/>
        <w:gridCol w:w="5083"/>
      </w:tblGrid>
      <w:tr>
        <w:tc>
          <w:tcPr>
            <w:tcW w:type="dxa" w:w="5083"/>
            <w:shd w:fill="1F4E79"/>
          </w:tcPr>
          <w:p>
            <w:pPr>
              <w:spacing w:after="40" w:line="252" w:lineRule="auto"/>
            </w:pPr>
            <w:r/>
            <w:r>
              <w:rPr>
                <w:rFonts w:ascii="Arial" w:hAnsi="Arial" w:eastAsia="SimSun"/>
                <w:b/>
                <w:color w:val="FFFFFF"/>
              </w:rPr>
              <w:t>Question</w:t>
            </w:r>
          </w:p>
        </w:tc>
        <w:tc>
          <w:tcPr>
            <w:tcW w:type="dxa" w:w="5083"/>
            <w:shd w:fill="1F4E79"/>
          </w:tcPr>
          <w:p>
            <w:pPr>
              <w:spacing w:after="40" w:line="252" w:lineRule="auto"/>
            </w:pPr>
            <w:r/>
            <w:r>
              <w:rPr>
                <w:rFonts w:ascii="Arial" w:hAnsi="Arial" w:eastAsia="SimSun"/>
                <w:b/>
                <w:color w:val="FFFFFF"/>
              </w:rPr>
              <w:t>Answer</w:t>
            </w:r>
          </w:p>
        </w:tc>
      </w:tr>
      <w:tr>
        <w:tc>
          <w:tcPr>
            <w:tcW w:type="dxa" w:w="5083"/>
            <w:vAlign w:val="top"/>
          </w:tcPr>
          <w:p>
            <w:pPr>
              <w:spacing w:after="40" w:line="252" w:lineRule="auto"/>
            </w:pPr>
            <w:r/>
            <w:r>
              <w:rPr>
                <w:rFonts w:ascii="Arial" w:hAnsi="Arial" w:eastAsia="SimSun"/>
                <w:b w:val="0"/>
              </w:rPr>
              <w:t>Why now?</w:t>
            </w:r>
          </w:p>
        </w:tc>
        <w:tc>
          <w:tcPr>
            <w:tcW w:type="dxa" w:w="5083"/>
            <w:vAlign w:val="top"/>
          </w:tcPr>
          <w:p>
            <w:pPr>
              <w:spacing w:after="40" w:line="252" w:lineRule="auto"/>
            </w:pPr>
            <w:r/>
            <w:r>
              <w:rPr>
                <w:rFonts w:ascii="Arial" w:hAnsi="Arial" w:eastAsia="SimSun"/>
                <w:b w:val="0"/>
              </w:rPr>
              <w:t>LLMs are increasingly agentic, but their agency remains reactive, poorly grounded in human nature, and weakly auditable.</w:t>
            </w:r>
          </w:p>
        </w:tc>
      </w:tr>
      <w:tr>
        <w:tc>
          <w:tcPr>
            <w:tcW w:type="dxa" w:w="5083"/>
            <w:vAlign w:val="top"/>
          </w:tcPr>
          <w:p>
            <w:pPr>
              <w:spacing w:after="40" w:line="252" w:lineRule="auto"/>
            </w:pPr>
            <w:r/>
            <w:r>
              <w:rPr>
                <w:rFonts w:ascii="Arial" w:hAnsi="Arial" w:eastAsia="SimSun"/>
                <w:b w:val="0"/>
              </w:rPr>
              <w:t>What is new?</w:t>
            </w:r>
          </w:p>
        </w:tc>
        <w:tc>
          <w:tcPr>
            <w:tcW w:type="dxa" w:w="5083"/>
            <w:vAlign w:val="top"/>
          </w:tcPr>
          <w:p>
            <w:pPr>
              <w:spacing w:after="40" w:line="252" w:lineRule="auto"/>
            </w:pPr>
            <w:r/>
            <w:r>
              <w:rPr>
                <w:rFonts w:ascii="Arial" w:hAnsi="Arial" w:eastAsia="SimSun"/>
                <w:b w:val="0"/>
              </w:rPr>
              <w:t>A DIKWP-based active consciousness kernel that combines purpose maintenance, collapse accumulation, human-nature modelling, initiative generation, and safety governance.</w:t>
            </w:r>
          </w:p>
        </w:tc>
      </w:tr>
      <w:tr>
        <w:tc>
          <w:tcPr>
            <w:tcW w:type="dxa" w:w="5083"/>
            <w:vAlign w:val="top"/>
          </w:tcPr>
          <w:p>
            <w:pPr>
              <w:spacing w:after="40" w:line="252" w:lineRule="auto"/>
            </w:pPr>
            <w:r/>
            <w:r>
              <w:rPr>
                <w:rFonts w:ascii="Arial" w:hAnsi="Arial" w:eastAsia="SimSun"/>
                <w:b w:val="0"/>
              </w:rPr>
              <w:t>First market?</w:t>
            </w:r>
          </w:p>
        </w:tc>
        <w:tc>
          <w:tcPr>
            <w:tcW w:type="dxa" w:w="5083"/>
            <w:vAlign w:val="top"/>
          </w:tcPr>
          <w:p>
            <w:pPr>
              <w:spacing w:after="40" w:line="252" w:lineRule="auto"/>
            </w:pPr>
            <w:r/>
            <w:r>
              <w:rPr>
                <w:rFonts w:ascii="Arial" w:hAnsi="Arial" w:eastAsia="SimSun"/>
                <w:b w:val="0"/>
              </w:rPr>
              <w:t>Researchers, founders, organizations, and AI-agent developers needing proactive but safe cognitive systems.</w:t>
            </w:r>
          </w:p>
        </w:tc>
      </w:tr>
      <w:tr>
        <w:tc>
          <w:tcPr>
            <w:tcW w:type="dxa" w:w="5083"/>
            <w:vAlign w:val="top"/>
          </w:tcPr>
          <w:p>
            <w:pPr>
              <w:spacing w:after="40" w:line="252" w:lineRule="auto"/>
            </w:pPr>
            <w:r/>
            <w:r>
              <w:rPr>
                <w:rFonts w:ascii="Arial" w:hAnsi="Arial" w:eastAsia="SimSun"/>
                <w:b w:val="0"/>
              </w:rPr>
              <w:t>Defensibility?</w:t>
            </w:r>
          </w:p>
        </w:tc>
        <w:tc>
          <w:tcPr>
            <w:tcW w:type="dxa" w:w="5083"/>
            <w:vAlign w:val="top"/>
          </w:tcPr>
          <w:p>
            <w:pPr>
              <w:spacing w:after="40" w:line="252" w:lineRule="auto"/>
            </w:pPr>
            <w:r/>
            <w:r>
              <w:rPr>
                <w:rFonts w:ascii="Arial" w:hAnsi="Arial" w:eastAsia="SimSun"/>
                <w:b w:val="0"/>
              </w:rPr>
              <w:t>Protocol layer, audit ledger, DIKWP semantics, collapse records, and cross-platform integration with AgentHub / NeuroBody / CivilizationBridge.</w:t>
            </w:r>
          </w:p>
        </w:tc>
      </w:tr>
      <w:tr>
        <w:tc>
          <w:tcPr>
            <w:tcW w:type="dxa" w:w="5083"/>
            <w:vAlign w:val="top"/>
          </w:tcPr>
          <w:p>
            <w:pPr>
              <w:spacing w:after="40" w:line="252" w:lineRule="auto"/>
            </w:pPr>
            <w:r/>
            <w:r>
              <w:rPr>
                <w:rFonts w:ascii="Arial" w:hAnsi="Arial" w:eastAsia="SimSun"/>
                <w:b w:val="0"/>
              </w:rPr>
              <w:t>Risk control?</w:t>
            </w:r>
          </w:p>
        </w:tc>
        <w:tc>
          <w:tcPr>
            <w:tcW w:type="dxa" w:w="5083"/>
            <w:vAlign w:val="top"/>
          </w:tcPr>
          <w:p>
            <w:pPr>
              <w:spacing w:after="40" w:line="252" w:lineRule="auto"/>
            </w:pPr>
            <w:r/>
            <w:r>
              <w:rPr>
                <w:rFonts w:ascii="Arial" w:hAnsi="Arial" w:eastAsia="SimSun"/>
                <w:b w:val="0"/>
              </w:rPr>
              <w:t>No autonomous high-risk action; human approval, replay bundles, claim ladder, and kill matrix.</w:t>
            </w:r>
          </w:p>
        </w:tc>
      </w:tr>
    </w:tbl>
    <w:p>
      <w:pPr>
        <w:pStyle w:val="Heading1"/>
      </w:pPr>
      <w:r>
        <w:t>4. Academic Abstract</w:t>
      </w:r>
    </w:p>
    <w:p>
      <w:r>
        <w:t>This project proposes a DIKWP-based active artificial consciousness architecture for transforming passive large-model interaction into purpose-governed, human-centred, auditable initiative. The framework treats active consciousness functionally rather than phenomenally: an artificial system qualifies as an active-consciousness candidate only if it maintains observer boundaries, purpose contracts, human-nature hypotheses, DIKWP experience packets, collapse-style accumulation, initiative tickets, action guardians, and replayable evidence ledgers. Landauer’s principle is used cautiously as an engineering metaphor for irreversible cognitive and action costs. The platform is designed to generate safe proactive support while preserving human autonomy and preventing unsupported consciousness claims.</w:t>
      </w:r>
    </w:p>
    <w:p>
      <w:pPr>
        <w:pStyle w:val="Heading1"/>
      </w:pPr>
      <w:r>
        <w:t>5. Partnership Email</w:t>
      </w:r>
    </w:p>
    <w:p>
      <w:r>
        <w:t>Dear Professor / Dr. [Name],</w:t>
        <w:br/>
        <w:br/>
        <w:t>We are developing DIKWP ActiveConsciousness OS, a research-and-platform initiative that explores how AI systems can move beyond passive response toward accountable, purpose-governed, human-centred proactive cognition. The project builds on DIKWP semantic modelling, collapse-style accumulation, evidence ledgers, action tickets, and human-in-the-loop governance. We are not claiming phenomenal machine consciousness; our focus is functional, testable, auditable active-consciousness capabilities.</w:t>
        <w:br/>
        <w:br/>
        <w:t>We would be honoured to explore collaboration on theory, evaluation, safety governance, or pilot scenarios. I attach a short blueprint and would welcome a 30-minute discussion.</w:t>
        <w:br/>
        <w:br/>
        <w:t>Best regards,</w:t>
        <w:br/>
        <w:t>[Name]</w:t>
      </w:r>
    </w:p>
    <w:p>
      <w:pPr>
        <w:pStyle w:val="Heading1"/>
      </w:pPr>
      <w:r>
        <w:t>6. FAQ</w:t>
      </w:r>
    </w:p>
    <w:tbl>
      <w:tblPr>
        <w:tblStyle w:val="TableGrid"/>
        <w:tblW w:type="auto" w:w="0"/>
        <w:jc w:val="center"/>
        <w:tblLook w:firstColumn="1" w:firstRow="1" w:lastColumn="0" w:lastRow="0" w:noHBand="0" w:noVBand="1" w:val="04A0"/>
      </w:tblPr>
      <w:tblGrid>
        <w:gridCol w:w="5083"/>
        <w:gridCol w:w="5083"/>
      </w:tblGrid>
      <w:tr>
        <w:tc>
          <w:tcPr>
            <w:tcW w:type="dxa" w:w="5083"/>
            <w:shd w:fill="1F4E79"/>
          </w:tcPr>
          <w:p>
            <w:pPr>
              <w:spacing w:after="40" w:line="252" w:lineRule="auto"/>
            </w:pPr>
            <w:r/>
            <w:r>
              <w:rPr>
                <w:rFonts w:ascii="Arial" w:hAnsi="Arial" w:eastAsia="SimSun"/>
                <w:b/>
                <w:color w:val="FFFFFF"/>
              </w:rPr>
              <w:t>Question</w:t>
            </w:r>
          </w:p>
        </w:tc>
        <w:tc>
          <w:tcPr>
            <w:tcW w:type="dxa" w:w="5083"/>
            <w:shd w:fill="1F4E79"/>
          </w:tcPr>
          <w:p>
            <w:pPr>
              <w:spacing w:after="40" w:line="252" w:lineRule="auto"/>
            </w:pPr>
            <w:r/>
            <w:r>
              <w:rPr>
                <w:rFonts w:ascii="Arial" w:hAnsi="Arial" w:eastAsia="SimSun"/>
                <w:b/>
                <w:color w:val="FFFFFF"/>
              </w:rPr>
              <w:t>Answer</w:t>
            </w:r>
          </w:p>
        </w:tc>
      </w:tr>
      <w:tr>
        <w:tc>
          <w:tcPr>
            <w:tcW w:type="dxa" w:w="5083"/>
            <w:vAlign w:val="top"/>
          </w:tcPr>
          <w:p>
            <w:pPr>
              <w:spacing w:after="40" w:line="252" w:lineRule="auto"/>
            </w:pPr>
            <w:r/>
            <w:r>
              <w:rPr>
                <w:rFonts w:ascii="Arial" w:hAnsi="Arial" w:eastAsia="SimSun"/>
                <w:b w:val="0"/>
              </w:rPr>
              <w:t>Is this claiming that AI is conscious?</w:t>
            </w:r>
          </w:p>
        </w:tc>
        <w:tc>
          <w:tcPr>
            <w:tcW w:type="dxa" w:w="5083"/>
            <w:vAlign w:val="top"/>
          </w:tcPr>
          <w:p>
            <w:pPr>
              <w:spacing w:after="40" w:line="252" w:lineRule="auto"/>
            </w:pPr>
            <w:r/>
            <w:r>
              <w:rPr>
                <w:rFonts w:ascii="Arial" w:hAnsi="Arial" w:eastAsia="SimSun"/>
                <w:b w:val="0"/>
              </w:rPr>
              <w:t>No. It defines functional active-consciousness capabilities and uses a strict claim ladder.</w:t>
            </w:r>
          </w:p>
        </w:tc>
      </w:tr>
      <w:tr>
        <w:tc>
          <w:tcPr>
            <w:tcW w:type="dxa" w:w="5083"/>
            <w:vAlign w:val="top"/>
          </w:tcPr>
          <w:p>
            <w:pPr>
              <w:spacing w:after="40" w:line="252" w:lineRule="auto"/>
            </w:pPr>
            <w:r/>
            <w:r>
              <w:rPr>
                <w:rFonts w:ascii="Arial" w:hAnsi="Arial" w:eastAsia="SimSun"/>
                <w:b w:val="0"/>
              </w:rPr>
              <w:t>How is it different from an agent framework?</w:t>
            </w:r>
          </w:p>
        </w:tc>
        <w:tc>
          <w:tcPr>
            <w:tcW w:type="dxa" w:w="5083"/>
            <w:vAlign w:val="top"/>
          </w:tcPr>
          <w:p>
            <w:pPr>
              <w:spacing w:after="40" w:line="252" w:lineRule="auto"/>
            </w:pPr>
            <w:r/>
            <w:r>
              <w:rPr>
                <w:rFonts w:ascii="Arial" w:hAnsi="Arial" w:eastAsia="SimSun"/>
                <w:b w:val="0"/>
              </w:rPr>
              <w:t>Agent frameworks execute workflows; this system governs purpose, human nature, collapse accumulation, initiative and audit.</w:t>
            </w:r>
          </w:p>
        </w:tc>
      </w:tr>
      <w:tr>
        <w:tc>
          <w:tcPr>
            <w:tcW w:type="dxa" w:w="5083"/>
            <w:vAlign w:val="top"/>
          </w:tcPr>
          <w:p>
            <w:pPr>
              <w:spacing w:after="40" w:line="252" w:lineRule="auto"/>
            </w:pPr>
            <w:r/>
            <w:r>
              <w:rPr>
                <w:rFonts w:ascii="Arial" w:hAnsi="Arial" w:eastAsia="SimSun"/>
                <w:b w:val="0"/>
              </w:rPr>
              <w:t>Is it safe to let AI be proactive?</w:t>
            </w:r>
          </w:p>
        </w:tc>
        <w:tc>
          <w:tcPr>
            <w:tcW w:type="dxa" w:w="5083"/>
            <w:vAlign w:val="top"/>
          </w:tcPr>
          <w:p>
            <w:pPr>
              <w:spacing w:after="40" w:line="252" w:lineRule="auto"/>
            </w:pPr>
            <w:r/>
            <w:r>
              <w:rPr>
                <w:rFonts w:ascii="Arial" w:hAnsi="Arial" w:eastAsia="SimSun"/>
                <w:b w:val="0"/>
              </w:rPr>
              <w:t>Only under Action Grade, consent, human approval, and Kill Matrix controls.</w:t>
            </w:r>
          </w:p>
        </w:tc>
      </w:tr>
      <w:tr>
        <w:tc>
          <w:tcPr>
            <w:tcW w:type="dxa" w:w="5083"/>
            <w:vAlign w:val="top"/>
          </w:tcPr>
          <w:p>
            <w:pPr>
              <w:spacing w:after="40" w:line="252" w:lineRule="auto"/>
            </w:pPr>
            <w:r/>
            <w:r>
              <w:rPr>
                <w:rFonts w:ascii="Arial" w:hAnsi="Arial" w:eastAsia="SimSun"/>
                <w:b w:val="0"/>
              </w:rPr>
              <w:t>Why include Landauer?</w:t>
            </w:r>
          </w:p>
        </w:tc>
        <w:tc>
          <w:tcPr>
            <w:tcW w:type="dxa" w:w="5083"/>
            <w:vAlign w:val="top"/>
          </w:tcPr>
          <w:p>
            <w:pPr>
              <w:spacing w:after="40" w:line="252" w:lineRule="auto"/>
            </w:pPr>
            <w:r/>
            <w:r>
              <w:rPr>
                <w:rFonts w:ascii="Arial" w:hAnsi="Arial" w:eastAsia="SimSun"/>
                <w:b w:val="0"/>
              </w:rPr>
              <w:t>To foreground irreversible information/action costs as a design discipline, not to calculate mental heat.</w:t>
            </w:r>
          </w:p>
        </w:tc>
      </w:tr>
      <w:tr>
        <w:tc>
          <w:tcPr>
            <w:tcW w:type="dxa" w:w="5083"/>
            <w:vAlign w:val="top"/>
          </w:tcPr>
          <w:p>
            <w:pPr>
              <w:spacing w:after="40" w:line="252" w:lineRule="auto"/>
            </w:pPr>
            <w:r/>
            <w:r>
              <w:rPr>
                <w:rFonts w:ascii="Arial" w:hAnsi="Arial" w:eastAsia="SimSun"/>
                <w:b w:val="0"/>
              </w:rPr>
              <w:t>What is the first MVP?</w:t>
            </w:r>
          </w:p>
        </w:tc>
        <w:tc>
          <w:tcPr>
            <w:tcW w:type="dxa" w:w="5083"/>
            <w:vAlign w:val="top"/>
          </w:tcPr>
          <w:p>
            <w:pPr>
              <w:spacing w:after="40" w:line="252" w:lineRule="auto"/>
            </w:pPr>
            <w:r/>
            <w:r>
              <w:rPr>
                <w:rFonts w:ascii="Arial" w:hAnsi="Arial" w:eastAsia="SimSun"/>
                <w:b w:val="0"/>
              </w:rPr>
              <w:t>A local/offline prototype for DIKWP experience packets, collapse radar, purpose portfolio, initiative queue, and replay bundles.</w:t>
            </w:r>
          </w:p>
        </w:tc>
      </w:tr>
    </w:tbl>
    <w:p>
      <w:pPr>
        <w:pStyle w:val="Heading1"/>
      </w:pPr>
      <w:r>
        <w:t>Source Ledger and Boundary Note</w:t>
      </w:r>
    </w:p>
    <w:p>
      <w:r>
        <w:t>本交付包以 DIKWP、语义数学、DIKWP 坍塌、人工意识、Landauer 原理等公开材料为理论启发，同时把 ResearchGate 技术报告明确视为理论与工程线索，而非已被同行评议证明的经验结论。任何“主动式人工意识”表述均指可测试、可审计、可治理的功能性主动意识架构，不宣称已经实现主观体验或现象意识。</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tcPr>
          <w:p>
            <w:pPr>
              <w:spacing w:after="40" w:line="252" w:lineRule="auto"/>
            </w:pPr>
            <w:r/>
            <w:r>
              <w:rPr>
                <w:rFonts w:ascii="Arial" w:hAnsi="Arial" w:eastAsia="SimSun"/>
                <w:b/>
                <w:color w:val="FFFFFF"/>
              </w:rPr>
              <w:t>Source</w:t>
            </w:r>
          </w:p>
        </w:tc>
        <w:tc>
          <w:tcPr>
            <w:tcW w:type="dxa" w:w="3389"/>
            <w:shd w:fill="1F4E79"/>
          </w:tcPr>
          <w:p>
            <w:pPr>
              <w:spacing w:after="40" w:line="252" w:lineRule="auto"/>
            </w:pPr>
            <w:r/>
            <w:r>
              <w:rPr>
                <w:rFonts w:ascii="Arial" w:hAnsi="Arial" w:eastAsia="SimSun"/>
                <w:b/>
                <w:color w:val="FFFFFF"/>
              </w:rPr>
              <w:t>URL</w:t>
            </w:r>
          </w:p>
        </w:tc>
        <w:tc>
          <w:tcPr>
            <w:tcW w:type="dxa" w:w="3389"/>
            <w:shd w:fill="1F4E79"/>
          </w:tcPr>
          <w:p>
            <w:pPr>
              <w:spacing w:after="40" w:line="252" w:lineRule="auto"/>
            </w:pPr>
            <w:r/>
            <w:r>
              <w:rPr>
                <w:rFonts w:ascii="Arial" w:hAnsi="Arial" w:eastAsia="SimSun"/>
                <w:b/>
                <w:color w:val="FFFFFF"/>
              </w:rPr>
              <w:t>Use Boundary</w:t>
            </w:r>
          </w:p>
        </w:tc>
      </w:tr>
      <w:tr>
        <w:tc>
          <w:tcPr>
            <w:tcW w:type="dxa" w:w="3389"/>
            <w:vAlign w:val="top"/>
          </w:tcPr>
          <w:p>
            <w:pPr>
              <w:spacing w:after="40" w:line="252" w:lineRule="auto"/>
            </w:pPr>
            <w:r/>
            <w:r>
              <w:rPr>
                <w:rFonts w:ascii="Arial" w:hAnsi="Arial" w:eastAsia="SimSun"/>
                <w:b w:val="0"/>
              </w:rPr>
              <w:t>Yucong Duan, DIKWP Semantic Mathematics Overview</w:t>
            </w:r>
          </w:p>
        </w:tc>
        <w:tc>
          <w:tcPr>
            <w:tcW w:type="dxa" w:w="3389"/>
            <w:vAlign w:val="top"/>
          </w:tcPr>
          <w:p>
            <w:pPr>
              <w:spacing w:after="40" w:line="252" w:lineRule="auto"/>
            </w:pPr>
            <w:r/>
            <w:r>
              <w:rPr>
                <w:rFonts w:ascii="Arial" w:hAnsi="Arial" w:eastAsia="SimSun"/>
                <w:b w:val="0"/>
              </w:rPr>
              <w:t>https://www.researchgate.net/publication/389324432_DIKWP_Semantic_Mathematics_Overview</w:t>
            </w:r>
          </w:p>
        </w:tc>
        <w:tc>
          <w:tcPr>
            <w:tcW w:type="dxa" w:w="3389"/>
            <w:vAlign w:val="top"/>
          </w:tcPr>
          <w:p>
            <w:pPr>
              <w:spacing w:after="40" w:line="252" w:lineRule="auto"/>
            </w:pPr>
            <w:r/>
            <w:r>
              <w:rPr>
                <w:rFonts w:ascii="Arial" w:hAnsi="Arial" w:eastAsia="SimSun"/>
                <w:b w:val="0"/>
              </w:rPr>
              <w:t>ResearchGate technical/public report; use as author-originated theoretical source, not peer-reviewed proof.</w:t>
            </w:r>
          </w:p>
        </w:tc>
      </w:tr>
      <w:tr>
        <w:tc>
          <w:tcPr>
            <w:tcW w:type="dxa" w:w="3389"/>
            <w:vAlign w:val="top"/>
          </w:tcPr>
          <w:p>
            <w:pPr>
              <w:spacing w:after="40" w:line="252" w:lineRule="auto"/>
            </w:pPr>
            <w:r/>
            <w:r>
              <w:rPr>
                <w:rFonts w:ascii="Arial" w:hAnsi="Arial" w:eastAsia="SimSun"/>
                <w:b w:val="0"/>
              </w:rPr>
              <w:t>Yucong Duan et al., STRATEGIC REPORT DIKWP Collapse Background Mechanism Report</w:t>
            </w:r>
          </w:p>
        </w:tc>
        <w:tc>
          <w:tcPr>
            <w:tcW w:type="dxa" w:w="3389"/>
            <w:vAlign w:val="top"/>
          </w:tcPr>
          <w:p>
            <w:pPr>
              <w:spacing w:after="40" w:line="252" w:lineRule="auto"/>
            </w:pPr>
            <w:r/>
            <w:r>
              <w:rPr>
                <w:rFonts w:ascii="Arial" w:hAnsi="Arial" w:eastAsia="SimSun"/>
                <w:b w:val="0"/>
              </w:rPr>
              <w:t>https://www.researchgate.net/publication/403883000_STRATEGIC_REPORT_DIKWP_Collapse_Background_Mechanism_Report</w:t>
            </w:r>
          </w:p>
        </w:tc>
        <w:tc>
          <w:tcPr>
            <w:tcW w:type="dxa" w:w="3389"/>
            <w:vAlign w:val="top"/>
          </w:tcPr>
          <w:p>
            <w:pPr>
              <w:spacing w:after="40" w:line="252" w:lineRule="auto"/>
            </w:pPr>
            <w:r/>
            <w:r>
              <w:rPr>
                <w:rFonts w:ascii="Arial" w:hAnsi="Arial" w:eastAsia="SimSun"/>
                <w:b w:val="0"/>
              </w:rPr>
              <w:t>ResearchGate technical report; use as conceptual input for collapse mechanism.</w:t>
            </w:r>
          </w:p>
        </w:tc>
      </w:tr>
      <w:tr>
        <w:tc>
          <w:tcPr>
            <w:tcW w:type="dxa" w:w="3389"/>
            <w:vAlign w:val="top"/>
          </w:tcPr>
          <w:p>
            <w:pPr>
              <w:spacing w:after="40" w:line="252" w:lineRule="auto"/>
            </w:pPr>
            <w:r/>
            <w:r>
              <w:rPr>
                <w:rFonts w:ascii="Arial" w:hAnsi="Arial" w:eastAsia="SimSun"/>
                <w:b w:val="0"/>
              </w:rPr>
              <w:t>Yucong Duan et al., From Planck Constant to Landauer's Principle</w:t>
            </w:r>
          </w:p>
        </w:tc>
        <w:tc>
          <w:tcPr>
            <w:tcW w:type="dxa" w:w="3389"/>
            <w:vAlign w:val="top"/>
          </w:tcPr>
          <w:p>
            <w:pPr>
              <w:spacing w:after="40" w:line="252" w:lineRule="auto"/>
            </w:pPr>
            <w:r/>
            <w:r>
              <w:rPr>
                <w:rFonts w:ascii="Arial" w:hAnsi="Arial" w:eastAsia="SimSun"/>
                <w:b w:val="0"/>
              </w:rPr>
              <w:t>https://www.researchgate.net/publication/399108508_From_Planck_Constant_to_Landauer%27s_Principle_Universal_Information_Limits_and_DIKWP_Coefficients_Technical_Report</w:t>
            </w:r>
          </w:p>
        </w:tc>
        <w:tc>
          <w:tcPr>
            <w:tcW w:type="dxa" w:w="3389"/>
            <w:vAlign w:val="top"/>
          </w:tcPr>
          <w:p>
            <w:pPr>
              <w:spacing w:after="40" w:line="252" w:lineRule="auto"/>
            </w:pPr>
            <w:r/>
            <w:r>
              <w:rPr>
                <w:rFonts w:ascii="Arial" w:hAnsi="Arial" w:eastAsia="SimSun"/>
                <w:b w:val="0"/>
              </w:rPr>
              <w:t>ResearchGate technical report; use cautiously for theory inspiration.</w:t>
            </w:r>
          </w:p>
        </w:tc>
      </w:tr>
      <w:tr>
        <w:tc>
          <w:tcPr>
            <w:tcW w:type="dxa" w:w="3389"/>
            <w:vAlign w:val="top"/>
          </w:tcPr>
          <w:p>
            <w:pPr>
              <w:spacing w:after="40" w:line="252" w:lineRule="auto"/>
            </w:pPr>
            <w:r/>
            <w:r>
              <w:rPr>
                <w:rFonts w:ascii="Arial" w:hAnsi="Arial" w:eastAsia="SimSun"/>
                <w:b w:val="0"/>
              </w:rPr>
              <w:t>DIKWP Consciousness Futures Studio V1</w:t>
            </w:r>
          </w:p>
        </w:tc>
        <w:tc>
          <w:tcPr>
            <w:tcW w:type="dxa" w:w="3389"/>
            <w:vAlign w:val="top"/>
          </w:tcPr>
          <w:p>
            <w:pPr>
              <w:spacing w:after="40" w:line="252" w:lineRule="auto"/>
            </w:pPr>
            <w:r/>
            <w:r>
              <w:rPr>
                <w:rFonts w:ascii="Arial" w:hAnsi="Arial" w:eastAsia="SimSun"/>
                <w:b w:val="0"/>
              </w:rPr>
              <w:t>https://github.com/YucongDuan/DIKWP-Consciousness-Futures-Studio-V1</w:t>
            </w:r>
          </w:p>
        </w:tc>
        <w:tc>
          <w:tcPr>
            <w:tcW w:type="dxa" w:w="3389"/>
            <w:vAlign w:val="top"/>
          </w:tcPr>
          <w:p>
            <w:pPr>
              <w:spacing w:after="40" w:line="252" w:lineRule="auto"/>
            </w:pPr>
            <w:r/>
            <w:r>
              <w:rPr>
                <w:rFonts w:ascii="Arial" w:hAnsi="Arial" w:eastAsia="SimSun"/>
                <w:b w:val="0"/>
              </w:rPr>
              <w:t>Open-source design style: claim levels, evidence ledgers, governance roles, unsupported-claim blocking.</w:t>
            </w:r>
          </w:p>
        </w:tc>
      </w:tr>
      <w:tr>
        <w:tc>
          <w:tcPr>
            <w:tcW w:type="dxa" w:w="3389"/>
            <w:vAlign w:val="top"/>
          </w:tcPr>
          <w:p>
            <w:pPr>
              <w:spacing w:after="40" w:line="252" w:lineRule="auto"/>
            </w:pPr>
            <w:r/>
            <w:r>
              <w:rPr>
                <w:rFonts w:ascii="Arial" w:hAnsi="Arial" w:eastAsia="SimSun"/>
                <w:b w:val="0"/>
              </w:rPr>
              <w:t>DIKWP-BusTrustOps-V4 Demo System</w:t>
            </w:r>
          </w:p>
        </w:tc>
        <w:tc>
          <w:tcPr>
            <w:tcW w:type="dxa" w:w="3389"/>
            <w:vAlign w:val="top"/>
          </w:tcPr>
          <w:p>
            <w:pPr>
              <w:spacing w:after="40" w:line="252" w:lineRule="auto"/>
            </w:pPr>
            <w:r/>
            <w:r>
              <w:rPr>
                <w:rFonts w:ascii="Arial" w:hAnsi="Arial" w:eastAsia="SimSun"/>
                <w:b w:val="0"/>
              </w:rPr>
              <w:t>https://github.com/YucongDuan/DIKWP-BusTrustOps-V4-Demo-System</w:t>
            </w:r>
          </w:p>
        </w:tc>
        <w:tc>
          <w:tcPr>
            <w:tcW w:type="dxa" w:w="3389"/>
            <w:vAlign w:val="top"/>
          </w:tcPr>
          <w:p>
            <w:pPr>
              <w:spacing w:after="40" w:line="252" w:lineRule="auto"/>
            </w:pPr>
            <w:r/>
            <w:r>
              <w:rPr>
                <w:rFonts w:ascii="Arial" w:hAnsi="Arial" w:eastAsia="SimSun"/>
                <w:b w:val="0"/>
              </w:rPr>
              <w:t>Open-source style reference: evidence ledger, semantic closure, action tickets, role governance.</w:t>
            </w:r>
          </w:p>
        </w:tc>
      </w:tr>
      <w:tr>
        <w:tc>
          <w:tcPr>
            <w:tcW w:type="dxa" w:w="3389"/>
            <w:vAlign w:val="top"/>
          </w:tcPr>
          <w:p>
            <w:pPr>
              <w:spacing w:after="40" w:line="252" w:lineRule="auto"/>
            </w:pPr>
            <w:r/>
            <w:r>
              <w:rPr>
                <w:rFonts w:ascii="Arial" w:hAnsi="Arial" w:eastAsia="SimSun"/>
                <w:b w:val="0"/>
              </w:rPr>
              <w:t>Bérut et al. Experimental verification of Landauer's principle</w:t>
            </w:r>
          </w:p>
        </w:tc>
        <w:tc>
          <w:tcPr>
            <w:tcW w:type="dxa" w:w="3389"/>
            <w:vAlign w:val="top"/>
          </w:tcPr>
          <w:p>
            <w:pPr>
              <w:spacing w:after="40" w:line="252" w:lineRule="auto"/>
            </w:pPr>
            <w:r/>
            <w:r>
              <w:rPr>
                <w:rFonts w:ascii="Arial" w:hAnsi="Arial" w:eastAsia="SimSun"/>
                <w:b w:val="0"/>
              </w:rPr>
              <w:t>https://www.nature.com/articles/nature10872</w:t>
            </w:r>
          </w:p>
        </w:tc>
        <w:tc>
          <w:tcPr>
            <w:tcW w:type="dxa" w:w="3389"/>
            <w:vAlign w:val="top"/>
          </w:tcPr>
          <w:p>
            <w:pPr>
              <w:spacing w:after="40" w:line="252" w:lineRule="auto"/>
            </w:pPr>
            <w:r/>
            <w:r>
              <w:rPr>
                <w:rFonts w:ascii="Arial" w:hAnsi="Arial" w:eastAsia="SimSun"/>
                <w:b w:val="0"/>
              </w:rPr>
              <w:t>Peer-reviewed physics source for Landauer erasure bound; do not overextend to psychology.</w:t>
            </w:r>
          </w:p>
        </w:tc>
      </w:tr>
      <w:tr>
        <w:tc>
          <w:tcPr>
            <w:tcW w:type="dxa" w:w="3389"/>
            <w:vAlign w:val="top"/>
          </w:tcPr>
          <w:p>
            <w:pPr>
              <w:spacing w:after="40" w:line="252" w:lineRule="auto"/>
            </w:pPr>
            <w:r/>
            <w:r>
              <w:rPr>
                <w:rFonts w:ascii="Arial" w:hAnsi="Arial" w:eastAsia="SimSun"/>
                <w:b w:val="0"/>
              </w:rPr>
              <w:t>NIST AI Risk Management Framework</w:t>
            </w:r>
          </w:p>
        </w:tc>
        <w:tc>
          <w:tcPr>
            <w:tcW w:type="dxa" w:w="3389"/>
            <w:vAlign w:val="top"/>
          </w:tcPr>
          <w:p>
            <w:pPr>
              <w:spacing w:after="40" w:line="252" w:lineRule="auto"/>
            </w:pPr>
            <w:r/>
            <w:r>
              <w:rPr>
                <w:rFonts w:ascii="Arial" w:hAnsi="Arial" w:eastAsia="SimSun"/>
                <w:b w:val="0"/>
              </w:rPr>
              <w:t>https://www.nist.gov/itl/ai-risk-management-framework</w:t>
            </w:r>
          </w:p>
        </w:tc>
        <w:tc>
          <w:tcPr>
            <w:tcW w:type="dxa" w:w="3389"/>
            <w:vAlign w:val="top"/>
          </w:tcPr>
          <w:p>
            <w:pPr>
              <w:spacing w:after="40" w:line="252" w:lineRule="auto"/>
            </w:pPr>
            <w:r/>
            <w:r>
              <w:rPr>
                <w:rFonts w:ascii="Arial" w:hAnsi="Arial" w:eastAsia="SimSun"/>
                <w:b w:val="0"/>
              </w:rPr>
              <w:t>AI risk governance reference.</w:t>
            </w:r>
          </w:p>
        </w:tc>
      </w:tr>
      <w:tr>
        <w:tc>
          <w:tcPr>
            <w:tcW w:type="dxa" w:w="3389"/>
            <w:vAlign w:val="top"/>
          </w:tcPr>
          <w:p>
            <w:pPr>
              <w:spacing w:after="40" w:line="252" w:lineRule="auto"/>
            </w:pPr>
            <w:r/>
            <w:r>
              <w:rPr>
                <w:rFonts w:ascii="Arial" w:hAnsi="Arial" w:eastAsia="SimSun"/>
                <w:b w:val="0"/>
              </w:rPr>
              <w:t>OECD AI Principles</w:t>
            </w:r>
          </w:p>
        </w:tc>
        <w:tc>
          <w:tcPr>
            <w:tcW w:type="dxa" w:w="3389"/>
            <w:vAlign w:val="top"/>
          </w:tcPr>
          <w:p>
            <w:pPr>
              <w:spacing w:after="40" w:line="252" w:lineRule="auto"/>
            </w:pPr>
            <w:r/>
            <w:r>
              <w:rPr>
                <w:rFonts w:ascii="Arial" w:hAnsi="Arial" w:eastAsia="SimSun"/>
                <w:b w:val="0"/>
              </w:rPr>
              <w:t>https://www.oecd.org/en/topics/sub-issues/ai-principles.html</w:t>
            </w:r>
          </w:p>
        </w:tc>
        <w:tc>
          <w:tcPr>
            <w:tcW w:type="dxa" w:w="3389"/>
            <w:vAlign w:val="top"/>
          </w:tcPr>
          <w:p>
            <w:pPr>
              <w:spacing w:after="40" w:line="252" w:lineRule="auto"/>
            </w:pPr>
            <w:r/>
            <w:r>
              <w:rPr>
                <w:rFonts w:ascii="Arial" w:hAnsi="Arial" w:eastAsia="SimSun"/>
                <w:b w:val="0"/>
              </w:rPr>
              <w:t>Human-centred, trustworthy AI governance reference.</w:t>
            </w:r>
          </w:p>
        </w:tc>
      </w:tr>
      <w:tr>
        <w:tc>
          <w:tcPr>
            <w:tcW w:type="dxa" w:w="3389"/>
            <w:vAlign w:val="top"/>
          </w:tcPr>
          <w:p>
            <w:pPr>
              <w:spacing w:after="40" w:line="252" w:lineRule="auto"/>
            </w:pPr>
            <w:r/>
            <w:r>
              <w:rPr>
                <w:rFonts w:ascii="Arial" w:hAnsi="Arial" w:eastAsia="SimSun"/>
                <w:b w:val="0"/>
              </w:rPr>
              <w:t>IEEE Ethically Aligned Design</w:t>
            </w:r>
          </w:p>
        </w:tc>
        <w:tc>
          <w:tcPr>
            <w:tcW w:type="dxa" w:w="3389"/>
            <w:vAlign w:val="top"/>
          </w:tcPr>
          <w:p>
            <w:pPr>
              <w:spacing w:after="40" w:line="252" w:lineRule="auto"/>
            </w:pPr>
            <w:r/>
            <w:r>
              <w:rPr>
                <w:rFonts w:ascii="Arial" w:hAnsi="Arial" w:eastAsia="SimSun"/>
                <w:b w:val="0"/>
              </w:rPr>
              <w:t>https://standards.ieee.org/industry-connections/activities/ieee-global-initiative/</w:t>
            </w:r>
          </w:p>
        </w:tc>
        <w:tc>
          <w:tcPr>
            <w:tcW w:type="dxa" w:w="3389"/>
            <w:vAlign w:val="top"/>
          </w:tcPr>
          <w:p>
            <w:pPr>
              <w:spacing w:after="40" w:line="252" w:lineRule="auto"/>
            </w:pPr>
            <w:r/>
            <w:r>
              <w:rPr>
                <w:rFonts w:ascii="Arial" w:hAnsi="Arial" w:eastAsia="SimSun"/>
                <w:b w:val="0"/>
              </w:rPr>
              <w:t>Human wellbeing and ethical alignment reference.</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rial" w:hAnsi="Arial"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Sim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