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left"/>
        <w:pBdr>
          <w:bottom w:val="single" w:sz="10" w:space="1" w:color="2E75B6"/>
        </w:pBdr>
      </w:pPr>
      <w:r>
        <w:rPr>
          <w:rFonts w:ascii="Noto Sans CJK SC" w:hAnsi="Noto Sans CJK SC" w:eastAsia="Noto Sans CJK SC"/>
          <w:b/>
          <w:color w:val="17324D"/>
          <w:sz w:val="56"/>
        </w:rPr>
        <w:t>透明机会经济</w:t>
      </w:r>
    </w:p>
    <w:p>
      <w:pPr>
        <w:spacing w:after="360"/>
      </w:pPr>
      <w:r>
        <w:rPr>
          <w:rFonts w:ascii="Noto Sans CJK SC" w:hAnsi="Noto Sans CJK SC" w:eastAsia="Noto Sans CJK SC"/>
          <w:i/>
          <w:color w:val="3C5269"/>
          <w:sz w:val="28"/>
        </w:rPr>
        <w:t>模型原生软件时代普通人的出路、饱和与 DIKWP 贡献</w:t>
      </w:r>
    </w:p>
    <w:p>
      <w:r>
        <w:rPr>
          <w:rFonts w:ascii="Noto Sans CJK SC" w:hAnsi="Noto Sans CJK SC" w:eastAsia="Noto Sans CJK SC"/>
          <w:color w:val="192230"/>
          <w:sz w:val="22"/>
        </w:rPr>
        <w:t>DIKWP Research Programme</w:t>
      </w:r>
    </w:p>
    <w:p>
      <w:r>
        <w:rPr>
          <w:rFonts w:ascii="Noto Serif CJK SC" w:hAnsi="Noto Serif CJK SC" w:eastAsia="Noto Serif CJK SC"/>
          <w:color w:val="192230"/>
          <w:sz w:val="22"/>
        </w:rPr>
        <w:t>2026-09-07</w:t>
      </w:r>
    </w:p>
    <w:p>
      <w:pPr>
        <w:spacing w:before="2400"/>
      </w:pPr>
      <w:r>
        <w:rPr>
          <w:rFonts w:ascii="Noto Sans CJK SC" w:hAnsi="Noto Sans CJK SC" w:eastAsia="Noto Sans CJK SC"/>
          <w:b/>
          <w:color w:val="275870"/>
          <w:sz w:val="22"/>
        </w:rPr>
        <w:t>TOEP-1000:2026-DRAFT</w:t>
        <w:br/>
      </w:r>
      <w:r>
        <w:rPr>
          <w:rFonts w:ascii="Noto Sans CJK SC" w:hAnsi="Noto Sans CJK SC" w:eastAsia="Noto Sans CJK SC"/>
          <w:color w:val="5E6C7C"/>
          <w:sz w:val="20"/>
        </w:rPr>
        <w:t>Open-source research reference implementation</w:t>
      </w:r>
      <w:r>
        <w:br w:type="page"/>
      </w:r>
    </w:p>
    <w:p>
      <w:pPr>
        <w:pBdr>
          <w:bottom w:val="single" w:sz="8" w:space="1" w:color="2E75B6"/>
        </w:pBdr>
      </w:pPr>
      <w:r>
        <w:rPr>
          <w:rFonts w:ascii="Noto Sans CJK SC" w:hAnsi="Noto Sans CJK SC" w:eastAsia="Noto Sans CJK SC"/>
          <w:b/>
          <w:color w:val="17324D"/>
          <w:sz w:val="42"/>
        </w:rPr>
        <w:t>目录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7324D"/>
          <w:sz w:val="21"/>
        </w:rPr>
        <w:t>DIKWP ClearPath Transparent Opportunity Economy OS v1.0.0 系统报告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7324D"/>
          <w:sz w:val="21"/>
        </w:rPr>
        <w:t>摘要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7324D"/>
          <w:sz w:val="21"/>
        </w:rPr>
        <w:t>1. 两段材料真正共同支持什么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7324D"/>
          <w:sz w:val="21"/>
        </w:rPr>
        <w:t>2. 新鸿沟：从信息差、能力差到机会分母差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7324D"/>
          <w:sz w:val="21"/>
        </w:rPr>
        <w:t>3. DIKWP 在透明经济中的位置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7324D"/>
          <w:sz w:val="21"/>
        </w:rPr>
        <w:t>4. 透明机会经济的定义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7324D"/>
          <w:sz w:val="21"/>
        </w:rPr>
        <w:t>5. ClearPath 数学模型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7324D"/>
          <w:sz w:val="21"/>
        </w:rPr>
        <w:t>6. 给普通人的“有出路/当前无出路”工作流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7324D"/>
          <w:sz w:val="21"/>
        </w:rPr>
        <w:t>7. 三个合成案例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7324D"/>
          <w:sz w:val="21"/>
        </w:rPr>
        <w:t>8. 培训与知识销售的机会诚信门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7324D"/>
          <w:sz w:val="21"/>
        </w:rPr>
        <w:t>9. 透明贡献经济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7324D"/>
          <w:sz w:val="21"/>
        </w:rPr>
        <w:t>10. 系统架构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7324D"/>
          <w:sz w:val="21"/>
        </w:rPr>
        <w:t>11. 部署模式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7324D"/>
          <w:sz w:val="21"/>
        </w:rPr>
        <w:t>12. 商业化路径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7324D"/>
          <w:sz w:val="21"/>
        </w:rPr>
        <w:t>13. TOEP-1000 标准化目标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7324D"/>
          <w:sz w:val="21"/>
        </w:rPr>
        <w:t>14. 现实边界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7324D"/>
          <w:sz w:val="21"/>
        </w:rPr>
        <w:t>15. 最终结论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7324D"/>
          <w:sz w:val="21"/>
        </w:rPr>
        <w:t>参考资料</w:t>
      </w:r>
    </w:p>
    <w:p>
      <w:r>
        <w:br w:type="page"/>
      </w:r>
    </w:p>
    <w:p>
      <w:pPr>
        <w:jc w:val="left"/>
        <w:keepNext w:val="1"/>
      </w:pPr>
      <w:r>
        <w:rPr>
          <w:rFonts w:ascii="Noto Sans CJK SC" w:hAnsi="Noto Sans CJK SC" w:eastAsia="Noto Sans CJK SC"/>
          <w:b/>
          <w:color w:val="275870"/>
          <w:sz w:val="30"/>
        </w:rPr>
        <w:t>DIKWP ClearPath Transparent Opportunity Economy OS v1.0.0 系统报告</w:t>
      </w:r>
    </w:p>
    <w:p>
      <w:pPr>
        <w:spacing w:after="40"/>
      </w:pPr>
      <w:r>
        <w:rPr>
          <w:rFonts w:ascii="Noto Serif CJK SC" w:hAnsi="Noto Serif CJK SC" w:eastAsia="Noto Serif CJK SC"/>
          <w:b/>
        </w:rPr>
        <w:t>状态：研究型开源参考实现</w:t>
      </w:r>
    </w:p>
    <w:p>
      <w:pPr>
        <w:spacing w:after="40"/>
      </w:pPr>
      <w:r>
        <w:rPr>
          <w:rFonts w:ascii="Noto Serif CJK SC" w:hAnsi="Noto Serif CJK SC" w:eastAsia="Noto Serif CJK SC"/>
          <w:b/>
        </w:rPr>
        <w:t>协议草案：TOEP-1000:2026-DRAFT</w:t>
      </w:r>
    </w:p>
    <w:p>
      <w:pPr>
        <w:spacing w:after="40"/>
      </w:pPr>
      <w:r>
        <w:rPr>
          <w:rFonts w:ascii="Noto Serif CJK SC" w:hAnsi="Noto Serif CJK SC" w:eastAsia="Noto Serif CJK SC"/>
          <w:b/>
        </w:rPr>
        <w:t>运行模式：MESH95_​CAPABILITY_​TRANSPARENCY_​OPPORTUNITY_​SATURATION_​EVIDENCE_​CLOSURE</w:t>
      </w:r>
    </w:p>
    <w:p>
      <w:pPr>
        <w:spacing w:before="60" w:after="60"/>
        <w:pBdr>
          <w:bottom w:val="single" w:sz="4" w:space="1" w:color="9AA7B4"/>
        </w:pBdr>
      </w:pPr>
    </w:p>
    <w:p>
      <w:pPr>
        <w:jc w:val="left"/>
        <w:keepNext w:val="1"/>
      </w:pPr>
      <w:r>
        <w:rPr>
          <w:rFonts w:ascii="Noto Sans CJK SC" w:hAnsi="Noto Sans CJK SC" w:eastAsia="Noto Sans CJK SC"/>
          <w:b/>
          <w:color w:val="275870"/>
          <w:sz w:val="30"/>
        </w:rPr>
        <w:t>摘要</w:t>
      </w:r>
    </w:p>
    <w:p>
      <w:r>
        <w:rPr>
          <w:rFonts w:ascii="Noto Serif CJK SC" w:hAnsi="Noto Serif CJK SC" w:eastAsia="Noto Serif CJK SC"/>
        </w:rPr>
        <w:t>模型正在从“只生成内容”走向“自行选择代码、API、浏览器、GUI、文件和其他工具完成结果”。与此同时，AI 编程降低了软件制作门槛，使大量普通人能够迅速生成原型、脚本和应用。两者共同造成一个容易被忽视的变化：</w:t>
      </w:r>
      <w:r>
        <w:rPr>
          <w:rFonts w:ascii="Noto Serif CJK SC" w:hAnsi="Noto Serif CJK SC" w:eastAsia="Noto Serif CJK SC"/>
          <w:b/>
        </w:rPr>
        <w:t>执行能力越来越普及，但真实付费需求、客户入口、信任、责任、分发和制度权限并没有同步普及。</w:t>
      </w:r>
    </w:p>
    <w:p>
      <w:r>
        <w:rPr>
          <w:rFonts w:ascii="Noto Serif CJK SC" w:hAnsi="Noto Serif CJK SC" w:eastAsia="Noto Serif CJK SC"/>
        </w:rPr>
        <w:t>这使旧的信息差进一步缩小，却可能放大一种新的“机会分母差”：所有人都看见同一个机会、学习同一个技能、生成相似供给，但市场中真实可支付的位置可能远少于进入者。先发者已经占据用户、数据、声誉和分发后，后来者即使获得相同技术能力，也未必获得相同经济机会。</w:t>
      </w:r>
    </w:p>
    <w:p>
      <w:r>
        <w:rPr>
          <w:rFonts w:ascii="Noto Serif CJK SC" w:hAnsi="Noto Serif CJK SC" w:eastAsia="Noto Serif CJK SC"/>
        </w:rPr>
        <w:t>本报告提出“透明机会经济”：在售卖技能、组织培训、发布职业建议或动员个人投入之前，先公开真实付费需求、可用预算、机会名额、当前与未来供给、自动化比例、进入成本、首笔收入时间、先发者占位、客户和信任入口、DIKWP 转换要求、现实验收与纠错路径。经济系统不再只透明“一个人会什么”，而必须同时透明“社会究竟愿意为多少个这样的结果付费”。</w:t>
      </w:r>
    </w:p>
    <w:p>
      <w:r>
        <w:rPr>
          <w:rFonts w:ascii="Noto Serif CJK SC" w:hAnsi="Noto Serif CJK SC" w:eastAsia="Noto Serif CJK SC"/>
        </w:rPr>
        <w:t>ClearPath 将普通人的问题从“我值不值得”改写为：</w:t>
      </w:r>
    </w:p>
    <w:p>
      <w:pPr>
        <w:pStyle w:val="FormulaBlock"/>
        <w:keepLines/>
        <w:shd w:fill="EEF4F8"/>
      </w:pPr>
      <w:r>
        <w:rPr>
          <w:rFonts w:ascii="DejaVu Sans Mono" w:hAnsi="DejaVu Sans Mono" w:eastAsia="DejaVu Sans Mono"/>
          <w:color w:val="17324D"/>
          <w:sz w:val="18"/>
        </w:rPr>
        <w:t>在当前约束下，哪一条具体路径仍有真实付费空间？</w:t>
      </w:r>
    </w:p>
    <w:p>
      <w:r>
        <w:rPr>
          <w:rFonts w:ascii="Noto Serif CJK SC" w:hAnsi="Noto Serif CJK SC" w:eastAsia="Noto Serif CJK SC"/>
        </w:rPr>
        <w:t>系统可以输出四种结果：立即进入、低成本验证、转向互补位置、当前无可行路径。最后一种结论只关闭一条路径，不否定一个人。</w:t>
      </w:r>
    </w:p>
    <w:p>
      <w:pPr>
        <w:spacing w:before="60" w:after="60"/>
        <w:pBdr>
          <w:bottom w:val="single" w:sz="4" w:space="1" w:color="9AA7B4"/>
        </w:pBdr>
      </w:pPr>
    </w:p>
    <w:p>
      <w:pPr>
        <w:pStyle w:val="Heading1"/>
        <w:keepNext w:val="1"/>
      </w:pPr>
      <w:r>
        <w:rPr>
          <w:rFonts w:ascii="Noto Serif CJK SC" w:hAnsi="Noto Serif CJK SC" w:eastAsia="Noto Serif CJK SC"/>
        </w:rPr>
        <w:t>1. 两段材料真正共同支持什么</w:t>
      </w:r>
    </w:p>
    <w:p>
      <w:pPr>
        <w:pStyle w:val="Heading2"/>
        <w:keepNext w:val="1"/>
      </w:pPr>
      <w:r>
        <w:rPr>
          <w:rFonts w:ascii="Noto Serif CJK SC" w:hAnsi="Noto Serif CJK SC" w:eastAsia="Noto Serif CJK SC"/>
        </w:rPr>
        <w:t>1.1 第一段材料：接口墙正在弱化，权限墙仍然存在</w:t>
      </w:r>
    </w:p>
    <w:p>
      <w:r>
        <w:rPr>
          <w:rFonts w:ascii="Noto Serif CJK SC" w:hAnsi="Noto Serif CJK SC" w:eastAsia="Noto Serif CJK SC"/>
        </w:rPr>
        <w:t>第一段材料的结构性判断是：Agent 不再必须依赖开发者预先规定的固定工作流，而可以在 API、浏览器、代码、Shell 和 GUI 之间选择路径；当 GUI 也成为机器接口后，软件厂商对“机器入口”的独占定义权下降。材料同时强调，这种变化削弱的是接口墙，而不是账户、数据、身份、业务规则和安全权限墙；作者还说明当时未独立完成对所述模型能力的真实测试。</w:t>
      </w:r>
    </w:p>
    <w:p>
      <w:r>
        <w:rPr>
          <w:rFonts w:ascii="Noto Serif CJK SC" w:hAnsi="Noto Serif CJK SC" w:eastAsia="Noto Serif CJK SC"/>
        </w:rPr>
        <w:t>因此，可较稳健提取的结论不是“App 消失”，而是：</w:t>
      </w:r>
    </w:p>
    <w:p>
      <w:pPr>
        <w:pStyle w:val="FormulaBlock"/>
        <w:keepLines/>
        <w:shd w:fill="EEF4F8"/>
      </w:pPr>
      <w:r>
        <w:rPr>
          <w:rFonts w:ascii="DejaVu Sans Mono" w:hAnsi="DejaVu Sans Mono" w:eastAsia="DejaVu Sans Mono"/>
          <w:color w:val="17324D"/>
          <w:sz w:val="18"/>
        </w:rPr>
        <w:t>工作流入口的稀缺性下降</w:t>
      </w:r>
    </w:p>
    <w:p>
      <w:r>
        <w:rPr>
          <w:rFonts w:ascii="Noto Serif CJK SC" w:hAnsi="Noto Serif CJK SC" w:eastAsia="Noto Serif CJK SC"/>
        </w:rPr>
        <w:t>而以下内容仍然稀缺：</w:t>
      </w:r>
    </w:p>
    <w:p>
      <w:pPr>
        <w:pStyle w:val="FormulaBlock"/>
        <w:keepLines/>
        <w:shd w:fill="EEF4F8"/>
      </w:pPr>
      <w:r>
        <w:rPr>
          <w:rFonts w:ascii="DejaVu Sans Mono" w:hAnsi="DejaVu Sans Mono" w:eastAsia="DejaVu Sans Mono"/>
          <w:color w:val="17324D"/>
          <w:sz w:val="18"/>
        </w:rPr>
        <w:t>合法权限 + 可信数据 + 客户关系 + 制度责任 + 现实验收</w:t>
      </w:r>
    </w:p>
    <w:p>
      <w:pPr>
        <w:pStyle w:val="Heading2"/>
        <w:keepNext w:val="1"/>
      </w:pPr>
      <w:r>
        <w:rPr>
          <w:rFonts w:ascii="Noto Serif CJK SC" w:hAnsi="Noto Serif CJK SC" w:eastAsia="Noto Serif CJK SC"/>
        </w:rPr>
        <w:t>1.2 第二段材料：“AI 编程是死路”是标题，正文实际限定了命题</w:t>
      </w:r>
    </w:p>
    <w:p>
      <w:r>
        <w:rPr>
          <w:rFonts w:ascii="Noto Serif CJK SC" w:hAnsi="Noto Serif CJK SC" w:eastAsia="Noto Serif CJK SC"/>
        </w:rPr>
        <w:t>第二段视频的同题作者文字版首先以极端标题批评“学会 AI 编程、做出软件、自然就有人购买”的想象；后文又明确修正：AI 编程本身没有问题，它是一种工具，但单纯会做软件并不是稳定护城河。作者把可行位置转向：先找到客户、理解行业、识别重复工作，再把业务流程转化为 Agent 可以执行的知识和技能。</w:t>
      </w:r>
    </w:p>
    <w:p>
      <w:r>
        <w:rPr>
          <w:rFonts w:ascii="Noto Serif CJK SC" w:hAnsi="Noto Serif CJK SC" w:eastAsia="Noto Serif CJK SC"/>
        </w:rPr>
        <w:t>其最有价值的部分不是所有未经独立核验的市场数字，而是这条因果链：</w:t>
      </w:r>
    </w:p>
    <w:p>
      <w:pPr>
        <w:pStyle w:val="FormulaBlock"/>
        <w:keepLines/>
        <w:shd w:fill="EEF4F8"/>
      </w:pPr>
      <w:r>
        <w:rPr>
          <w:rFonts w:ascii="DejaVu Sans Mono" w:hAnsi="DejaVu Sans Mono" w:eastAsia="DejaVu Sans Mono"/>
          <w:color w:val="17324D"/>
          <w:sz w:val="18"/>
        </w:rPr>
        <w:t>制作门槛下降 → 同质供给增加 → 分发和客户成为瓶颈 → 行业语境与责任比通用编码更稀缺</w:t>
      </w:r>
    </w:p>
    <w:p>
      <w:pPr>
        <w:pStyle w:val="Heading2"/>
        <w:keepNext w:val="1"/>
      </w:pPr>
      <w:r>
        <w:rPr>
          <w:rFonts w:ascii="Noto Serif CJK SC" w:hAnsi="Noto Serif CJK SC" w:eastAsia="Noto Serif CJK SC"/>
        </w:rPr>
        <w:t>1.3 必须拒绝“软件工程整体死亡”的字面解释</w:t>
      </w:r>
    </w:p>
    <w:p>
      <w:r>
        <w:rPr>
          <w:rFonts w:ascii="Noto Serif CJK SC" w:hAnsi="Noto Serif CJK SC" w:eastAsia="Noto Serif CJK SC"/>
        </w:rPr>
        <w:t>公开劳动力资料并不支持“所有软件工作正在消失”的字面结论。美国劳工统计局仍预计软件开发、质量保障和测试相关就业在 2025-2035 年增长 10%；世界经济论坛 2025 年报告也把软件开发者列入绝对数量增长较大的岗位之一。ILO 和 OECD 的分析同样更接近“任务重组、增强、替代和新任务并存”，而不是一个统一的职业终结。</w:t>
      </w:r>
    </w:p>
    <w:p>
      <w:r>
        <w:rPr>
          <w:rFonts w:ascii="Noto Serif CJK SC" w:hAnsi="Noto Serif CJK SC" w:eastAsia="Noto Serif CJK SC"/>
        </w:rPr>
        <w:t>因此，本报告使用更精确的命题：</w:t>
      </w:r>
    </w:p>
    <w:p>
      <w:pPr>
        <w:pStyle w:val="Quote"/>
        <w:shd w:fill="FFF2CC"/>
      </w:pPr>
      <w:r>
        <w:rPr>
          <w:rFonts w:ascii="Noto Serif CJK SC" w:hAnsi="Noto Serif CJK SC" w:eastAsia="Noto Serif CJK SC"/>
          <w:b/>
        </w:rPr>
        <w:t>正在快速贬值的不是所有编程，而是“没有客户入口、没有独特语境、没有责任边界、没有现实验收的通用执行能力”作为独立经济护城河。</w:t>
      </w:r>
    </w:p>
    <w:p>
      <w:pPr>
        <w:spacing w:before="60" w:after="60"/>
        <w:pBdr>
          <w:bottom w:val="single" w:sz="4" w:space="1" w:color="9AA7B4"/>
        </w:pBdr>
      </w:pPr>
    </w:p>
    <w:p>
      <w:pPr>
        <w:pStyle w:val="Heading1"/>
        <w:keepNext w:val="1"/>
      </w:pPr>
      <w:r>
        <w:rPr>
          <w:rFonts w:ascii="Noto Serif CJK SC" w:hAnsi="Noto Serif CJK SC" w:eastAsia="Noto Serif CJK SC"/>
        </w:rPr>
        <w:t>2. 新鸿沟：从信息差、能力差到机会分母差</w:t>
      </w:r>
    </w:p>
    <w:p>
      <w:r>
        <w:rPr>
          <w:rFonts w:ascii="Noto Serif CJK SC" w:hAnsi="Noto Serif CJK SC" w:eastAsia="Noto Serif CJK SC"/>
        </w:rPr>
        <w:t>互联网削弱了信息差；大模型又削弱了很多执行能力差。下一阶段决定结果的核心可能变成：</w:t>
      </w:r>
    </w:p>
    <w:p>
      <w:pPr>
        <w:pStyle w:val="FormulaBlock"/>
        <w:keepLines/>
        <w:shd w:fill="EEF4F8"/>
      </w:pPr>
      <w:r>
        <w:rPr>
          <w:rFonts w:ascii="DejaVu Sans Mono" w:hAnsi="DejaVu Sans Mono" w:eastAsia="DejaVu Sans Mono"/>
          <w:color w:val="17324D"/>
          <w:sz w:val="18"/>
        </w:rPr>
        <w:t>机会容量是否小于合格供给</w:t>
      </w:r>
    </w:p>
    <w:p>
      <w:r>
        <w:rPr>
          <w:rFonts w:ascii="Noto Serif CJK SC" w:hAnsi="Noto Serif CJK SC" w:eastAsia="Noto Serif CJK SC"/>
        </w:rPr>
        <w:t>设某条路径未来十二个月的真实付费机会数为 Q，当前合格供给为 S_​0，新增供给为 S_​1，则饱和度为：</w:t>
      </w:r>
    </w:p>
    <w:p>
      <w:pPr>
        <w:pStyle w:val="FormulaBlock"/>
        <w:keepLines/>
        <w:shd w:fill="EEF4F8"/>
      </w:pPr>
      <w:r>
        <w:rPr>
          <w:rFonts w:ascii="DejaVu Sans Mono" w:hAnsi="DejaVu Sans Mono" w:eastAsia="DejaVu Sans Mono"/>
          <w:color w:val="17324D"/>
          <w:sz w:val="18"/>
        </w:rPr>
        <w:t>σ = (S_0+S_1) / (max(Q,1))</w:t>
      </w:r>
    </w:p>
    <w:p>
      <w:r>
        <w:rPr>
          <w:rFonts w:ascii="Noto Serif CJK SC" w:hAnsi="Noto Serif CJK SC" w:eastAsia="Noto Serif CJK SC"/>
        </w:rPr>
        <w:t>当 σ ≫ 1 时，继续提高通用能力不一定提高经济结果。此时真正的瓶颈可能是：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买方和预算是否真实存在；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谁能接触买方；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谁拥有本地信任；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谁能承担后果和修复；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谁拥有牌照、制度接口或物理现场；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谁可以证明结果而非只展示作品；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谁拥有分发、数据或持续服务关系。</w:t>
      </w:r>
    </w:p>
    <w:p>
      <w:r>
        <w:rPr>
          <w:rFonts w:ascii="Noto Serif CJK SC" w:hAnsi="Noto Serif CJK SC" w:eastAsia="Noto Serif CJK SC"/>
        </w:rPr>
        <w:t>这解释了“最先的人有机会，后来者没有机会”的一部分机制，但不能把它普遍化为所有社会位置。先发者效应在以下情况下最强：</w:t>
      </w:r>
    </w:p>
    <w:p>
      <w:pPr>
        <w:pStyle w:val="FormulaBlock"/>
        <w:keepLines/>
        <w:shd w:fill="EEF4F8"/>
      </w:pPr>
      <w:r>
        <w:rPr>
          <w:rFonts w:ascii="DejaVu Sans Mono" w:hAnsi="DejaVu Sans Mono" w:eastAsia="DejaVu Sans Mono"/>
          <w:color w:val="17324D"/>
          <w:sz w:val="18"/>
        </w:rPr>
        <w:t>供给可无限复制 ∧ 需求增长较慢 ∧ 分发集中 ∧ 客户切换成本高 ∧ 结果同质化</w:t>
      </w:r>
    </w:p>
    <w:p>
      <w:r>
        <w:rPr>
          <w:rFonts w:ascii="Noto Serif CJK SC" w:hAnsi="Noto Serif CJK SC" w:eastAsia="Noto Serif CJK SC"/>
        </w:rPr>
        <w:t>当工作具有本地性、关系性、责任性、物理性、监管性或持续服务要求时，机会仍可能反复生成，而不是一次性被首批人永久占满。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1" name="Picture 1" title="Opportunity saturation" descr="Opportunity satu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rpath_opportunity_satu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Opportunity saturation</w:t>
      </w:r>
    </w:p>
    <w:p>
      <w:pPr>
        <w:spacing w:before="60" w:after="60"/>
        <w:pBdr>
          <w:bottom w:val="single" w:sz="4" w:space="1" w:color="9AA7B4"/>
        </w:pBdr>
      </w:pPr>
    </w:p>
    <w:p>
      <w:pPr>
        <w:pStyle w:val="Heading1"/>
        <w:keepNext w:val="1"/>
      </w:pPr>
      <w:r>
        <w:rPr>
          <w:rFonts w:ascii="Noto Serif CJK SC" w:hAnsi="Noto Serif CJK SC" w:eastAsia="Noto Serif CJK SC"/>
        </w:rPr>
        <w:t>3. DIKWP 在透明经济中的位置</w:t>
      </w:r>
    </w:p>
    <w:p>
      <w:pPr>
        <w:pStyle w:val="Heading2"/>
        <w:keepNext w:val="1"/>
      </w:pPr>
      <w:r>
        <w:rPr>
          <w:rFonts w:ascii="Noto Serif CJK SC" w:hAnsi="Noto Serif CJK SC" w:eastAsia="Noto Serif CJK SC"/>
        </w:rPr>
        <w:t>3.1 五类存储能力</w:t>
      </w:r>
    </w:p>
    <w:p>
      <w:r>
        <w:rPr>
          <w:rFonts w:ascii="Noto Serif CJK SC" w:hAnsi="Noto Serif CJK SC" w:eastAsia="Noto Serif CJK SC"/>
        </w:rPr>
        <w:t>普通个体不应被压缩成单一“能力分”。ClearPath 分别记录：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  <w:b/>
        </w:rPr>
        <w:t>D - Data</w:t>
      </w:r>
      <w:r>
        <w:rPr>
          <w:rFonts w:ascii="Noto Serif CJK SC" w:hAnsi="Noto Serif CJK SC" w:eastAsia="Noto Serif CJK SC"/>
        </w:rPr>
        <w:t>：保存和识别具体记录、样本、事件和状态；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  <w:b/>
        </w:rPr>
        <w:t>I - Information</w:t>
      </w:r>
      <w:r>
        <w:rPr>
          <w:rFonts w:ascii="Noto Serif CJK SC" w:hAnsi="Noto Serif CJK SC" w:eastAsia="Noto Serif CJK SC"/>
        </w:rPr>
        <w:t>：发现差异、变化、关联和异常；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  <w:b/>
        </w:rPr>
        <w:t>K - Knowledge</w:t>
      </w:r>
      <w:r>
        <w:rPr>
          <w:rFonts w:ascii="Noto Serif CJK SC" w:hAnsi="Noto Serif CJK SC" w:eastAsia="Noto Serif CJK SC"/>
        </w:rPr>
        <w:t>：形成可解释、可复现、可迁移的结构；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  <w:b/>
        </w:rPr>
        <w:t>W - Wisdom</w:t>
      </w:r>
      <w:r>
        <w:rPr>
          <w:rFonts w:ascii="Noto Serif CJK SC" w:hAnsi="Noto Serif CJK SC" w:eastAsia="Noto Serif CJK SC"/>
        </w:rPr>
        <w:t>：在冲突目标、风险和现实条件中作取舍；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  <w:b/>
        </w:rPr>
        <w:t>P - Purpose</w:t>
      </w:r>
      <w:r>
        <w:rPr>
          <w:rFonts w:ascii="Noto Serif CJK SC" w:hAnsi="Noto Serif CJK SC" w:eastAsia="Noto Serif CJK SC"/>
        </w:rPr>
        <w:t>：明确谁的目的、为何行动、何时停止、由谁承担后果。</w:t>
      </w:r>
    </w:p>
    <w:p>
      <w:pPr>
        <w:pStyle w:val="Heading2"/>
        <w:keepNext w:val="1"/>
      </w:pPr>
      <w:r>
        <w:rPr>
          <w:rFonts w:ascii="Noto Serif CJK SC" w:hAnsi="Noto Serif CJK SC" w:eastAsia="Noto Serif CJK SC"/>
        </w:rPr>
        <w:t>3.2 二十五条转换能力</w:t>
      </w:r>
    </w:p>
    <w:p>
      <w:r>
        <w:rPr>
          <w:rFonts w:ascii="Noto Serif CJK SC" w:hAnsi="Noto Serif CJK SC" w:eastAsia="Noto Serif CJK SC"/>
        </w:rPr>
        <w:t>价值不只来自“拥有知识”，而来自转换：</w:t>
      </w:r>
    </w:p>
    <w:p>
      <w:pPr>
        <w:pStyle w:val="FormulaBlock"/>
        <w:keepLines/>
        <w:shd w:fill="EEF4F8"/>
      </w:pPr>
      <w:r>
        <w:rPr>
          <w:rFonts w:ascii="DejaVu Sans Mono" w:hAnsi="DejaVu Sans Mono" w:eastAsia="DejaVu Sans Mono"/>
          <w:color w:val="17324D"/>
          <w:sz w:val="18"/>
        </w:rPr>
        <w:t>T = {D,I,K,W,P} × {D,I,K,W,P}</w:t>
      </w:r>
    </w:p>
    <w:p>
      <w:r>
        <w:rPr>
          <w:rFonts w:ascii="Noto Serif CJK SC" w:hAnsi="Noto Serif CJK SC" w:eastAsia="Noto Serif CJK SC"/>
        </w:rPr>
        <w:t>例如：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D→ I：从原始记录识别有意义差异；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I→ K：把碎片信号变成可复现结构；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K→ W：把知识用于具体取舍；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W→ P：将判断转化为有边界行动；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P→ D：由现实行动重新产生可验证记录；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P→ P：根据现实结果修订目的和停止条件。</w:t>
      </w:r>
    </w:p>
    <w:p>
      <w:pPr>
        <w:pStyle w:val="Heading2"/>
        <w:keepNext w:val="1"/>
      </w:pPr>
      <w:r>
        <w:rPr>
          <w:rFonts w:ascii="Noto Serif CJK SC" w:hAnsi="Noto Serif CJK SC" w:eastAsia="Noto Serif CJK SC"/>
        </w:rPr>
        <w:t>3.3 模型能力提高后，价值如何迁移</w:t>
      </w:r>
    </w:p>
    <w:p>
      <w:r>
        <w:rPr>
          <w:rFonts w:ascii="Noto Serif CJK SC" w:hAnsi="Noto Serif CJK SC" w:eastAsia="Noto Serif CJK SC"/>
        </w:rPr>
        <w:t>模型首先显著压低可复制的数据整理、信息结构化和通用代码生成成本。随着能力继续提高，部分知识核验和方案生成也会下降。更慢被商品化的往往是：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具体客户和生活世界的语境；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对不确定性和冲突价值的责任承担；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Purpose 的正当来源；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现实资源和制度入口；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具名验收、赔偿和纠错；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不能仅由文本推导的物理世界接触。</w:t>
      </w:r>
    </w:p>
    <w:p>
      <w:r>
        <w:rPr>
          <w:rFonts w:ascii="Noto Serif CJK SC" w:hAnsi="Noto Serif CJK SC" w:eastAsia="Noto Serif CJK SC"/>
        </w:rPr>
        <w:t>这不是说 W/P 永远不会被模型增强，而是：即使模型能够提出更好的 W/P 方案，</w:t>
      </w:r>
      <w:r>
        <w:rPr>
          <w:rFonts w:ascii="Noto Serif CJK SC" w:hAnsi="Noto Serif CJK SC" w:eastAsia="Noto Serif CJK SC"/>
          <w:b/>
        </w:rPr>
        <w:t>谁有权采用、谁承担后果、谁可以停止和纠正</w:t>
      </w:r>
      <w:r>
        <w:rPr>
          <w:rFonts w:ascii="Noto Serif CJK SC" w:hAnsi="Noto Serif CJK SC" w:eastAsia="Noto Serif CJK SC"/>
        </w:rPr>
        <w:t>仍然构成经济与制度稀缺。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2" name="Picture 2" title="DIKWP value migration" descr="DIKWP value mig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rpath_dikwp_value_mig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DIKWP value migration</w:t>
      </w:r>
    </w:p>
    <w:p>
      <w:pPr>
        <w:spacing w:before="60" w:after="60"/>
        <w:pBdr>
          <w:bottom w:val="single" w:sz="4" w:space="1" w:color="9AA7B4"/>
        </w:pBdr>
      </w:pPr>
    </w:p>
    <w:p>
      <w:pPr>
        <w:pStyle w:val="Heading1"/>
        <w:keepNext w:val="1"/>
      </w:pPr>
      <w:r>
        <w:rPr>
          <w:rFonts w:ascii="Noto Serif CJK SC" w:hAnsi="Noto Serif CJK SC" w:eastAsia="Noto Serif CJK SC"/>
        </w:rPr>
        <w:t>4. 透明机会经济的定义</w:t>
      </w:r>
    </w:p>
    <w:p>
      <w:r>
        <w:rPr>
          <w:rFonts w:ascii="Noto Serif CJK SC" w:hAnsi="Noto Serif CJK SC" w:eastAsia="Noto Serif CJK SC"/>
        </w:rPr>
        <w:t>透明机会经济不是把所有人的私人能力、家庭、健康和财务状况公开。它要求公开的是会影响经济判断的机会分母和制度条件。</w:t>
      </w:r>
    </w:p>
    <w:p>
      <w:pPr>
        <w:pStyle w:val="Heading2"/>
        <w:keepNext w:val="1"/>
      </w:pPr>
      <w:r>
        <w:rPr>
          <w:rFonts w:ascii="Noto Serif CJK SC" w:hAnsi="Noto Serif CJK SC" w:eastAsia="Noto Serif CJK SC"/>
        </w:rPr>
        <w:t>4.1 一条机会必须公开的最小字段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>1. 具体付费主体；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>2. 未来十二个月真实有资金的名额或结果容量；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>3. 当前合格供给及其统计方法；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>4. 预计新增供给；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>5. 需求和供给增长假设；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>6. 可被模型直接替代的任务比例；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>7. 单个结果价格和变动成本；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>8. 进入成本和首笔收入时间；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>9. 机会预期寿命；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>10. 客户、信任、分发、监管和本地执行要求；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>11. 前十名供应者或平台的份额；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>12. 同期对外售卖的培训席位和培训收入；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>13. 所需 DIKWP 转换；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>14. 验收证据、反证条件和更新时间。</w:t>
      </w:r>
    </w:p>
    <w:p>
      <w:pPr>
        <w:pStyle w:val="Heading2"/>
        <w:keepNext w:val="1"/>
      </w:pPr>
      <w:r>
        <w:rPr>
          <w:rFonts w:ascii="Noto Serif CJK SC" w:hAnsi="Noto Serif CJK SC" w:eastAsia="Noto Serif CJK SC"/>
        </w:rPr>
        <w:t>4.2 透明度的关键不是分子，而是分母</w:t>
      </w:r>
    </w:p>
    <w:p>
      <w:r>
        <w:rPr>
          <w:rFonts w:ascii="Noto Serif CJK SC" w:hAnsi="Noto Serif CJK SC" w:eastAsia="Noto Serif CJK SC"/>
        </w:rPr>
        <w:t>培训广告经常只展示：</w:t>
      </w:r>
    </w:p>
    <w:p>
      <w:pPr>
        <w:pStyle w:val="FormulaBlock"/>
        <w:keepLines/>
        <w:shd w:fill="EEF4F8"/>
      </w:pPr>
      <w:r>
        <w:rPr>
          <w:rFonts w:ascii="DejaVu Sans Mono" w:hAnsi="DejaVu Sans Mono" w:eastAsia="DejaVu Sans Mono"/>
          <w:color w:val="17324D"/>
          <w:sz w:val="18"/>
        </w:rPr>
        <w:t>成功案例数</w:t>
      </w:r>
    </w:p>
    <w:p>
      <w:r>
        <w:rPr>
          <w:rFonts w:ascii="Noto Serif CJK SC" w:hAnsi="Noto Serif CJK SC" w:eastAsia="Noto Serif CJK SC"/>
        </w:rPr>
        <w:t>透明经济必须同时展示：</w:t>
      </w:r>
    </w:p>
    <w:p>
      <w:pPr>
        <w:pStyle w:val="FormulaBlock"/>
        <w:keepLines/>
        <w:shd w:fill="EEF4F8"/>
      </w:pPr>
      <w:r>
        <w:rPr>
          <w:rFonts w:ascii="DejaVu Sans Mono" w:hAnsi="DejaVu Sans Mono" w:eastAsia="DejaVu Sans Mono"/>
          <w:color w:val="17324D"/>
          <w:sz w:val="18"/>
        </w:rPr>
        <w:t>(获得真实付费结果的人数) / (购买、学习或进入该路径的人数)</w:t>
      </w:r>
    </w:p>
    <w:p>
      <w:r>
        <w:rPr>
          <w:rFonts w:ascii="Noto Serif CJK SC" w:hAnsi="Noto Serif CJK SC" w:eastAsia="Noto Serif CJK SC"/>
        </w:rPr>
        <w:t>还要展示：</w:t>
      </w:r>
    </w:p>
    <w:p>
      <w:pPr>
        <w:pStyle w:val="FormulaBlock"/>
        <w:keepLines/>
        <w:shd w:fill="EEF4F8"/>
      </w:pPr>
      <w:r>
        <w:rPr>
          <w:rFonts w:ascii="DejaVu Sans Mono" w:hAnsi="DejaVu Sans Mono" w:eastAsia="DejaVu Sans Mono"/>
          <w:color w:val="17324D"/>
          <w:sz w:val="18"/>
        </w:rPr>
        <w:t>(剩余付费机会) / (当前和即将进入的合格供给)</w:t>
      </w:r>
    </w:p>
    <w:p>
      <w:r>
        <w:rPr>
          <w:rFonts w:ascii="Noto Serif CJK SC" w:hAnsi="Noto Serif CJK SC" w:eastAsia="Noto Serif CJK SC"/>
        </w:rPr>
        <w:t>如果卖出一万份培训，而未来一年只有一百个真实付费位置，那么课程本身即使能够提高技能，也不能被宣传成普遍经济出路。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3" name="Picture 3" title="Training integrity" descr="Training integr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rpath_training_integr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Training integrity</w:t>
      </w:r>
    </w:p>
    <w:p>
      <w:pPr>
        <w:pStyle w:val="Heading2"/>
        <w:keepNext w:val="1"/>
      </w:pPr>
      <w:r>
        <w:rPr>
          <w:rFonts w:ascii="Noto Serif CJK SC" w:hAnsi="Noto Serif CJK SC" w:eastAsia="Noto Serif CJK SC"/>
        </w:rPr>
        <w:t>4.3 透明不等于永久暴露个人</w:t>
      </w:r>
    </w:p>
    <w:p>
      <w:r>
        <w:rPr>
          <w:rFonts w:ascii="Noto Serif CJK SC" w:hAnsi="Noto Serif CJK SC" w:eastAsia="Noto Serif CJK SC"/>
        </w:rPr>
        <w:t>个人公开卡只应包含：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本人选择公开的目的类别；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有证据的 DIKWP 转换能力；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证据阶段和可核查收据；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有效期限；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申诉和更正状态。</w:t>
      </w:r>
    </w:p>
    <w:p>
      <w:r>
        <w:rPr>
          <w:rFonts w:ascii="Noto Serif CJK SC" w:hAnsi="Noto Serif CJK SC" w:eastAsia="Noto Serif CJK SC"/>
        </w:rPr>
        <w:t>默认不公开：现金跑道、家庭义务、健康状态、居住位置、政治宗教观点、债务、脆弱性和失败历史。私人约束只用于改变支持和路径，不得用于减少人的权利。</w:t>
      </w:r>
    </w:p>
    <w:p>
      <w:pPr>
        <w:spacing w:before="60" w:after="60"/>
        <w:pBdr>
          <w:bottom w:val="single" w:sz="4" w:space="1" w:color="9AA7B4"/>
        </w:pBdr>
      </w:pPr>
    </w:p>
    <w:p>
      <w:pPr>
        <w:pStyle w:val="Heading1"/>
        <w:keepNext w:val="1"/>
      </w:pPr>
      <w:r>
        <w:rPr>
          <w:rFonts w:ascii="Noto Serif CJK SC" w:hAnsi="Noto Serif CJK SC" w:eastAsia="Noto Serif CJK SC"/>
        </w:rPr>
        <w:t>5. ClearPath 数学模型</w:t>
      </w:r>
    </w:p>
    <w:p>
      <w:pPr>
        <w:pStyle w:val="Heading2"/>
        <w:keepNext w:val="1"/>
      </w:pPr>
      <w:r>
        <w:rPr>
          <w:rFonts w:ascii="Noto Serif CJK SC" w:hAnsi="Noto Serif CJK SC" w:eastAsia="Noto Serif CJK SC"/>
        </w:rPr>
        <w:t>5.1 机会市场层</w:t>
      </w:r>
    </w:p>
    <w:p>
      <w:r>
        <w:rPr>
          <w:rFonts w:ascii="Noto Serif CJK SC" w:hAnsi="Noto Serif CJK SC" w:eastAsia="Noto Serif CJK SC"/>
        </w:rPr>
        <w:t>在世界 w 中：</w:t>
      </w:r>
    </w:p>
    <w:p>
      <w:pPr>
        <w:pStyle w:val="FormulaBlock"/>
        <w:keepLines/>
        <w:shd w:fill="EEF4F8"/>
      </w:pPr>
      <w:r>
        <w:rPr>
          <w:rFonts w:ascii="DejaVu Sans Mono" w:hAnsi="DejaVu Sans Mono" w:eastAsia="DejaVu Sans Mono"/>
          <w:color w:val="17324D"/>
          <w:sz w:val="18"/>
        </w:rPr>
        <w:t>Q_w = Q · d_w</w:t>
      </w:r>
    </w:p>
    <w:p>
      <w:pPr>
        <w:pStyle w:val="FormulaBlock"/>
        <w:keepLines/>
        <w:shd w:fill="EEF4F8"/>
      </w:pPr>
      <w:r>
        <w:rPr>
          <w:rFonts w:ascii="DejaVu Sans Mono" w:hAnsi="DejaVu Sans Mono" w:eastAsia="DejaVu Sans Mono"/>
          <w:color w:val="17324D"/>
          <w:sz w:val="18"/>
        </w:rPr>
        <w:t>S_w = (S_0+S_1) · s_w</w:t>
      </w:r>
    </w:p>
    <w:p>
      <w:pPr>
        <w:pStyle w:val="FormulaBlock"/>
        <w:keepLines/>
        <w:shd w:fill="EEF4F8"/>
      </w:pPr>
      <w:r>
        <w:rPr>
          <w:rFonts w:ascii="DejaVu Sans Mono" w:hAnsi="DejaVu Sans Mono" w:eastAsia="DejaVu Sans Mono"/>
          <w:color w:val="17324D"/>
          <w:sz w:val="18"/>
        </w:rPr>
        <w:t>σ_w = (S_w) / (max(Q_w,1))</w:t>
      </w:r>
    </w:p>
    <w:p>
      <w:r>
        <w:rPr>
          <w:rFonts w:ascii="Noto Serif CJK SC" w:hAnsi="Noto Serif CJK SC" w:eastAsia="Noto Serif CJK SC"/>
        </w:rPr>
        <w:t>模型还计算：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剩余付费位置覆盖率；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机会半衰期；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毛利因子；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剩余不可商品化需求；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先发者占位指数；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培训机会漂白风险。</w:t>
      </w:r>
    </w:p>
    <w:p>
      <w:pPr>
        <w:pStyle w:val="Heading2"/>
        <w:keepNext w:val="1"/>
      </w:pPr>
      <w:r>
        <w:rPr>
          <w:rFonts w:ascii="Noto Serif CJK SC" w:hAnsi="Noto Serif CJK SC" w:eastAsia="Noto Serif CJK SC"/>
        </w:rPr>
        <w:t>5.2 个体与机会的匹配层</w:t>
      </w:r>
    </w:p>
    <w:p>
      <w:r>
        <w:rPr>
          <w:rFonts w:ascii="Noto Serif CJK SC" w:hAnsi="Noto Serif CJK SC" w:eastAsia="Noto Serif CJK SC"/>
        </w:rPr>
        <w:t>对每条 DIKWP 转换 t，个体可用能力由自评、证据阶段、收据和源节点存储共同形成：</w:t>
      </w:r>
    </w:p>
    <w:p>
      <w:pPr>
        <w:pStyle w:val="FormulaBlock"/>
        <w:keepLines/>
        <w:shd w:fill="EEF4F8"/>
      </w:pPr>
      <w:r>
        <w:rPr>
          <w:rFonts w:ascii="DejaVu Sans Mono" w:hAnsi="DejaVu Sans Mono" w:eastAsia="DejaVu Sans Mono"/>
          <w:color w:val="17324D"/>
          <w:sz w:val="18"/>
        </w:rPr>
        <w:t>A_t = 0.78E_t+0.22S_src(t)</w:t>
      </w:r>
    </w:p>
    <w:p>
      <w:r>
        <w:rPr>
          <w:rFonts w:ascii="Noto Serif CJK SC" w:hAnsi="Noto Serif CJK SC" w:eastAsia="Noto Serif CJK SC"/>
        </w:rPr>
        <w:t>能力匹配：</w:t>
      </w:r>
    </w:p>
    <w:p>
      <w:pPr>
        <w:pStyle w:val="FormulaBlock"/>
        <w:keepLines/>
        <w:shd w:fill="EEF4F8"/>
      </w:pPr>
      <w:r>
        <w:rPr>
          <w:rFonts w:ascii="DejaVu Sans Mono" w:hAnsi="DejaVu Sans Mono" w:eastAsia="DejaVu Sans Mono"/>
          <w:color w:val="17324D"/>
          <w:sz w:val="18"/>
        </w:rPr>
        <w:t>C = (Σ_t r_tmin(A_t,r_t)/r_t) / (Σ_t r_t)</w:t>
      </w:r>
    </w:p>
    <w:p>
      <w:r>
        <w:rPr>
          <w:rFonts w:ascii="Noto Serif CJK SC" w:hAnsi="Noto Serif CJK SC" w:eastAsia="Noto Serif CJK SC"/>
        </w:rPr>
        <w:t>其中 r_​t 是路径要求。</w:t>
      </w:r>
    </w:p>
    <w:p>
      <w:r>
        <w:rPr>
          <w:rFonts w:ascii="Noto Serif CJK SC" w:hAnsi="Noto Serif CJK SC" w:eastAsia="Noto Serif CJK SC"/>
        </w:rPr>
        <w:t>另外分别计算：客户入口、信任、分发、制度、本地执行、时间、预算、现金跑道、剩余名额、毛利、集中度和风险承受度。</w:t>
      </w:r>
    </w:p>
    <w:p>
      <w:pPr>
        <w:pStyle w:val="Heading2"/>
        <w:keepNext w:val="1"/>
      </w:pPr>
      <w:r>
        <w:rPr>
          <w:rFonts w:ascii="Noto Serif CJK SC" w:hAnsi="Noto Serif CJK SC" w:eastAsia="Noto Serif CJK SC"/>
        </w:rPr>
        <w:t>5.3 不使用单一世界</w:t>
      </w:r>
    </w:p>
    <w:p>
      <w:r>
        <w:rPr>
          <w:rFonts w:ascii="Noto Serif CJK SC" w:hAnsi="Noto Serif CJK SC" w:eastAsia="Noto Serif CJK SC"/>
        </w:rPr>
        <w:t>系统保留五个相互冲突的世界：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>1. 受治理的 AI 增强；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>2. 快速能力商品化；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>3. 赢者占优的平台集中；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>4. 本地信任与责任重新打开细分机会；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>5. AGI 级劳动价值压缩。</w:t>
      </w:r>
    </w:p>
    <w:p>
      <w:r>
        <w:rPr>
          <w:rFonts w:ascii="Noto Serif CJK SC" w:hAnsi="Noto Serif CJK SC" w:eastAsia="Noto Serif CJK SC"/>
        </w:rPr>
        <w:t>对每个世界得到可行度 V_​w，并计算：</w:t>
      </w:r>
    </w:p>
    <w:p>
      <w:pPr>
        <w:pStyle w:val="FormulaBlock"/>
        <w:keepLines/>
        <w:shd w:fill="EEF4F8"/>
      </w:pPr>
      <w:r>
        <w:rPr>
          <w:rFonts w:ascii="DejaVu Sans Mono" w:hAnsi="DejaVu Sans Mono" w:eastAsia="DejaVu Sans Mono"/>
          <w:color w:val="17324D"/>
          <w:sz w:val="18"/>
        </w:rPr>
        <w:t>V_floor=min_w V_w</w:t>
      </w:r>
    </w:p>
    <w:p>
      <w:pPr>
        <w:pStyle w:val="FormulaBlock"/>
        <w:keepLines/>
        <w:shd w:fill="EEF4F8"/>
      </w:pPr>
      <w:r>
        <w:rPr>
          <w:rFonts w:ascii="DejaVu Sans Mono" w:hAnsi="DejaVu Sans Mono" w:eastAsia="DejaVu Sans Mono"/>
          <w:color w:val="17324D"/>
          <w:sz w:val="18"/>
        </w:rPr>
        <w:t>avg V=(Σ_wω_wV_w) / (Σ_wω_w)</w:t>
      </w:r>
    </w:p>
    <w:p>
      <w:r>
        <w:rPr>
          <w:rFonts w:ascii="Noto Serif CJK SC" w:hAnsi="Noto Serif CJK SC" w:eastAsia="Noto Serif CJK SC"/>
        </w:rPr>
        <w:t>权重表示决策重要性，不伪装成客观发生概率。</w:t>
      </w:r>
    </w:p>
    <w:p>
      <w:pPr>
        <w:pStyle w:val="Heading2"/>
        <w:keepNext w:val="1"/>
      </w:pPr>
      <w:r>
        <w:rPr>
          <w:rFonts w:ascii="Noto Serif CJK SC" w:hAnsi="Noto Serif CJK SC" w:eastAsia="Noto Serif CJK SC"/>
        </w:rPr>
        <w:t>5.4 四种结论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  <w:b/>
        </w:rPr>
        <w:t>GO_​NOW</w:t>
      </w:r>
      <w:r>
        <w:rPr>
          <w:rFonts w:ascii="Noto Serif CJK SC" w:hAnsi="Noto Serif CJK SC" w:eastAsia="Noto Serif CJK SC"/>
        </w:rPr>
        <w:t>：付费需求、匹配和鲁棒性足以支持一个窄试验；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  <w:b/>
        </w:rPr>
        <w:t>TEST_​CHEAPLY</w:t>
      </w:r>
      <w:r>
        <w:rPr>
          <w:rFonts w:ascii="Noto Serif CJK SC" w:hAnsi="Noto Serif CJK SC" w:eastAsia="Noto Serif CJK SC"/>
        </w:rPr>
        <w:t>：仅支持设定损失上限的小规模验证；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  <w:b/>
        </w:rPr>
        <w:t>PIVOT_​TO_​COMPLEMENT</w:t>
      </w:r>
      <w:r>
        <w:rPr>
          <w:rFonts w:ascii="Noto Serif CJK SC" w:hAnsi="Noto Serif CJK SC" w:eastAsia="Noto Serif CJK SC"/>
        </w:rPr>
        <w:t>：从通用执行转向行业、信任、本地、监管、验收或责任位置；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  <w:b/>
        </w:rPr>
        <w:t>NO_​CURRENT_​VIABLE_​PATH</w:t>
      </w:r>
      <w:r>
        <w:rPr>
          <w:rFonts w:ascii="Noto Serif CJK SC" w:hAnsi="Noto Serif CJK SC" w:eastAsia="Noto Serif CJK SC"/>
        </w:rPr>
        <w:t>：在证据改变前停止继续投入。</w:t>
      </w:r>
    </w:p>
    <w:p>
      <w:r>
        <w:rPr>
          <w:rFonts w:ascii="Noto Serif CJK SC" w:hAnsi="Noto Serif CJK SC" w:eastAsia="Noto Serif CJK SC"/>
        </w:rPr>
        <w:t>所有结论都必须附带：关闭原因、重新打开条件、72小时/30天/90天动作和有效期。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4" name="Picture 4" title="Decision zones" descr="Decision zo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rpath_decision_zon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Decision zones</w:t>
      </w:r>
    </w:p>
    <w:p>
      <w:pPr>
        <w:spacing w:before="60" w:after="60"/>
        <w:pBdr>
          <w:bottom w:val="single" w:sz="4" w:space="1" w:color="9AA7B4"/>
        </w:pBdr>
      </w:pPr>
    </w:p>
    <w:p>
      <w:pPr>
        <w:pStyle w:val="Heading1"/>
        <w:keepNext w:val="1"/>
      </w:pPr>
      <w:r>
        <w:rPr>
          <w:rFonts w:ascii="Noto Serif CJK SC" w:hAnsi="Noto Serif CJK SC" w:eastAsia="Noto Serif CJK SC"/>
        </w:rPr>
        <w:t>6. 给普通人的“有出路/当前无出路”工作流</w:t>
      </w:r>
    </w:p>
    <w:p>
      <w:pPr>
        <w:pStyle w:val="Heading2"/>
        <w:keepNext w:val="1"/>
      </w:pPr>
      <w:r>
        <w:rPr>
          <w:rFonts w:ascii="Noto Serif CJK SC" w:hAnsi="Noto Serif CJK SC" w:eastAsia="Noto Serif CJK SC"/>
        </w:rPr>
        <w:t>6.1 第一步：只评估具体路线</w:t>
      </w:r>
    </w:p>
    <w:p>
      <w:r>
        <w:rPr>
          <w:rFonts w:ascii="Noto Serif CJK SC" w:hAnsi="Noto Serif CJK SC" w:eastAsia="Noto Serif CJK SC"/>
        </w:rPr>
        <w:t>错误问题：</w:t>
      </w:r>
    </w:p>
    <w:p>
      <w:pPr>
        <w:pStyle w:val="Quote"/>
        <w:shd w:fill="FFF2CC"/>
      </w:pPr>
      <w:r>
        <w:rPr>
          <w:rFonts w:ascii="Noto Serif CJK SC" w:hAnsi="Noto Serif CJK SC" w:eastAsia="Noto Serif CJK SC"/>
        </w:rPr>
        <w:t>我有没有未来？我是不是不够聪明？</w:t>
      </w:r>
    </w:p>
    <w:p>
      <w:r>
        <w:rPr>
          <w:rFonts w:ascii="Noto Serif CJK SC" w:hAnsi="Noto Serif CJK SC" w:eastAsia="Noto Serif CJK SC"/>
        </w:rPr>
        <w:t>合格问题：</w:t>
      </w:r>
    </w:p>
    <w:p>
      <w:pPr>
        <w:pStyle w:val="Quote"/>
        <w:shd w:fill="FFF2CC"/>
      </w:pPr>
      <w:r>
        <w:rPr>
          <w:rFonts w:ascii="Noto Serif CJK SC" w:hAnsi="Noto Serif CJK SC" w:eastAsia="Noto Serif CJK SC"/>
        </w:rPr>
        <w:t>在未来十二个月，为某类客户完成某个可验收结果，这条路径有多少已融资机会？我当前缺的是能力、客户、时间、资金、牌照、信任，还是分发？</w:t>
      </w:r>
    </w:p>
    <w:p>
      <w:pPr>
        <w:pStyle w:val="Heading2"/>
        <w:keepNext w:val="1"/>
      </w:pPr>
      <w:r>
        <w:rPr>
          <w:rFonts w:ascii="Noto Serif CJK SC" w:hAnsi="Noto Serif CJK SC" w:eastAsia="Noto Serif CJK SC"/>
        </w:rPr>
        <w:t>6.2 第二步：先找支付承诺，再做完整产品</w:t>
      </w:r>
    </w:p>
    <w:p>
      <w:r>
        <w:rPr>
          <w:rFonts w:ascii="Noto Serif CJK SC" w:hAnsi="Noto Serif CJK SC" w:eastAsia="Noto Serif CJK SC"/>
        </w:rPr>
        <w:t>最低现实证据依次为：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>1. 具名问题持有者；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>2. 对问题造成的时间、损失或机会成本有记录；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>3. 对一个窄结果有书面验收条件；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>4. 有价格、预付款、采购意向或其他真实价值承诺；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>5. 试验可在本人预算和跑道内完成；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>6. 失败可以终止，而不需要追加大额投入。</w:t>
      </w:r>
    </w:p>
    <w:p>
      <w:pPr>
        <w:pStyle w:val="Heading2"/>
        <w:keepNext w:val="1"/>
      </w:pPr>
      <w:r>
        <w:rPr>
          <w:rFonts w:ascii="Noto Serif CJK SC" w:hAnsi="Noto Serif CJK SC" w:eastAsia="Noto Serif CJK SC"/>
        </w:rPr>
        <w:t>6.3 第三步：允许系统说“当前没有”</w:t>
      </w:r>
    </w:p>
    <w:p>
      <w:r>
        <w:rPr>
          <w:rFonts w:ascii="Noto Serif CJK SC" w:hAnsi="Noto Serif CJK SC" w:eastAsia="Noto Serif CJK SC"/>
        </w:rPr>
        <w:t xml:space="preserve">当系统输出 </w:t>
      </w:r>
      <w:r>
        <w:rPr>
          <w:rFonts w:ascii="DejaVu Sans Mono" w:hAnsi="DejaVu Sans Mono" w:eastAsia="DejaVu Sans Mono"/>
          <w:sz w:val="18"/>
        </w:rPr>
        <w:t>NO_​CURRENT_​VIABLE_​PATH</w:t>
      </w:r>
      <w:r>
        <w:rPr>
          <w:rFonts w:ascii="Noto Serif CJK SC" w:hAnsi="Noto Serif CJK SC" w:eastAsia="Noto Serif CJK SC"/>
        </w:rPr>
        <w:t>，其含义是：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不再购买该路径的泛化课程；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不再为了证明沉没成本而继续开发；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保存现金、时间和心理资源；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只测试能够重新打开路径的条件；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把注意力移到相邻的已融资问题。</w:t>
      </w:r>
    </w:p>
    <w:p>
      <w:r>
        <w:rPr>
          <w:rFonts w:ascii="Noto Serif CJK SC" w:hAnsi="Noto Serif CJK SC" w:eastAsia="Noto Serif CJK SC"/>
        </w:rPr>
        <w:t>这是一种保护，不是羞辱。</w:t>
      </w:r>
    </w:p>
    <w:p>
      <w:pPr>
        <w:pStyle w:val="Heading2"/>
        <w:keepNext w:val="1"/>
      </w:pPr>
      <w:r>
        <w:rPr>
          <w:rFonts w:ascii="Noto Serif CJK SC" w:hAnsi="Noto Serif CJK SC" w:eastAsia="Noto Serif CJK SC"/>
        </w:rPr>
        <w:t>6.4 第四步：建立机会组合</w:t>
      </w:r>
    </w:p>
    <w:p>
      <w:r>
        <w:rPr>
          <w:rFonts w:ascii="Noto Serif CJK SC" w:hAnsi="Noto Serif CJK SC" w:eastAsia="Noto Serif CJK SC"/>
        </w:rPr>
        <w:t>一个人不应只测试一个热门方向。系统把多条路径一起比较，并优先选择结构不同的路线，例如：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本地中小企业流程构建；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照护与公共服务导航；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物理世界维护与协调；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受监管行业的证据整理；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AI 结果核验与责任交接。</w:t>
      </w:r>
    </w:p>
    <w:p>
      <w:r>
        <w:rPr>
          <w:rFonts w:ascii="Noto Serif CJK SC" w:hAnsi="Noto Serif CJK SC" w:eastAsia="Noto Serif CJK SC"/>
        </w:rPr>
        <w:t>如果整个测试集中都没有可行路线，系统应诚实输出：</w:t>
      </w:r>
    </w:p>
    <w:p>
      <w:pPr>
        <w:pStyle w:val="CodeBlock"/>
        <w:keepLines/>
        <w:shd w:fill="F3F5F7"/>
      </w:pPr>
      <w:r>
        <w:rPr>
          <w:rFonts w:ascii="DejaVu Sans Mono" w:hAnsi="DejaVu Sans Mono" w:eastAsia="DejaVu Sans Mono"/>
          <w:color w:val="192230"/>
          <w:sz w:val="16"/>
        </w:rPr>
        <w:t>NO_CURRENT_VIABLE_PATH_IN_TESTED_SET</w:t>
      </w:r>
    </w:p>
    <w:p>
      <w:r>
        <w:rPr>
          <w:rFonts w:ascii="Noto Serif CJK SC" w:hAnsi="Noto Serif CJK SC" w:eastAsia="Noto Serif CJK SC"/>
        </w:rPr>
        <w:t>并要求扩大机会候选集，而不是继续提高一个无需求技能的等级。</w:t>
      </w:r>
    </w:p>
    <w:p>
      <w:pPr>
        <w:spacing w:before="60" w:after="60"/>
        <w:pBdr>
          <w:bottom w:val="single" w:sz="4" w:space="1" w:color="9AA7B4"/>
        </w:pBdr>
      </w:pPr>
    </w:p>
    <w:p>
      <w:pPr>
        <w:pStyle w:val="Heading1"/>
        <w:keepNext w:val="1"/>
      </w:pPr>
      <w:r>
        <w:rPr>
          <w:rFonts w:ascii="Noto Serif CJK SC" w:hAnsi="Noto Serif CJK SC" w:eastAsia="Noto Serif CJK SC"/>
        </w:rPr>
        <w:t>7. 三个合成案例</w:t>
      </w:r>
    </w:p>
    <w:p>
      <w:pPr>
        <w:pStyle w:val="Heading2"/>
        <w:keepNext w:val="1"/>
      </w:pPr>
      <w:r>
        <w:rPr>
          <w:rFonts w:ascii="Noto Serif CJK SC" w:hAnsi="Noto Serif CJK SC" w:eastAsia="Noto Serif CJK SC"/>
        </w:rPr>
        <w:t>7.1 泛化 AI 微型 SaaS</w:t>
      </w:r>
    </w:p>
    <w:p>
      <w:r>
        <w:rPr>
          <w:rFonts w:ascii="Noto Serif CJK SC" w:hAnsi="Noto Serif CJK SC" w:eastAsia="Noto Serif CJK SC"/>
        </w:rPr>
        <w:t>合成输入中，未来一年 180 个付费位置面对 6,500 个预计合格供给者，饱和度为 36.11；培训营销 12,000 个席位，剩余付费位置对培训席位覆盖率只有 1.5%。尽管示例个体具备足够的 DIKWP 执行能力，路径仍被关闭，因为分发、进入成本、剩余需求和竞争结构不足。</w:t>
      </w:r>
    </w:p>
    <w:p>
      <w:r>
        <w:rPr>
          <w:rFonts w:ascii="Noto Serif CJK SC" w:hAnsi="Noto Serif CJK SC" w:eastAsia="Noto Serif CJK SC"/>
        </w:rPr>
        <w:t>结论：</w:t>
      </w:r>
    </w:p>
    <w:p>
      <w:pPr>
        <w:pStyle w:val="CodeBlock"/>
        <w:keepLines/>
        <w:shd w:fill="F3F5F7"/>
      </w:pPr>
      <w:r>
        <w:rPr>
          <w:rFonts w:ascii="DejaVu Sans Mono" w:hAnsi="DejaVu Sans Mono" w:eastAsia="DejaVu Sans Mono"/>
          <w:color w:val="192230"/>
          <w:sz w:val="16"/>
        </w:rPr>
        <w:t>NO_CURRENT_VIABLE_PATH</w:t>
      </w:r>
    </w:p>
    <w:p>
      <w:r>
        <w:rPr>
          <w:rFonts w:ascii="Noto Serif CJK SC" w:hAnsi="Noto Serif CJK SC" w:eastAsia="Noto Serif CJK SC"/>
        </w:rPr>
        <w:t>这说明“有能力”不等于“市场仍需新增一个同质供给者”。</w:t>
      </w:r>
    </w:p>
    <w:p>
      <w:pPr>
        <w:pStyle w:val="Heading2"/>
        <w:keepNext w:val="1"/>
      </w:pPr>
      <w:r>
        <w:rPr>
          <w:rFonts w:ascii="Noto Serif CJK SC" w:hAnsi="Noto Serif CJK SC" w:eastAsia="Noto Serif CJK SC"/>
        </w:rPr>
        <w:t>7.2 本地中小企业流程与 Agent 集成</w:t>
      </w:r>
    </w:p>
    <w:p>
      <w:r>
        <w:rPr>
          <w:rFonts w:ascii="Noto Serif CJK SC" w:hAnsi="Noto Serif CJK SC" w:eastAsia="Noto Serif CJK SC"/>
        </w:rPr>
        <w:t>该合成路径有更明确的本地客户、较低分发要求、较高语境与责任份额、较短首笔收入周期。系统输出：</w:t>
      </w:r>
    </w:p>
    <w:p>
      <w:pPr>
        <w:pStyle w:val="CodeBlock"/>
        <w:keepLines/>
        <w:shd w:fill="F3F5F7"/>
      </w:pPr>
      <w:r>
        <w:rPr>
          <w:rFonts w:ascii="DejaVu Sans Mono" w:hAnsi="DejaVu Sans Mono" w:eastAsia="DejaVu Sans Mono"/>
          <w:color w:val="192230"/>
          <w:sz w:val="16"/>
        </w:rPr>
        <w:t>GO_NOW</w:t>
      </w:r>
    </w:p>
    <w:p>
      <w:r>
        <w:rPr>
          <w:rFonts w:ascii="Noto Serif CJK SC" w:hAnsi="Noto Serif CJK SC" w:eastAsia="Noto Serif CJK SC"/>
        </w:rPr>
        <w:t>但只支持寻找三个具名买方、提供一个窄结果、获得一笔付费试验，不支持先开发大型平台。</w:t>
      </w:r>
    </w:p>
    <w:p>
      <w:pPr>
        <w:pStyle w:val="Heading2"/>
        <w:keepNext w:val="1"/>
      </w:pPr>
      <w:r>
        <w:rPr>
          <w:rFonts w:ascii="Noto Serif CJK SC" w:hAnsi="Noto Serif CJK SC" w:eastAsia="Noto Serif CJK SC"/>
        </w:rPr>
        <w:t>7.3 本地照护与公共服务导航</w:t>
      </w:r>
    </w:p>
    <w:p>
      <w:r>
        <w:rPr>
          <w:rFonts w:ascii="Noto Serif CJK SC" w:hAnsi="Noto Serif CJK SC" w:eastAsia="Noto Serif CJK SC"/>
        </w:rPr>
        <w:t xml:space="preserve">这类工作含有较强本地语境、关系信任、物理协调和责任交接，模型可增强信息检索和记录，却难以自行获得家庭信任、制度入口和现实照护能力。合成测试同样得到 </w:t>
      </w:r>
      <w:r>
        <w:rPr>
          <w:rFonts w:ascii="DejaVu Sans Mono" w:hAnsi="DejaVu Sans Mono" w:eastAsia="DejaVu Sans Mono"/>
          <w:sz w:val="18"/>
        </w:rPr>
        <w:t>GO_​NOW</w:t>
      </w:r>
      <w:r>
        <w:rPr>
          <w:rFonts w:ascii="Noto Serif CJK SC" w:hAnsi="Noto Serif CJK SC" w:eastAsia="Noto Serif CJK SC"/>
        </w:rPr>
        <w:t>，但必须保留专业边界和人工责任。</w:t>
      </w:r>
    </w:p>
    <w:p>
      <w:r>
        <w:rPr>
          <w:rFonts w:ascii="Noto Serif CJK SC" w:hAnsi="Noto Serif CJK SC" w:eastAsia="Noto Serif CJK SC"/>
        </w:rPr>
        <w:t>以上数据均为机制测试，不是市场预测。</w:t>
      </w:r>
    </w:p>
    <w:p>
      <w:pPr>
        <w:spacing w:before="60" w:after="60"/>
        <w:pBdr>
          <w:bottom w:val="single" w:sz="4" w:space="1" w:color="9AA7B4"/>
        </w:pBdr>
      </w:pPr>
    </w:p>
    <w:p>
      <w:pPr>
        <w:pStyle w:val="Heading1"/>
        <w:keepNext w:val="1"/>
      </w:pPr>
      <w:r>
        <w:rPr>
          <w:rFonts w:ascii="Noto Serif CJK SC" w:hAnsi="Noto Serif CJK SC" w:eastAsia="Noto Serif CJK SC"/>
        </w:rPr>
        <w:t>8. 培训与知识销售的机会诚信门</w:t>
      </w:r>
    </w:p>
    <w:p>
      <w:r>
        <w:rPr>
          <w:rFonts w:ascii="Noto Serif CJK SC" w:hAnsi="Noto Serif CJK SC" w:eastAsia="Noto Serif CJK SC"/>
        </w:rPr>
        <w:t>培训提供者不得只证明课程能教会技能，还必须说明经济机会是否存在。</w:t>
      </w:r>
    </w:p>
    <w:p>
      <w:r>
        <w:rPr>
          <w:rFonts w:ascii="Noto Serif CJK SC" w:hAnsi="Noto Serif CJK SC" w:eastAsia="Noto Serif CJK SC"/>
        </w:rPr>
        <w:t>TOEP-1000 要求至少公开：</w:t>
      </w:r>
    </w:p>
    <w:p>
      <w:pPr>
        <w:pStyle w:val="FormulaBlock"/>
        <w:keepLines/>
        <w:shd w:fill="EEF4F8"/>
      </w:pPr>
      <w:r>
        <w:rPr>
          <w:rFonts w:ascii="DejaVu Sans Mono" w:hAnsi="DejaVu Sans Mono" w:eastAsia="DejaVu Sans Mono"/>
          <w:color w:val="17324D"/>
          <w:sz w:val="18"/>
        </w:rPr>
        <w:t>Coverage_training=(Q) / (Seats_marketed)</w:t>
      </w:r>
    </w:p>
    <w:p>
      <w:pPr>
        <w:pStyle w:val="FormulaBlock"/>
        <w:keepLines/>
        <w:shd w:fill="EEF4F8"/>
      </w:pPr>
      <w:r>
        <w:rPr>
          <w:rFonts w:ascii="DejaVu Sans Mono" w:hAnsi="DejaVu Sans Mono" w:eastAsia="DejaVu Sans Mono"/>
          <w:color w:val="17324D"/>
          <w:sz w:val="18"/>
        </w:rPr>
        <w:t>Value_downstream=Q · max(Price-Cost,0)</w:t>
      </w:r>
    </w:p>
    <w:p>
      <w:pPr>
        <w:pStyle w:val="FormulaBlock"/>
        <w:keepLines/>
        <w:shd w:fill="EEF4F8"/>
      </w:pPr>
      <w:r>
        <w:rPr>
          <w:rFonts w:ascii="DejaVu Sans Mono" w:hAnsi="DejaVu Sans Mono" w:eastAsia="DejaVu Sans Mono"/>
          <w:color w:val="17324D"/>
          <w:sz w:val="18"/>
        </w:rPr>
        <w:t>Revenue_training=Seats_marketed · TrainingPrice</w:t>
      </w:r>
    </w:p>
    <w:p>
      <w:r>
        <w:rPr>
          <w:rFonts w:ascii="Noto Serif CJK SC" w:hAnsi="Noto Serif CJK SC" w:eastAsia="Noto Serif CJK SC"/>
        </w:rPr>
        <w:t>当出现以下情况时，应触发高风险提示：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每十个培训席位对应不到一个剩余付费位置；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培训收入超过所宣称下游机会的总可分配价值；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高度饱和却使用高确定性“学完就有出路”宣传；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只展示少数先发者案例，不公开全部进入者；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课程更新速度低于技能商品化速度；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课程收益主要来自继续招生，而非学员取得付费结果。</w:t>
      </w:r>
    </w:p>
    <w:p>
      <w:r>
        <w:rPr>
          <w:rFonts w:ascii="Noto Serif CJK SC" w:hAnsi="Noto Serif CJK SC" w:eastAsia="Noto Serif CJK SC"/>
        </w:rPr>
        <w:t>这不等于禁止培训，而是要求：</w:t>
      </w:r>
    </w:p>
    <w:p>
      <w:pPr>
        <w:pStyle w:val="Quote"/>
        <w:shd w:fill="FFF2CC"/>
      </w:pPr>
      <w:r>
        <w:rPr>
          <w:rFonts w:ascii="Noto Serif CJK SC" w:hAnsi="Noto Serif CJK SC" w:eastAsia="Noto Serif CJK SC"/>
          <w:b/>
        </w:rPr>
        <w:t>先售卖机会真相，再售卖技能。</w:t>
      </w:r>
    </w:p>
    <w:p>
      <w:pPr>
        <w:spacing w:before="60" w:after="60"/>
        <w:pBdr>
          <w:bottom w:val="single" w:sz="4" w:space="1" w:color="9AA7B4"/>
        </w:pBdr>
      </w:pPr>
    </w:p>
    <w:p>
      <w:pPr>
        <w:pStyle w:val="Heading1"/>
        <w:keepNext w:val="1"/>
      </w:pPr>
      <w:r>
        <w:rPr>
          <w:rFonts w:ascii="Noto Serif CJK SC" w:hAnsi="Noto Serif CJK SC" w:eastAsia="Noto Serif CJK SC"/>
        </w:rPr>
        <w:t>9. 透明贡献经济</w:t>
      </w:r>
    </w:p>
    <w:p>
      <w:r>
        <w:rPr>
          <w:rFonts w:ascii="Noto Serif CJK SC" w:hAnsi="Noto Serif CJK SC" w:eastAsia="Noto Serif CJK SC"/>
        </w:rPr>
        <w:t>在同一成果中，不同参与者可能承担不同 DIKWP 转换：有人采集 D，有人从 D→I，有人完成 I→K，有人承担 K→W 的行业取舍，有人负责 W→P 的签署、现场执行和后果。</w:t>
      </w:r>
    </w:p>
    <w:p>
      <w:r>
        <w:rPr>
          <w:rFonts w:ascii="Noto Serif CJK SC" w:hAnsi="Noto Serif CJK SC" w:eastAsia="Noto Serif CJK SC"/>
        </w:rPr>
        <w:t>系统为每项贡献保留：</w:t>
      </w:r>
    </w:p>
    <w:p>
      <w:pPr>
        <w:pStyle w:val="CodeBlock"/>
        <w:keepLines/>
        <w:shd w:fill="F3F5F7"/>
      </w:pPr>
      <w:r>
        <w:rPr>
          <w:rFonts w:ascii="DejaVu Sans Mono" w:hAnsi="DejaVu Sans Mono" w:eastAsia="DejaVu Sans Mono"/>
          <w:color w:val="192230"/>
          <w:sz w:val="16"/>
        </w:rPr>
        <w:t>actor_id</w:t>
        <w:br/>
        <w:t>DIKWP transition</w:t>
        <w:br/>
        <w:t>evidence quality</w:t>
        <w:br/>
        <w:t>scarcity</w:t>
        <w:br/>
        <w:t>responsibility</w:t>
        <w:br/>
        <w:t>verified outcome share</w:t>
        <w:br/>
        <w:t>risk burden</w:t>
      </w:r>
    </w:p>
    <w:p>
      <w:r>
        <w:rPr>
          <w:rFonts w:ascii="Noto Serif CJK SC" w:hAnsi="Noto Serif CJK SC" w:eastAsia="Noto Serif CJK SC"/>
        </w:rPr>
        <w:t>参考分配权重为：</w:t>
      </w:r>
    </w:p>
    <w:p>
      <w:pPr>
        <w:pStyle w:val="FormulaBlock"/>
        <w:keepLines/>
        <w:shd w:fill="EEF4F8"/>
      </w:pPr>
      <w:r>
        <w:rPr>
          <w:rFonts w:ascii="DejaVu Sans Mono" w:hAnsi="DejaVu Sans Mono" w:eastAsia="DejaVu Sans Mono"/>
          <w:color w:val="17324D"/>
          <w:sz w:val="18"/>
        </w:rPr>
        <w:t>Score_i=0.30O_i+0.24E_i+0.20R_i+0.16S_i+0.10B_i</w:t>
      </w:r>
    </w:p>
    <w:p>
      <w:r>
        <w:rPr>
          <w:rFonts w:ascii="Noto Serif CJK SC" w:hAnsi="Noto Serif CJK SC" w:eastAsia="Noto Serif CJK SC"/>
        </w:rPr>
        <w:t>其中 O 是已验证结果份额，E 是证据质量，R 是责任，S 是稀缺性，B 是风险负担。</w:t>
      </w:r>
    </w:p>
    <w:p>
      <w:r>
        <w:rPr>
          <w:rFonts w:ascii="Noto Serif CJK SC" w:hAnsi="Noto Serif CJK SC" w:eastAsia="Noto Serif CJK SC"/>
        </w:rPr>
        <w:t>平台费率被限制在 12% 以内，公共知识和纠错准备金单独列账；参考内核只生成分配提案，不执行真实付款。</w:t>
      </w:r>
    </w:p>
    <w:p>
      <w:r>
        <w:rPr>
          <w:rFonts w:ascii="Noto Serif CJK SC" w:hAnsi="Noto Serif CJK SC" w:eastAsia="Noto Serif CJK SC"/>
        </w:rPr>
        <w:t>透明贡献不是把全部劳动者实时监控和细粒度计价。它必须保护：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无法被完整量化的照护和关系贡献；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集体议价与最低劳动标准；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不公开的私人约束；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对评分和归因的申诉；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团队共同成果而非极端个体化竞争。</w:t>
      </w:r>
    </w:p>
    <w:p>
      <w:r>
        <w:rPr>
          <w:rFonts w:ascii="Noto Serif CJK SC" w:hAnsi="Noto Serif CJK SC" w:eastAsia="Noto Serif CJK SC"/>
        </w:rPr>
        <w:t>OECD 对 skills-first 体系的最新分析也提醒：技能显性化可以改善匹配，但可能引入新偏见、技能快速过时、削弱劳动保护或把工资进一步个体化。透明经济必须吸收这些反例，而不是成为新的数字阶层制度。</w:t>
      </w:r>
    </w:p>
    <w:p>
      <w:pPr>
        <w:spacing w:before="60" w:after="60"/>
        <w:pBdr>
          <w:bottom w:val="single" w:sz="4" w:space="1" w:color="9AA7B4"/>
        </w:pBdr>
      </w:pPr>
    </w:p>
    <w:p>
      <w:pPr>
        <w:pStyle w:val="Heading1"/>
        <w:keepNext w:val="1"/>
      </w:pPr>
      <w:r>
        <w:rPr>
          <w:rFonts w:ascii="Noto Serif CJK SC" w:hAnsi="Noto Serif CJK SC" w:eastAsia="Noto Serif CJK SC"/>
        </w:rPr>
        <w:t>10. 系统架构</w:t>
      </w:r>
    </w:p>
    <w:p>
      <w:r>
        <w:rPr>
          <w:rFonts w:ascii="Noto Serif CJK SC" w:hAnsi="Noto Serif CJK SC" w:eastAsia="Noto Serif CJK SC"/>
        </w:rPr>
        <w:t>ClearPath 由以下模块构成：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cantSplit w:val="true"/>
          <w:tblHeader w:val="true"/>
        </w:trPr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2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92230"/>
                <w:sz w:val="17"/>
              </w:rPr>
              <w:t>模块</w:t>
            </w:r>
          </w:p>
        </w:tc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2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92230"/>
                <w:sz w:val="17"/>
              </w:rPr>
              <w:t>功能</w:t>
            </w:r>
          </w:p>
        </w:tc>
      </w:tr>
      <w:tr>
        <w:trPr>
          <w:cantSplit w:val="true"/>
        </w:trPr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Person Profile</w:t>
            </w:r>
          </w:p>
        </w:tc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只记录本次目的所需的现实约束</w:t>
            </w:r>
          </w:p>
        </w:tc>
      </w:tr>
      <w:tr>
        <w:trPr>
          <w:cantSplit w:val="true"/>
        </w:trPr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DIKWP Matrix</w:t>
            </w:r>
          </w:p>
        </w:tc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五类存储与二十五条转换证据</w:t>
            </w:r>
          </w:p>
        </w:tc>
      </w:tr>
      <w:tr>
        <w:trPr>
          <w:cantSplit w:val="true"/>
        </w:trPr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Opportunity Truth Sheet</w:t>
            </w:r>
          </w:p>
        </w:tc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真实付费容量、供给、价格、成本、入口和寿命</w:t>
            </w:r>
          </w:p>
        </w:tc>
      </w:tr>
      <w:tr>
        <w:trPr>
          <w:cantSplit w:val="true"/>
        </w:trPr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World Engine</w:t>
            </w:r>
          </w:p>
        </w:tc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五个非同构未来世界</w:t>
            </w:r>
          </w:p>
        </w:tc>
      </w:tr>
      <w:tr>
        <w:trPr>
          <w:cantSplit w:val="true"/>
        </w:trPr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Viability Engine</w:t>
            </w:r>
          </w:p>
        </w:tc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路径级可行度、底线和关闭条件</w:t>
            </w:r>
          </w:p>
        </w:tc>
      </w:tr>
      <w:tr>
        <w:trPr>
          <w:cantSplit w:val="true"/>
        </w:trPr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Portfolio Engine</w:t>
            </w:r>
          </w:p>
        </w:tc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多路径组合和安全机会数量</w:t>
            </w:r>
          </w:p>
        </w:tc>
      </w:tr>
      <w:tr>
        <w:trPr>
          <w:cantSplit w:val="true"/>
        </w:trPr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Training Integrity</w:t>
            </w:r>
          </w:p>
        </w:tc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比较培训销售与真实下游机会</w:t>
            </w:r>
          </w:p>
        </w:tc>
      </w:tr>
      <w:tr>
        <w:trPr>
          <w:cantSplit w:val="true"/>
        </w:trPr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Contribution Engine</w:t>
            </w:r>
          </w:p>
        </w:tc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透明、可申诉的贡献分配提案</w:t>
            </w:r>
          </w:p>
        </w:tc>
      </w:tr>
      <w:tr>
        <w:trPr>
          <w:cantSplit w:val="true"/>
        </w:trPr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Public Capability Card</w:t>
            </w:r>
          </w:p>
        </w:tc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隐私最小化的能力证据输出</w:t>
            </w:r>
          </w:p>
        </w:tc>
      </w:tr>
      <w:tr>
        <w:trPr>
          <w:cantSplit w:val="true"/>
        </w:trPr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Responsibility Ledger</w:t>
            </w:r>
          </w:p>
        </w:tc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追加式哈希责任记录</w:t>
            </w:r>
          </w:p>
        </w:tc>
      </w:tr>
      <w:tr>
        <w:trPr>
          <w:cantSplit w:val="true"/>
        </w:trPr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Local API / MCP / A2A</w:t>
            </w:r>
          </w:p>
        </w:tc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本地和 Agent 互操作入口</w:t>
            </w:r>
          </w:p>
        </w:tc>
      </w:tr>
      <w:tr>
        <w:trPr>
          <w:cantSplit w:val="true"/>
        </w:trPr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Offline HTML</w:t>
            </w:r>
          </w:p>
        </w:tc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无服务器直接使用</w:t>
            </w:r>
          </w:p>
        </w:tc>
      </w:tr>
    </w:tbl>
    <w:p>
      <w:pPr>
        <w:spacing w:after="40"/>
      </w:pPr>
    </w:p>
    <w:p>
      <w:r>
        <w:rPr>
          <w:rFonts w:ascii="Noto Serif CJK SC" w:hAnsi="Noto Serif CJK SC" w:eastAsia="Noto Serif CJK SC"/>
        </w:rPr>
        <w:t>硬边界：</w:t>
      </w:r>
    </w:p>
    <w:p>
      <w:pPr>
        <w:pStyle w:val="CodeBlock"/>
        <w:keepLines/>
        <w:shd w:fill="F3F5F7"/>
      </w:pPr>
      <w:r>
        <w:rPr>
          <w:rFonts w:ascii="DejaVu Sans Mono" w:hAnsi="DejaVu Sans Mono" w:eastAsia="DejaVu Sans Mono"/>
          <w:color w:val="192230"/>
          <w:sz w:val="16"/>
        </w:rPr>
        <w:t>automatic_external_action_authority = 0</w:t>
        <w:br/>
        <w:t>automatic_employment_decision_authority = 0</w:t>
        <w:br/>
        <w:t>automatic_payment_authority = 0</w:t>
        <w:br/>
        <w:t>person_level_worth_score = null</w:t>
      </w:r>
    </w:p>
    <w:p>
      <w:pPr>
        <w:spacing w:before="60" w:after="60"/>
        <w:pBdr>
          <w:bottom w:val="single" w:sz="4" w:space="1" w:color="9AA7B4"/>
        </w:pBdr>
      </w:pPr>
    </w:p>
    <w:p>
      <w:pPr>
        <w:pStyle w:val="Heading1"/>
        <w:keepNext w:val="1"/>
      </w:pPr>
      <w:r>
        <w:rPr>
          <w:rFonts w:ascii="Noto Serif CJK SC" w:hAnsi="Noto Serif CJK SC" w:eastAsia="Noto Serif CJK SC"/>
        </w:rPr>
        <w:t>11. 部署模式</w:t>
      </w:r>
    </w:p>
    <w:p>
      <w:pPr>
        <w:pStyle w:val="Heading2"/>
        <w:keepNext w:val="1"/>
      </w:pPr>
      <w:r>
        <w:rPr>
          <w:rFonts w:ascii="Noto Serif CJK SC" w:hAnsi="Noto Serif CJK SC" w:eastAsia="Noto Serif CJK SC"/>
        </w:rPr>
        <w:t>11.1 个人模式</w:t>
      </w:r>
    </w:p>
    <w:p>
      <w:r>
        <w:rPr>
          <w:rFonts w:ascii="Noto Serif CJK SC" w:hAnsi="Noto Serif CJK SC" w:eastAsia="Noto Serif CJK SC"/>
        </w:rPr>
        <w:t>用于评估一条或多条职业、创业、自由职业、社区服务或本地任务路径。所有私人约束留在本机。</w:t>
      </w:r>
    </w:p>
    <w:p>
      <w:pPr>
        <w:pStyle w:val="Heading2"/>
        <w:keepNext w:val="1"/>
      </w:pPr>
      <w:r>
        <w:rPr>
          <w:rFonts w:ascii="Noto Serif CJK SC" w:hAnsi="Noto Serif CJK SC" w:eastAsia="Noto Serif CJK SC"/>
        </w:rPr>
        <w:t>11.2 教育与培训模式</w:t>
      </w:r>
    </w:p>
    <w:p>
      <w:r>
        <w:rPr>
          <w:rFonts w:ascii="Noto Serif CJK SC" w:hAnsi="Noto Serif CJK SC" w:eastAsia="Noto Serif CJK SC"/>
        </w:rPr>
        <w:t>培训机构公开课程席位、历史付费结果、机会容量、证据期限和退款边界。学员获得自己的 DIKWP 收据，而非永久综合排名。</w:t>
      </w:r>
    </w:p>
    <w:p>
      <w:pPr>
        <w:pStyle w:val="Heading2"/>
        <w:keepNext w:val="1"/>
      </w:pPr>
      <w:r>
        <w:rPr>
          <w:rFonts w:ascii="Noto Serif CJK SC" w:hAnsi="Noto Serif CJK SC" w:eastAsia="Noto Serif CJK SC"/>
        </w:rPr>
        <w:t>11.3 地方就业与经济发展模式</w:t>
      </w:r>
    </w:p>
    <w:p>
      <w:r>
        <w:rPr>
          <w:rFonts w:ascii="Noto Serif CJK SC" w:hAnsi="Noto Serif CJK SC" w:eastAsia="Noto Serif CJK SC"/>
        </w:rPr>
        <w:t>园区、协会、学校、工会和公共服务机构共同维护：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真实有预算的问题清单；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可拆解任务；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所需 DIKWP 转换；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进入和支持条件；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实际付款与结果；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关闭、过期和重新开放记录。</w:t>
      </w:r>
    </w:p>
    <w:p>
      <w:pPr>
        <w:pStyle w:val="Heading2"/>
        <w:keepNext w:val="1"/>
      </w:pPr>
      <w:r>
        <w:rPr>
          <w:rFonts w:ascii="Noto Serif CJK SC" w:hAnsi="Noto Serif CJK SC" w:eastAsia="Noto Serif CJK SC"/>
        </w:rPr>
        <w:t>11.4 企业模式</w:t>
      </w:r>
    </w:p>
    <w:p>
      <w:r>
        <w:rPr>
          <w:rFonts w:ascii="Noto Serif CJK SC" w:hAnsi="Noto Serif CJK SC" w:eastAsia="Noto Serif CJK SC"/>
        </w:rPr>
        <w:t>企业公开内部任务需求，而不先发布抽象岗位名称。员工或外部贡献者通过具体成果和责任收据参与内部流动。</w:t>
      </w:r>
    </w:p>
    <w:p>
      <w:pPr>
        <w:pStyle w:val="Heading2"/>
        <w:keepNext w:val="1"/>
      </w:pPr>
      <w:r>
        <w:rPr>
          <w:rFonts w:ascii="Noto Serif CJK SC" w:hAnsi="Noto Serif CJK SC" w:eastAsia="Noto Serif CJK SC"/>
        </w:rPr>
        <w:t>11.5 国家或全球模式</w:t>
      </w:r>
    </w:p>
    <w:p>
      <w:r>
        <w:rPr>
          <w:rFonts w:ascii="Noto Serif CJK SC" w:hAnsi="Noto Serif CJK SC" w:eastAsia="Noto Serif CJK SC"/>
        </w:rPr>
        <w:t>只能发布聚合机会容量和更新方法，不能建立个人永久能力人口档案。跨机构共享必须采用最小字段、有效期、撤销和纠错传播。</w:t>
      </w:r>
    </w:p>
    <w:p>
      <w:pPr>
        <w:spacing w:before="60" w:after="60"/>
        <w:pBdr>
          <w:bottom w:val="single" w:sz="4" w:space="1" w:color="9AA7B4"/>
        </w:pBdr>
      </w:pPr>
    </w:p>
    <w:p>
      <w:pPr>
        <w:pStyle w:val="Heading1"/>
        <w:keepNext w:val="1"/>
      </w:pPr>
      <w:r>
        <w:rPr>
          <w:rFonts w:ascii="Noto Serif CJK SC" w:hAnsi="Noto Serif CJK SC" w:eastAsia="Noto Serif CJK SC"/>
        </w:rPr>
        <w:t>12. 商业化路径</w:t>
      </w:r>
    </w:p>
    <w:p>
      <w:r>
        <w:rPr>
          <w:rFonts w:ascii="Noto Serif CJK SC" w:hAnsi="Noto Serif CJK SC" w:eastAsia="Noto Serif CJK SC"/>
        </w:rPr>
        <w:t>开源核心完整保留：个人分析、DIKWP 矩阵、多世界、机会组合、培训诚信、公共能力卡、贡献提案、责任账本和数据导出。</w:t>
      </w:r>
    </w:p>
    <w:p>
      <w:r>
        <w:rPr>
          <w:rFonts w:ascii="Noto Serif CJK SC" w:hAnsi="Noto Serif CJK SC" w:eastAsia="Noto Serif CJK SC"/>
        </w:rPr>
        <w:t>可以收费的部分是可信运营：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真实机会数据采集和独立核验；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企业、学校、园区和公共机构连接器；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机会注册和过期维护；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数字签名、撤销和机构信任目录；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行业特定 DIKWP 任务库；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多语言和低联网部署；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独立申诉和纠错运营；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效果评价、审计和标准化服务。</w:t>
      </w:r>
    </w:p>
    <w:p>
      <w:r>
        <w:rPr>
          <w:rFonts w:ascii="Noto Serif CJK SC" w:hAnsi="Noto Serif CJK SC" w:eastAsia="Noto Serif CJK SC"/>
        </w:rPr>
        <w:t>首个商业试点不应卖“精准预测职业”，而应卖：</w:t>
      </w:r>
    </w:p>
    <w:p>
      <w:pPr>
        <w:pStyle w:val="Quote"/>
        <w:shd w:fill="FFF2CC"/>
      </w:pPr>
      <w:r>
        <w:rPr>
          <w:rFonts w:ascii="Noto Serif CJK SC" w:hAnsi="Noto Serif CJK SC" w:eastAsia="Noto Serif CJK SC"/>
        </w:rPr>
        <w:t>一个地区或组织对 50-200 条培训/转型路径进行机会分母核验，关闭虚假路径，找到 3-10 条可进行小额付费验证的真实任务，并建立季度更新机制。</w:t>
      </w:r>
    </w:p>
    <w:p>
      <w:r>
        <w:rPr>
          <w:rFonts w:ascii="Noto Serif CJK SC" w:hAnsi="Noto Serif CJK SC" w:eastAsia="Noto Serif CJK SC"/>
        </w:rPr>
        <w:t>商业证伪门：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90 天内至少三个真实机构愿意为机会核验付费；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至少一个机构因结果停止或修改一项培训采购；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至少一个普通参与者因系统避免了无效支出；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至少一个参与者取得了具名付费试验；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申诉和更正能够实际改变记录。</w:t>
      </w:r>
    </w:p>
    <w:p>
      <w:pPr>
        <w:spacing w:before="60" w:after="60"/>
        <w:pBdr>
          <w:bottom w:val="single" w:sz="4" w:space="1" w:color="9AA7B4"/>
        </w:pBdr>
      </w:pPr>
    </w:p>
    <w:p>
      <w:pPr>
        <w:pStyle w:val="Heading1"/>
        <w:keepNext w:val="1"/>
      </w:pPr>
      <w:r>
        <w:rPr>
          <w:rFonts w:ascii="Noto Serif CJK SC" w:hAnsi="Noto Serif CJK SC" w:eastAsia="Noto Serif CJK SC"/>
        </w:rPr>
        <w:t>13. TOEP-1000 标准化目标</w:t>
      </w:r>
    </w:p>
    <w:p>
      <w:r>
        <w:rPr>
          <w:rFonts w:ascii="Noto Serif CJK SC" w:hAnsi="Noto Serif CJK SC" w:eastAsia="Noto Serif CJK SC"/>
        </w:rPr>
        <w:t>TOEP-1000 的目标是规定一种共同机器语言，使机会发布者、培训者、个人、企业和公共机构能够共同表达：</w:t>
      </w:r>
    </w:p>
    <w:p>
      <w:pPr>
        <w:pStyle w:val="CodeBlock"/>
        <w:keepLines/>
        <w:shd w:fill="F3F5F7"/>
      </w:pPr>
      <w:r>
        <w:rPr>
          <w:rFonts w:ascii="DejaVu Sans Mono" w:hAnsi="DejaVu Sans Mono" w:eastAsia="DejaVu Sans Mono"/>
          <w:color w:val="192230"/>
          <w:sz w:val="16"/>
        </w:rPr>
        <w:t>付费需求</w:t>
        <w:br/>
        <w:t>供给分母</w:t>
        <w:br/>
        <w:t>能力转换</w:t>
        <w:br/>
        <w:t>证据阶段</w:t>
        <w:br/>
        <w:t>进入成本</w:t>
        <w:br/>
        <w:t>先发占位</w:t>
        <w:br/>
        <w:t>多世界风险</w:t>
        <w:br/>
        <w:t>试验条件</w:t>
        <w:br/>
        <w:t>现实结果</w:t>
        <w:br/>
        <w:t>关闭与重开</w:t>
        <w:br/>
        <w:t>贡献分配</w:t>
        <w:br/>
        <w:t>申诉与纠错</w:t>
      </w:r>
    </w:p>
    <w:p>
      <w:r>
        <w:rPr>
          <w:rFonts w:ascii="Noto Serif CJK SC" w:hAnsi="Noto Serif CJK SC" w:eastAsia="Noto Serif CJK SC"/>
        </w:rPr>
        <w:t>累积等级：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cantSplit w:val="true"/>
          <w:tblHeader w:val="true"/>
        </w:trPr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2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92230"/>
                <w:sz w:val="17"/>
              </w:rPr>
              <w:t>等级</w:t>
            </w:r>
          </w:p>
        </w:tc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2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92230"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L0</w:t>
            </w:r>
          </w:p>
        </w:tc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路径身份、买方、目的和更新时间</w:t>
            </w:r>
          </w:p>
        </w:tc>
      </w:tr>
      <w:tr>
        <w:trPr>
          <w:cantSplit w:val="true"/>
        </w:trPr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L1</w:t>
            </w:r>
          </w:p>
        </w:tc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机会容量、供给分母、价格、成本和证据</w:t>
            </w:r>
          </w:p>
        </w:tc>
      </w:tr>
      <w:tr>
        <w:trPr>
          <w:cantSplit w:val="true"/>
        </w:trPr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L2</w:t>
            </w:r>
          </w:p>
        </w:tc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DIKWP 需求、个人证据和隐私最小化</w:t>
            </w:r>
          </w:p>
        </w:tc>
      </w:tr>
      <w:tr>
        <w:trPr>
          <w:cantSplit w:val="true"/>
        </w:trPr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L3</w:t>
            </w:r>
          </w:p>
        </w:tc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多世界判断、关闭和重新打开条件</w:t>
            </w:r>
          </w:p>
        </w:tc>
      </w:tr>
      <w:tr>
        <w:trPr>
          <w:cantSplit w:val="true"/>
        </w:trPr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L4</w:t>
            </w:r>
          </w:p>
        </w:tc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培训诚信、贡献分配和现实收据</w:t>
            </w:r>
          </w:p>
        </w:tc>
      </w:tr>
      <w:tr>
        <w:trPr>
          <w:cantSplit w:val="true"/>
        </w:trPr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L5</w:t>
            </w:r>
          </w:p>
        </w:tc>
        <w:tc>
          <w:tcPr>
            <w:tcW w:type="dxa" w:w="47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92230"/>
                <w:sz w:val="17"/>
              </w:rPr>
              <w:t>签名、撤销、跨机构纠错和独立审计</w:t>
            </w:r>
          </w:p>
        </w:tc>
      </w:tr>
    </w:tbl>
    <w:p>
      <w:pPr>
        <w:spacing w:after="40"/>
      </w:pPr>
    </w:p>
    <w:p>
      <w:pPr>
        <w:spacing w:before="60" w:after="60"/>
        <w:pBdr>
          <w:bottom w:val="single" w:sz="4" w:space="1" w:color="9AA7B4"/>
        </w:pBdr>
      </w:pPr>
    </w:p>
    <w:p>
      <w:pPr>
        <w:pStyle w:val="Heading1"/>
        <w:keepNext w:val="1"/>
      </w:pPr>
      <w:r>
        <w:rPr>
          <w:rFonts w:ascii="Noto Serif CJK SC" w:hAnsi="Noto Serif CJK SC" w:eastAsia="Noto Serif CJK SC"/>
        </w:rPr>
        <w:t>14. 现实边界</w:t>
      </w:r>
    </w:p>
    <w:p>
      <w:r>
        <w:rPr>
          <w:rFonts w:ascii="Noto Serif CJK SC" w:hAnsi="Noto Serif CJK SC" w:eastAsia="Noto Serif CJK SC"/>
        </w:rPr>
        <w:t>当前系统是：</w:t>
      </w:r>
    </w:p>
    <w:p>
      <w:pPr>
        <w:pStyle w:val="CodeBlock"/>
        <w:keepLines/>
        <w:shd w:fill="F3F5F7"/>
      </w:pPr>
      <w:r>
        <w:rPr>
          <w:rFonts w:ascii="DejaVu Sans Mono" w:hAnsi="DejaVu Sans Mono" w:eastAsia="DejaVu Sans Mono"/>
          <w:color w:val="192230"/>
          <w:sz w:val="16"/>
        </w:rPr>
        <w:t>RESEARCH_ALPHA_REFERENCE_IMPLEMENTATION</w:t>
      </w:r>
    </w:p>
    <w:p>
      <w:r>
        <w:rPr>
          <w:rFonts w:ascii="Noto Serif CJK SC" w:hAnsi="Noto Serif CJK SC" w:eastAsia="Noto Serif CJK SC"/>
        </w:rPr>
        <w:t>它不能证明：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输入的市场容量一定真实；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模型已经找到全部机会；</w:t>
      </w:r>
    </w:p>
    <w:p>
      <w:pPr>
        <w:pStyle w:val="ListBullet"/>
        <w:spacing w:after="30"/>
      </w:pPr>
      <w:r>
        <w:rPr>
          <w:rFonts w:ascii="DejaVu Sans Mono" w:hAnsi="DejaVu Sans Mono" w:eastAsia="DejaVu Sans Mono"/>
          <w:sz w:val="18"/>
        </w:rPr>
        <w:t>GO_​NOW</w:t>
      </w:r>
      <w:r>
        <w:rPr>
          <w:rFonts w:ascii="Noto Serif CJK SC" w:hAnsi="Noto Serif CJK SC" w:eastAsia="Noto Serif CJK SC"/>
        </w:rPr>
        <w:t xml:space="preserve"> 一定赚钱；</w:t>
      </w:r>
    </w:p>
    <w:p>
      <w:pPr>
        <w:pStyle w:val="ListBullet"/>
        <w:spacing w:after="30"/>
      </w:pPr>
      <w:r>
        <w:rPr>
          <w:rFonts w:ascii="DejaVu Sans Mono" w:hAnsi="DejaVu Sans Mono" w:eastAsia="DejaVu Sans Mono"/>
          <w:sz w:val="18"/>
        </w:rPr>
        <w:t>NO_​CURRENT_​VIABLE_​PATH</w:t>
      </w:r>
      <w:r>
        <w:rPr>
          <w:rFonts w:ascii="Noto Serif CJK SC" w:hAnsi="Noto Serif CJK SC" w:eastAsia="Noto Serif CJK SC"/>
        </w:rPr>
        <w:t xml:space="preserve"> 永远关闭；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人的全部能力可以被 DIKWP 完整映射；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未被记录的关系、运气、健康、制度和宏观变化不重要；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任何具体职业将消失或增长；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任何培训构成欺诈；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参考分配具有法律效力。</w:t>
      </w:r>
    </w:p>
    <w:p>
      <w:r>
        <w:rPr>
          <w:rFonts w:ascii="Noto Serif CJK SC" w:hAnsi="Noto Serif CJK SC" w:eastAsia="Noto Serif CJK SC"/>
        </w:rPr>
        <w:t>最危险的误用是把系统变成：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永久人群等级；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秘密招聘评分；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社会信用；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自动工资决定；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取消集体劳动标准的个体计价；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用“市场已饱和”阻止弱势群体进入；</w:t>
      </w:r>
    </w:p>
    <w:p>
      <w:pPr>
        <w:pStyle w:val="ListBullet"/>
        <w:spacing w:after="30"/>
      </w:pPr>
      <w:r>
        <w:rPr>
          <w:rFonts w:ascii="Noto Serif CJK SC" w:hAnsi="Noto Serif CJK SC" w:eastAsia="Noto Serif CJK SC"/>
        </w:rPr>
        <w:t>用不完整数据宣称某个人“没有出路”。</w:t>
      </w:r>
    </w:p>
    <w:p>
      <w:r>
        <w:rPr>
          <w:rFonts w:ascii="Noto Serif CJK SC" w:hAnsi="Noto Serif CJK SC" w:eastAsia="Noto Serif CJK SC"/>
        </w:rPr>
        <w:t>因此，所有高影响应用必须有：数据来源、时间戳、适用范围、人工责任人、申诉、纠错、有效期和模型退役。</w:t>
      </w:r>
    </w:p>
    <w:p>
      <w:pPr>
        <w:spacing w:before="60" w:after="60"/>
        <w:pBdr>
          <w:bottom w:val="single" w:sz="4" w:space="1" w:color="9AA7B4"/>
        </w:pBdr>
      </w:pPr>
    </w:p>
    <w:p>
      <w:pPr>
        <w:pStyle w:val="Heading1"/>
        <w:keepNext w:val="1"/>
      </w:pPr>
      <w:r>
        <w:rPr>
          <w:rFonts w:ascii="Noto Serif CJK SC" w:hAnsi="Noto Serif CJK SC" w:eastAsia="Noto Serif CJK SC"/>
        </w:rPr>
        <w:t>15. 最终结论</w:t>
      </w:r>
    </w:p>
    <w:p>
      <w:r>
        <w:rPr>
          <w:rFonts w:ascii="Noto Serif CJK SC" w:hAnsi="Noto Serif CJK SC" w:eastAsia="Noto Serif CJK SC"/>
        </w:rPr>
        <w:t>两段材料合起来揭示的不是“所有人都应放弃编程”，也不是“所有人学会 Agent 就能成功”。真正的变化是：</w:t>
      </w:r>
    </w:p>
    <w:p>
      <w:pPr>
        <w:pStyle w:val="FormulaBlock"/>
        <w:keepLines/>
        <w:shd w:fill="EEF4F8"/>
      </w:pPr>
      <w:r>
        <w:rPr>
          <w:rFonts w:ascii="DejaVu Sans Mono" w:hAnsi="DejaVu Sans Mono" w:eastAsia="DejaVu Sans Mono"/>
          <w:color w:val="17324D"/>
          <w:sz w:val="18"/>
        </w:rPr>
        <w:t>通用执行能力快速普及 → 机会容量、语境、信任、责任和分发成为新稀缺</w:t>
      </w:r>
    </w:p>
    <w:p>
      <w:r>
        <w:rPr>
          <w:rFonts w:ascii="Noto Serif CJK SC" w:hAnsi="Noto Serif CJK SC" w:eastAsia="Noto Serif CJK SC"/>
        </w:rPr>
        <w:t>在旧经济中，培训和职业叙事常常只公开分子：成功案例、工资、工具能力和先发者回报。透明机会经济要求把分母也公开：总进入者、剩余名额、合格供给、付费预算、失败者、机会寿命和自动化速度。</w:t>
      </w:r>
    </w:p>
    <w:p>
      <w:r>
        <w:rPr>
          <w:rFonts w:ascii="Noto Serif CJK SC" w:hAnsi="Noto Serif CJK SC" w:eastAsia="Noto Serif CJK SC"/>
        </w:rPr>
        <w:t>对普通人最负责任的系统不应永远鼓励，也不应永远悲观。它应该能够在证据支持时说：</w:t>
      </w:r>
    </w:p>
    <w:p>
      <w:pPr>
        <w:pStyle w:val="Quote"/>
        <w:shd w:fill="FFF2CC"/>
      </w:pPr>
      <w:r>
        <w:rPr>
          <w:rFonts w:ascii="Noto Serif CJK SC" w:hAnsi="Noto Serif CJK SC" w:eastAsia="Noto Serif CJK SC"/>
        </w:rPr>
        <w:t>这里仍有一条可以小步进入的真实路径。</w:t>
      </w:r>
    </w:p>
    <w:p>
      <w:r>
        <w:rPr>
          <w:rFonts w:ascii="Noto Serif CJK SC" w:hAnsi="Noto Serif CJK SC" w:eastAsia="Noto Serif CJK SC"/>
        </w:rPr>
        <w:t>也应该在证据不支持时说：</w:t>
      </w:r>
    </w:p>
    <w:p>
      <w:pPr>
        <w:pStyle w:val="Quote"/>
        <w:shd w:fill="FFF2CC"/>
      </w:pPr>
      <w:r>
        <w:rPr>
          <w:rFonts w:ascii="Noto Serif CJK SC" w:hAnsi="Noto Serif CJK SC" w:eastAsia="Noto Serif CJK SC"/>
        </w:rPr>
        <w:t>这条路径当前已经不值得继续投入；保住时间和资金，转向别的已融资问题。</w:t>
      </w:r>
    </w:p>
    <w:p>
      <w:r>
        <w:rPr>
          <w:rFonts w:ascii="Noto Serif CJK SC" w:hAnsi="Noto Serif CJK SC" w:eastAsia="Noto Serif CJK SC"/>
        </w:rPr>
        <w:t>最终，DIKWP 的贡献不只是把人变成可计算能力，而是建立一个更完整的透明交换结构：</w:t>
      </w:r>
    </w:p>
    <w:p>
      <w:pPr>
        <w:pStyle w:val="FormulaBlock"/>
        <w:keepLines/>
        <w:shd w:fill="EEF4F8"/>
      </w:pPr>
      <w:r>
        <w:rPr>
          <w:rFonts w:ascii="DejaVu Sans Mono" w:hAnsi="DejaVu Sans Mono" w:eastAsia="DejaVu Sans Mono"/>
          <w:color w:val="17324D"/>
          <w:sz w:val="18"/>
        </w:rPr>
        <w:t>谁需要什么 +社会愿意为多少结果付费 +谁能完成哪些转换 +谁承担后果 +现实结果如何返还和纠错</w:t>
      </w:r>
    </w:p>
    <w:p>
      <w:r>
        <w:rPr>
          <w:rFonts w:ascii="Noto Serif CJK SC" w:hAnsi="Noto Serif CJK SC" w:eastAsia="Noto Serif CJK SC"/>
        </w:rPr>
        <w:t>透明经济真正要消除的，不是人的差异，而是</w:t>
      </w:r>
      <w:r>
        <w:rPr>
          <w:rFonts w:ascii="Noto Serif CJK SC" w:hAnsi="Noto Serif CJK SC" w:eastAsia="Noto Serif CJK SC"/>
          <w:b/>
        </w:rPr>
        <w:t>只售卖能力、不公开机会；只展示成功、不公开分母；只要求个人努力、不公开客户、资本、分发和制度占位</w:t>
      </w:r>
      <w:r>
        <w:rPr>
          <w:rFonts w:ascii="Noto Serif CJK SC" w:hAnsi="Noto Serif CJK SC" w:eastAsia="Noto Serif CJK SC"/>
        </w:rPr>
        <w:t>的结构性不透明。</w:t>
      </w:r>
    </w:p>
    <w:p>
      <w:pPr>
        <w:spacing w:before="60" w:after="60"/>
        <w:pBdr>
          <w:bottom w:val="single" w:sz="4" w:space="1" w:color="9AA7B4"/>
        </w:pBdr>
      </w:pPr>
    </w:p>
    <w:p>
      <w:pPr>
        <w:pStyle w:val="Heading1"/>
        <w:keepNext w:val="1"/>
      </w:pPr>
      <w:r>
        <w:rPr>
          <w:rFonts w:ascii="Noto Serif CJK SC" w:hAnsi="Noto Serif CJK SC" w:eastAsia="Noto Serif CJK SC"/>
        </w:rPr>
        <w:t>参考资料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>1. 《GPT-6，“强拆”App的墙》，用户提供材料，2026。本文仅把其中结构判断作为来源内容；模型名称、基准和案例仍需独立验证。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>2. 范凯：《别学 AI 编程了，AI 编程是一条死路》，2026-05-25。同题视频的可访问文字版本；其中部分数字和公司事件属于作者主张，未全部独立验证。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 xml:space="preserve">3. GitHub, </w:t>
      </w:r>
      <w:r>
        <w:rPr>
          <w:rFonts w:ascii="Noto Serif CJK SC" w:hAnsi="Noto Serif CJK SC" w:eastAsia="Noto Serif CJK SC"/>
          <w:i/>
        </w:rPr>
        <w:t>Octoverse 2025</w:t>
      </w:r>
      <w:r>
        <w:rPr>
          <w:rFonts w:ascii="Noto Serif CJK SC" w:hAnsi="Noto Serif CJK SC" w:eastAsia="Noto Serif CJK SC"/>
        </w:rPr>
        <w:t>, updated 2026-02-28.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 xml:space="preserve">4. U.S. Bureau of Labor Statistics, </w:t>
      </w:r>
      <w:r>
        <w:rPr>
          <w:rFonts w:ascii="Noto Serif CJK SC" w:hAnsi="Noto Serif CJK SC" w:eastAsia="Noto Serif CJK SC"/>
          <w:i/>
        </w:rPr>
        <w:t>Software Developers, Quality Assurance Analysts, and Testers</w:t>
      </w:r>
      <w:r>
        <w:rPr>
          <w:rFonts w:ascii="Noto Serif CJK SC" w:hAnsi="Noto Serif CJK SC" w:eastAsia="Noto Serif CJK SC"/>
        </w:rPr>
        <w:t>, 2025-2035 outlook.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 xml:space="preserve">5. World Economic Forum, </w:t>
      </w:r>
      <w:r>
        <w:rPr>
          <w:rFonts w:ascii="Noto Serif CJK SC" w:hAnsi="Noto Serif CJK SC" w:eastAsia="Noto Serif CJK SC"/>
          <w:i/>
        </w:rPr>
        <w:t>Future of Jobs Report 2025</w:t>
      </w:r>
      <w:r>
        <w:rPr>
          <w:rFonts w:ascii="Noto Serif CJK SC" w:hAnsi="Noto Serif CJK SC" w:eastAsia="Noto Serif CJK SC"/>
        </w:rPr>
        <w:t>.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 xml:space="preserve">6. International Labour Organization, </w:t>
      </w:r>
      <w:r>
        <w:rPr>
          <w:rFonts w:ascii="Noto Serif CJK SC" w:hAnsi="Noto Serif CJK SC" w:eastAsia="Noto Serif CJK SC"/>
          <w:i/>
        </w:rPr>
        <w:t>Generative AI and Jobs: A Refined Global Index of Occupational Exposure</w:t>
      </w:r>
      <w:r>
        <w:rPr>
          <w:rFonts w:ascii="Noto Serif CJK SC" w:hAnsi="Noto Serif CJK SC" w:eastAsia="Noto Serif CJK SC"/>
        </w:rPr>
        <w:t>, 2025.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 xml:space="preserve">7. OECD, </w:t>
      </w:r>
      <w:r>
        <w:rPr>
          <w:rFonts w:ascii="Noto Serif CJK SC" w:hAnsi="Noto Serif CJK SC" w:eastAsia="Noto Serif CJK SC"/>
          <w:i/>
        </w:rPr>
        <w:t>A Skills-First Labour Market</w:t>
      </w:r>
      <w:r>
        <w:rPr>
          <w:rFonts w:ascii="Noto Serif CJK SC" w:hAnsi="Noto Serif CJK SC" w:eastAsia="Noto Serif CJK SC"/>
        </w:rPr>
        <w:t>, 2026.</w:t>
      </w:r>
    </w:p>
    <w:p>
      <w:pPr>
        <w:spacing w:after="30"/>
        <w:ind w:left="312" w:hanging="238"/>
      </w:pPr>
      <w:r>
        <w:rPr>
          <w:rFonts w:ascii="Noto Serif CJK SC" w:hAnsi="Noto Serif CJK SC" w:eastAsia="Noto Serif CJK SC"/>
        </w:rPr>
        <w:t xml:space="preserve">8. OECD, </w:t>
      </w:r>
      <w:r>
        <w:rPr>
          <w:rFonts w:ascii="Noto Serif CJK SC" w:hAnsi="Noto Serif CJK SC" w:eastAsia="Noto Serif CJK SC"/>
          <w:i/>
        </w:rPr>
        <w:t>Skills in the AI Age</w:t>
      </w:r>
      <w:r>
        <w:rPr>
          <w:rFonts w:ascii="Noto Serif CJK SC" w:hAnsi="Noto Serif CJK SC" w:eastAsia="Noto Serif CJK SC"/>
        </w:rPr>
        <w:t>, 2026.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62" w:bottom="1020" w:left="1162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E6C7C"/>
        <w:sz w:val="16"/>
      </w:rPr>
      <w:t xml:space="preserve">ClearPath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E6C7C"/>
        <w:sz w:val="16"/>
      </w:rPr>
      <w:t>DIKWP ClearPath Transparent Opportunity Economy OS |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erif CJK SC" w:hAnsi="Noto Serif CJK SC" w:eastAsia="Noto Serif CJK SC"/>
      <w:b w:val="0"/>
      <w:color w:val="1922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758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52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3C52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00"/>
      <w:ind w:left="397" w:right="397"/>
    </w:pPr>
    <w:rPr>
      <w:rFonts w:ascii="Noto Serif CJK SC" w:hAnsi="Noto Serif CJK SC" w:eastAsia="Noto Serif CJK SC"/>
      <w:b w:val="0"/>
      <w:i/>
      <w:iCs/>
      <w:color w:val="3C5269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Noto Sans CJK SC" w:hAnsi="Noto Sans CJK SC" w:eastAsia="Noto Sans CJK SC"/>
      <w:b w:val="0"/>
      <w:bCs/>
      <w:color w:val="5E6C7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Block">
    <w:name w:val="Formula Block"/>
    <w:pPr>
      <w:spacing w:before="100" w:after="120"/>
      <w:ind w:left="397" w:right="397"/>
      <w:jc w:val="center"/>
    </w:pPr>
    <w:rPr>
      <w:rFonts w:ascii="DejaVu Sans Mono" w:hAnsi="DejaVu Sans Mono" w:eastAsia="Noto Sans CJK SC"/>
      <w:color w:val="17324D"/>
      <w:sz w:val="18"/>
    </w:rPr>
  </w:style>
  <w:style w:type="paragraph" w:customStyle="1" w:styleId="CodeBlock">
    <w:name w:val="Code Block"/>
    <w:pPr>
      <w:spacing w:before="80" w:after="100" w:line="240" w:lineRule="auto"/>
      <w:ind w:left="312" w:right="312"/>
    </w:pPr>
    <w:rPr>
      <w:rFonts w:ascii="DejaVu Sans Mono" w:hAnsi="DejaVu Sans Mono" w:eastAsia="Noto Sans CJK SC"/>
      <w:color w:val="19223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透明机会经济</dc:title>
  <dc:subject>模型原生软件时代普通人的出路、饱和与 DIKWP 贡献</dc:subject>
  <dc:creator>DIKWP Research Programme</dc:creator>
  <cp:keywords>DIKWP, transparent opportunity economy, AI, capability, labour market, TOEP</cp:keywords>
  <dc:description>Open-source research reference implementation.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