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left"/>
        <w:pBdr>
          <w:bottom w:val="single" w:sz="10" w:space="1" w:color="2E75B6"/>
        </w:pBdr>
      </w:pPr>
      <w:r>
        <w:rPr>
          <w:rFonts w:ascii="Noto Sans CJK SC" w:hAnsi="Noto Sans CJK SC" w:eastAsia="Noto Sans CJK SC"/>
          <w:b/>
          <w:color w:val="17324D"/>
          <w:sz w:val="56"/>
        </w:rPr>
        <w:t>The Transparent Opportunity Economy</w:t>
      </w:r>
    </w:p>
    <w:p>
      <w:pPr>
        <w:spacing w:after="360"/>
      </w:pPr>
      <w:r>
        <w:rPr>
          <w:rFonts w:ascii="Noto Sans CJK SC" w:hAnsi="Noto Sans CJK SC" w:eastAsia="Noto Sans CJK SC"/>
          <w:i/>
          <w:color w:val="3C5269"/>
          <w:sz w:val="28"/>
        </w:rPr>
        <w:t>Routes, Saturation, and DIKWP Contribution after Model-Native Software</w:t>
      </w:r>
    </w:p>
    <w:p>
      <w:r>
        <w:rPr>
          <w:rFonts w:ascii="Noto Sans CJK SC" w:hAnsi="Noto Sans CJK SC" w:eastAsia="Noto Sans CJK SC"/>
          <w:color w:val="192230"/>
          <w:sz w:val="22"/>
        </w:rPr>
        <w:t>DIKWP Research Programme</w:t>
      </w:r>
    </w:p>
    <w:p>
      <w:r>
        <w:rPr>
          <w:rFonts w:ascii="Noto Serif CJK SC" w:hAnsi="Noto Serif CJK SC" w:eastAsia="Noto Serif CJK SC"/>
          <w:color w:val="192230"/>
          <w:sz w:val="22"/>
        </w:rPr>
        <w:t>2026-09-07</w:t>
      </w:r>
    </w:p>
    <w:p>
      <w:pPr>
        <w:spacing w:before="2400"/>
      </w:pPr>
      <w:r>
        <w:rPr>
          <w:rFonts w:ascii="Noto Sans CJK SC" w:hAnsi="Noto Sans CJK SC" w:eastAsia="Noto Sans CJK SC"/>
          <w:b/>
          <w:color w:val="275870"/>
          <w:sz w:val="22"/>
        </w:rPr>
        <w:t>TOEP-1000:2026-DRAFT</w:t>
        <w:br/>
      </w:r>
      <w:r>
        <w:rPr>
          <w:rFonts w:ascii="Noto Sans CJK SC" w:hAnsi="Noto Sans CJK SC" w:eastAsia="Noto Sans CJK SC"/>
          <w:color w:val="5E6C7C"/>
          <w:sz w:val="20"/>
        </w:rPr>
        <w:t>Open-source research reference implementation</w:t>
      </w:r>
      <w:r>
        <w:br w:type="page"/>
      </w:r>
    </w:p>
    <w:p>
      <w:pPr>
        <w:pBdr>
          <w:bottom w:val="single" w:sz="8" w:space="1" w:color="2E75B6"/>
        </w:pBdr>
      </w:pPr>
      <w:r>
        <w:rPr>
          <w:rFonts w:ascii="Noto Sans CJK SC" w:hAnsi="Noto Sans CJK SC" w:eastAsia="Noto Sans CJK SC"/>
          <w:b/>
          <w:color w:val="17324D"/>
          <w:sz w:val="42"/>
        </w:rPr>
        <w:t>Contents</w:t>
      </w:r>
    </w:p>
    <w:p>
      <w:pPr>
        <w:spacing w:after="40"/>
        <w:ind w:left="0"/>
      </w:pPr>
      <w:r>
        <w:rPr>
          <w:rFonts w:ascii="Noto Sans CJK SC" w:hAnsi="Noto Sans CJK SC" w:eastAsia="Noto Sans CJK SC"/>
          <w:b/>
          <w:color w:val="17324D"/>
          <w:sz w:val="21"/>
        </w:rPr>
        <w:t>Routes, Saturation, and DIKWP Contribution after Model-Native Software</w:t>
      </w:r>
    </w:p>
    <w:p>
      <w:pPr>
        <w:spacing w:after="40"/>
        <w:ind w:left="0"/>
      </w:pPr>
      <w:r>
        <w:rPr>
          <w:rFonts w:ascii="Noto Sans CJK SC" w:hAnsi="Noto Sans CJK SC" w:eastAsia="Noto Sans CJK SC"/>
          <w:b/>
          <w:color w:val="17324D"/>
          <w:sz w:val="21"/>
        </w:rPr>
        <w:t>Executive summary</w:t>
      </w:r>
    </w:p>
    <w:p>
      <w:pPr>
        <w:spacing w:after="40"/>
        <w:ind w:left="0"/>
      </w:pPr>
      <w:r>
        <w:rPr>
          <w:rFonts w:ascii="Noto Sans CJK SC" w:hAnsi="Noto Sans CJK SC" w:eastAsia="Noto Sans CJK SC"/>
          <w:b/>
          <w:color w:val="17324D"/>
          <w:sz w:val="21"/>
        </w:rPr>
        <w:t>1. Discriminating the two source arguments</w:t>
      </w:r>
    </w:p>
    <w:p>
      <w:pPr>
        <w:spacing w:after="40"/>
        <w:ind w:left="0"/>
      </w:pPr>
      <w:r>
        <w:rPr>
          <w:rFonts w:ascii="Noto Sans CJK SC" w:hAnsi="Noto Sans CJK SC" w:eastAsia="Noto Sans CJK SC"/>
          <w:b/>
          <w:color w:val="17324D"/>
          <w:sz w:val="21"/>
        </w:rPr>
        <w:t>2. From information gaps to opportunity-denominator gaps</w:t>
      </w:r>
    </w:p>
    <w:p>
      <w:pPr>
        <w:spacing w:after="40"/>
        <w:ind w:left="0"/>
      </w:pPr>
      <w:r>
        <w:rPr>
          <w:rFonts w:ascii="Noto Sans CJK SC" w:hAnsi="Noto Sans CJK SC" w:eastAsia="Noto Sans CJK SC"/>
          <w:b/>
          <w:color w:val="17324D"/>
          <w:sz w:val="21"/>
        </w:rPr>
        <w:t>3. DIKWP as an economic capability language</w:t>
      </w:r>
    </w:p>
    <w:p>
      <w:pPr>
        <w:spacing w:after="40"/>
        <w:ind w:left="0"/>
      </w:pPr>
      <w:r>
        <w:rPr>
          <w:rFonts w:ascii="Noto Sans CJK SC" w:hAnsi="Noto Sans CJK SC" w:eastAsia="Noto Sans CJK SC"/>
          <w:b/>
          <w:color w:val="17324D"/>
          <w:sz w:val="21"/>
        </w:rPr>
        <w:t>4. What must be transparent</w:t>
      </w:r>
    </w:p>
    <w:p>
      <w:pPr>
        <w:spacing w:after="40"/>
        <w:ind w:left="0"/>
      </w:pPr>
      <w:r>
        <w:rPr>
          <w:rFonts w:ascii="Noto Sans CJK SC" w:hAnsi="Noto Sans CJK SC" w:eastAsia="Noto Sans CJK SC"/>
          <w:b/>
          <w:color w:val="17324D"/>
          <w:sz w:val="21"/>
        </w:rPr>
        <w:t>5. ClearPath decision model</w:t>
      </w:r>
    </w:p>
    <w:p>
      <w:pPr>
        <w:spacing w:after="40"/>
        <w:ind w:left="0"/>
      </w:pPr>
      <w:r>
        <w:rPr>
          <w:rFonts w:ascii="Noto Sans CJK SC" w:hAnsi="Noto Sans CJK SC" w:eastAsia="Noto Sans CJK SC"/>
          <w:b/>
          <w:color w:val="17324D"/>
          <w:sz w:val="21"/>
        </w:rPr>
        <w:t>6. A route-finding workflow for ordinary people</w:t>
      </w:r>
    </w:p>
    <w:p>
      <w:pPr>
        <w:spacing w:after="40"/>
        <w:ind w:left="0"/>
      </w:pPr>
      <w:r>
        <w:rPr>
          <w:rFonts w:ascii="Noto Sans CJK SC" w:hAnsi="Noto Sans CJK SC" w:eastAsia="Noto Sans CJK SC"/>
          <w:b/>
          <w:color w:val="17324D"/>
          <w:sz w:val="21"/>
        </w:rPr>
        <w:t>7. Synthetic examples</w:t>
      </w:r>
    </w:p>
    <w:p>
      <w:pPr>
        <w:spacing w:after="40"/>
        <w:ind w:left="0"/>
      </w:pPr>
      <w:r>
        <w:rPr>
          <w:rFonts w:ascii="Noto Sans CJK SC" w:hAnsi="Noto Sans CJK SC" w:eastAsia="Noto Sans CJK SC"/>
          <w:b/>
          <w:color w:val="17324D"/>
          <w:sz w:val="21"/>
        </w:rPr>
        <w:t>8. Training-opportunity integrity</w:t>
      </w:r>
    </w:p>
    <w:p>
      <w:pPr>
        <w:spacing w:after="40"/>
        <w:ind w:left="0"/>
      </w:pPr>
      <w:r>
        <w:rPr>
          <w:rFonts w:ascii="Noto Sans CJK SC" w:hAnsi="Noto Sans CJK SC" w:eastAsia="Noto Sans CJK SC"/>
          <w:b/>
          <w:color w:val="17324D"/>
          <w:sz w:val="21"/>
        </w:rPr>
        <w:t>9. Transparent contribution without total surveillance</w:t>
      </w:r>
    </w:p>
    <w:p>
      <w:pPr>
        <w:spacing w:after="40"/>
        <w:ind w:left="0"/>
      </w:pPr>
      <w:r>
        <w:rPr>
          <w:rFonts w:ascii="Noto Sans CJK SC" w:hAnsi="Noto Sans CJK SC" w:eastAsia="Noto Sans CJK SC"/>
          <w:b/>
          <w:color w:val="17324D"/>
          <w:sz w:val="21"/>
        </w:rPr>
        <w:t>10. Architecture and deployment</w:t>
      </w:r>
    </w:p>
    <w:p>
      <w:pPr>
        <w:spacing w:after="40"/>
        <w:ind w:left="0"/>
      </w:pPr>
      <w:r>
        <w:rPr>
          <w:rFonts w:ascii="Noto Sans CJK SC" w:hAnsi="Noto Sans CJK SC" w:eastAsia="Noto Sans CJK SC"/>
          <w:b/>
          <w:color w:val="17324D"/>
          <w:sz w:val="21"/>
        </w:rPr>
        <w:t>11. Open-core commercialization</w:t>
      </w:r>
    </w:p>
    <w:p>
      <w:pPr>
        <w:spacing w:after="40"/>
        <w:ind w:left="0"/>
      </w:pPr>
      <w:r>
        <w:rPr>
          <w:rFonts w:ascii="Noto Sans CJK SC" w:hAnsi="Noto Sans CJK SC" w:eastAsia="Noto Sans CJK SC"/>
          <w:b/>
          <w:color w:val="17324D"/>
          <w:sz w:val="21"/>
        </w:rPr>
        <w:t>12. TOEP-1000</w:t>
      </w:r>
    </w:p>
    <w:p>
      <w:pPr>
        <w:spacing w:after="40"/>
        <w:ind w:left="0"/>
      </w:pPr>
      <w:r>
        <w:rPr>
          <w:rFonts w:ascii="Noto Sans CJK SC" w:hAnsi="Noto Sans CJK SC" w:eastAsia="Noto Sans CJK SC"/>
          <w:b/>
          <w:color w:val="17324D"/>
          <w:sz w:val="21"/>
        </w:rPr>
        <w:t>13. Reality boundary</w:t>
      </w:r>
    </w:p>
    <w:p>
      <w:pPr>
        <w:spacing w:after="40"/>
        <w:ind w:left="0"/>
      </w:pPr>
      <w:r>
        <w:rPr>
          <w:rFonts w:ascii="Noto Sans CJK SC" w:hAnsi="Noto Sans CJK SC" w:eastAsia="Noto Sans CJK SC"/>
          <w:b/>
          <w:color w:val="17324D"/>
          <w:sz w:val="21"/>
        </w:rPr>
        <w:t>Conclusion</w:t>
      </w:r>
    </w:p>
    <w:p>
      <w:pPr>
        <w:spacing w:after="40"/>
        <w:ind w:left="0"/>
      </w:pPr>
      <w:r>
        <w:rPr>
          <w:rFonts w:ascii="Noto Sans CJK SC" w:hAnsi="Noto Sans CJK SC" w:eastAsia="Noto Sans CJK SC"/>
          <w:b/>
          <w:color w:val="17324D"/>
          <w:sz w:val="21"/>
        </w:rPr>
        <w:t>References</w:t>
      </w:r>
    </w:p>
    <w:p>
      <w:r>
        <w:br w:type="page"/>
      </w:r>
    </w:p>
    <w:p>
      <w:pPr>
        <w:jc w:val="left"/>
        <w:keepNext w:val="1"/>
      </w:pPr>
      <w:r>
        <w:rPr>
          <w:rFonts w:ascii="Noto Sans CJK SC" w:hAnsi="Noto Sans CJK SC" w:eastAsia="Noto Sans CJK SC"/>
          <w:b/>
          <w:color w:val="275870"/>
          <w:sz w:val="30"/>
        </w:rPr>
        <w:t>Routes, Saturation, and DIKWP Contribution after Model-Native Software</w:t>
      </w:r>
    </w:p>
    <w:p>
      <w:pPr>
        <w:spacing w:after="40"/>
      </w:pPr>
      <w:r>
        <w:rPr>
          <w:rFonts w:ascii="Noto Serif CJK SC" w:hAnsi="Noto Serif CJK SC" w:eastAsia="Noto Serif CJK SC"/>
          <w:b/>
        </w:rPr>
        <w:t>DIKWP ClearPath Transparent Opportunity Economy OS v1.0.0</w:t>
      </w:r>
    </w:p>
    <w:p>
      <w:pPr>
        <w:spacing w:after="40"/>
      </w:pPr>
      <w:r>
        <w:rPr>
          <w:rFonts w:ascii="Noto Serif CJK SC" w:hAnsi="Noto Serif CJK SC" w:eastAsia="Noto Serif CJK SC"/>
          <w:b/>
        </w:rPr>
        <w:t>Status: open-source research reference implementation</w:t>
      </w:r>
    </w:p>
    <w:p>
      <w:pPr>
        <w:spacing w:after="40"/>
      </w:pPr>
      <w:r>
        <w:rPr>
          <w:rFonts w:ascii="Noto Serif CJK SC" w:hAnsi="Noto Serif CJK SC" w:eastAsia="Noto Serif CJK SC"/>
          <w:b/>
        </w:rPr>
        <w:t>Draft protocol: TOEP-1000:2026-DRAFT</w:t>
      </w:r>
    </w:p>
    <w:p>
      <w:pPr>
        <w:spacing w:before="60" w:after="60"/>
        <w:pBdr>
          <w:bottom w:val="single" w:sz="4" w:space="1" w:color="9AA7B4"/>
        </w:pBdr>
      </w:pPr>
    </w:p>
    <w:p>
      <w:pPr>
        <w:jc w:val="left"/>
        <w:keepNext w:val="1"/>
      </w:pPr>
      <w:r>
        <w:rPr>
          <w:rFonts w:ascii="Noto Sans CJK SC" w:hAnsi="Noto Sans CJK SC" w:eastAsia="Noto Sans CJK SC"/>
          <w:b/>
          <w:color w:val="275870"/>
          <w:sz w:val="30"/>
        </w:rPr>
        <w:t>Executive summary</w:t>
      </w:r>
    </w:p>
    <w:p>
      <w:r>
        <w:rPr>
          <w:rFonts w:ascii="Noto Serif CJK SC" w:hAnsi="Noto Serif CJK SC" w:eastAsia="Noto Serif CJK SC"/>
        </w:rPr>
        <w:t>Advanced models are moving from content generation toward choosing among code, APIs, browsers, graphical interfaces, files, and other tools. AI-assisted programming also lowers the cost of producing scripts, prototypes, and applications. Together, these changes commoditize a growing share of generic execution.</w:t>
      </w:r>
    </w:p>
    <w:p>
      <w:r>
        <w:rPr>
          <w:rFonts w:ascii="Noto Serif CJK SC" w:hAnsi="Noto Serif CJK SC" w:eastAsia="Noto Serif CJK SC"/>
        </w:rPr>
        <w:t xml:space="preserve">They do not automatically create customers, funded demand, trust, distribution, authority, local context, or responsibility. A new gap therefore appears after information and production barriers fall: </w:t>
      </w:r>
      <w:r>
        <w:rPr>
          <w:rFonts w:ascii="Noto Serif CJK SC" w:hAnsi="Noto Serif CJK SC" w:eastAsia="Noto Serif CJK SC"/>
          <w:b/>
        </w:rPr>
        <w:t>the opportunity-denominator gap</w:t>
      </w:r>
      <w:r>
        <w:rPr>
          <w:rFonts w:ascii="Noto Serif CJK SC" w:hAnsi="Noto Serif CJK SC" w:eastAsia="Noto Serif CJK SC"/>
        </w:rPr>
        <w:t>. Thousands of people may acquire similar capabilities while the number of funded positions, projects, or customers remains small. Early entrants may capture reputation, data, distribution, and switching costs before later entrants arrive.</w:t>
      </w:r>
    </w:p>
    <w:p>
      <w:r>
        <w:rPr>
          <w:rFonts w:ascii="Noto Serif CJK SC" w:hAnsi="Noto Serif CJK SC" w:eastAsia="Noto Serif CJK SC"/>
        </w:rPr>
        <w:t>This report defines a Transparent Opportunity Economy. Before a course, career route, or entrepreneurial path is marketed, the economic denominator should be disclosed: funded demand, remaining paid capacity, current and expected qualified supply, automation exposure, price, cost, first-revenue delay, first-mover concentration, access requirements, DIKWP transformations, acceptance evidence, expiry, and correction.</w:t>
      </w:r>
    </w:p>
    <w:p>
      <w:r>
        <w:rPr>
          <w:rFonts w:ascii="Noto Serif CJK SC" w:hAnsi="Noto Serif CJK SC" w:eastAsia="Noto Serif CJK SC"/>
        </w:rPr>
        <w:t xml:space="preserve">ClearPath evaluates a specific route under a specific person's declared constraints. It can return </w:t>
      </w:r>
      <w:r>
        <w:rPr>
          <w:rFonts w:ascii="DejaVu Sans Mono" w:hAnsi="DejaVu Sans Mono" w:eastAsia="DejaVu Sans Mono"/>
          <w:sz w:val="18"/>
        </w:rPr>
        <w:t>GO_​NOW</w:t>
      </w:r>
      <w:r>
        <w:rPr>
          <w:rFonts w:ascii="Noto Serif CJK SC" w:hAnsi="Noto Serif CJK SC" w:eastAsia="Noto Serif CJK SC"/>
        </w:rPr>
        <w:t xml:space="preserve">, </w:t>
      </w:r>
      <w:r>
        <w:rPr>
          <w:rFonts w:ascii="DejaVu Sans Mono" w:hAnsi="DejaVu Sans Mono" w:eastAsia="DejaVu Sans Mono"/>
          <w:sz w:val="18"/>
        </w:rPr>
        <w:t>TEST_​CHEAPLY</w:t>
      </w:r>
      <w:r>
        <w:rPr>
          <w:rFonts w:ascii="Noto Serif CJK SC" w:hAnsi="Noto Serif CJK SC" w:eastAsia="Noto Serif CJK SC"/>
        </w:rPr>
        <w:t xml:space="preserve">, </w:t>
      </w:r>
      <w:r>
        <w:rPr>
          <w:rFonts w:ascii="DejaVu Sans Mono" w:hAnsi="DejaVu Sans Mono" w:eastAsia="DejaVu Sans Mono"/>
          <w:sz w:val="18"/>
        </w:rPr>
        <w:t>PIVOT_​TO_​COMPLEMENT</w:t>
      </w:r>
      <w:r>
        <w:rPr>
          <w:rFonts w:ascii="Noto Serif CJK SC" w:hAnsi="Noto Serif CJK SC" w:eastAsia="Noto Serif CJK SC"/>
        </w:rPr>
        <w:t xml:space="preserve">, or </w:t>
      </w:r>
      <w:r>
        <w:rPr>
          <w:rFonts w:ascii="DejaVu Sans Mono" w:hAnsi="DejaVu Sans Mono" w:eastAsia="DejaVu Sans Mono"/>
          <w:sz w:val="18"/>
        </w:rPr>
        <w:t>NO_​CURRENT_​VIABLE_​PATH</w:t>
      </w:r>
      <w:r>
        <w:rPr>
          <w:rFonts w:ascii="Noto Serif CJK SC" w:hAnsi="Noto Serif CJK SC" w:eastAsia="Noto Serif CJK SC"/>
        </w:rPr>
        <w:t>. The last result closes a route until named evidence changes; it never declares that a person has no value or no future.</w:t>
      </w:r>
    </w:p>
    <w:p>
      <w:pPr>
        <w:spacing w:before="60" w:after="60"/>
        <w:pBdr>
          <w:bottom w:val="single" w:sz="4" w:space="1" w:color="9AA7B4"/>
        </w:pBdr>
      </w:pPr>
    </w:p>
    <w:p>
      <w:pPr>
        <w:pStyle w:val="Heading1"/>
        <w:keepNext w:val="1"/>
      </w:pPr>
      <w:r>
        <w:rPr>
          <w:rFonts w:ascii="Noto Serif CJK SC" w:hAnsi="Noto Serif CJK SC" w:eastAsia="Noto Serif CJK SC"/>
        </w:rPr>
        <w:t>1. Discriminating the two source arguments</w:t>
      </w:r>
    </w:p>
    <w:p>
      <w:pPr>
        <w:pStyle w:val="Heading2"/>
        <w:keepNext w:val="1"/>
      </w:pPr>
      <w:r>
        <w:rPr>
          <w:rFonts w:ascii="Noto Serif CJK SC" w:hAnsi="Noto Serif CJK SC" w:eastAsia="Noto Serif CJK SC"/>
        </w:rPr>
        <w:t>1.1 Interface walls are weakening; permission walls remain</w:t>
      </w:r>
    </w:p>
    <w:p>
      <w:r>
        <w:rPr>
          <w:rFonts w:ascii="Noto Serif CJK SC" w:hAnsi="Noto Serif CJK SC" w:eastAsia="Noto Serif CJK SC"/>
        </w:rPr>
        <w:t>The first source argues that an agent can increasingly choose among APIs, browser actions, code, shells, and graphical interfaces rather than follow a workflow fully predetermined by a developer. Its most defensible structural claim is that graphical interfaces are becoming machine-usable interfaces and that the software vendor may lose some control over navigation and sequencing.</w:t>
      </w:r>
    </w:p>
    <w:p>
      <w:r>
        <w:rPr>
          <w:rFonts w:ascii="Noto Serif CJK SC" w:hAnsi="Noto Serif CJK SC" w:eastAsia="Noto Serif CJK SC"/>
        </w:rPr>
        <w:t>The same source explicitly distinguishes interface access from authorization. Better computer use does not grant credentials, data rights, administrative privileges, or legal authority. It also states that the author had not independently tested the reported frontier model at the time. The analytical implication is therefore not “apps disappear,” but:</w:t>
      </w:r>
    </w:p>
    <w:p>
      <w:pPr>
        <w:pStyle w:val="FormulaBlock"/>
        <w:keepLines/>
        <w:shd w:fill="EEF4F8"/>
      </w:pPr>
      <w:r>
        <w:rPr>
          <w:rFonts w:ascii="DejaVu Sans Mono" w:hAnsi="DejaVu Sans Mono" w:eastAsia="DejaVu Sans Mono"/>
          <w:color w:val="17324D"/>
          <w:sz w:val="18"/>
        </w:rPr>
        <w:t>Scarcity(interface entry)↓</w:t>
      </w:r>
    </w:p>
    <w:p>
      <w:r>
        <w:rPr>
          <w:rFonts w:ascii="Noto Serif CJK SC" w:hAnsi="Noto Serif CJK SC" w:eastAsia="Noto Serif CJK SC"/>
        </w:rPr>
        <w:t>while:</w:t>
      </w:r>
    </w:p>
    <w:p>
      <w:pPr>
        <w:pStyle w:val="FormulaBlock"/>
        <w:keepLines/>
        <w:shd w:fill="EEF4F8"/>
      </w:pPr>
      <w:r>
        <w:rPr>
          <w:rFonts w:ascii="DejaVu Sans Mono" w:hAnsi="DejaVu Sans Mono" w:eastAsia="DejaVu Sans Mono"/>
          <w:color w:val="17324D"/>
          <w:sz w:val="18"/>
        </w:rPr>
        <w:t>Scarcity(authority, trusted data, customers, responsibility, acceptance) remains</w:t>
      </w:r>
    </w:p>
    <w:p>
      <w:pPr>
        <w:pStyle w:val="Heading2"/>
        <w:keepNext w:val="1"/>
      </w:pPr>
      <w:r>
        <w:rPr>
          <w:rFonts w:ascii="Noto Serif CJK SC" w:hAnsi="Noto Serif CJK SC" w:eastAsia="Noto Serif CJK SC"/>
        </w:rPr>
        <w:t>1.2 “AI coding is a dead end” is a rhetorical title, not the article's final proposition</w:t>
      </w:r>
    </w:p>
    <w:p>
      <w:r>
        <w:rPr>
          <w:rFonts w:ascii="Noto Serif CJK SC" w:hAnsi="Noto Serif CJK SC" w:eastAsia="Noto Serif CJK SC"/>
        </w:rPr>
        <w:t>The accessible written version accompanying the second video attacks the belief that learning AI coding, building a product, and waiting for customers is a complete livelihood strategy. Later, it explicitly qualifies the title: AI coding is useful as a tool, but generic software production alone is neither a moat nor a customer-acquisition system. It redirects attention toward industry knowledge, repeated customer problems, trust, and translating workflows into executable agent skills.</w:t>
      </w:r>
    </w:p>
    <w:p>
      <w:r>
        <w:rPr>
          <w:rFonts w:ascii="Noto Serif CJK SC" w:hAnsi="Noto Serif CJK SC" w:eastAsia="Noto Serif CJK SC"/>
        </w:rPr>
        <w:t>Its strongest internal chain is:</w:t>
      </w:r>
    </w:p>
    <w:p>
      <w:pPr>
        <w:pStyle w:val="FormulaBlock"/>
        <w:keepLines/>
        <w:shd w:fill="EEF4F8"/>
      </w:pPr>
      <w:r>
        <w:rPr>
          <w:rFonts w:ascii="DejaVu Sans Mono" w:hAnsi="DejaVu Sans Mono" w:eastAsia="DejaVu Sans Mono"/>
          <w:color w:val="17324D"/>
          <w:sz w:val="18"/>
        </w:rPr>
        <w:t>Production cost↓ → Homogeneous supply↑ → Distribution and customers become bottlenecks → Context and accountability gain relative scarcity</w:t>
      </w:r>
    </w:p>
    <w:p>
      <w:r>
        <w:rPr>
          <w:rFonts w:ascii="Noto Serif CJK SC" w:hAnsi="Noto Serif CJK SC" w:eastAsia="Noto Serif CJK SC"/>
        </w:rPr>
        <w:t>Some numerical and market claims in that source were not independently established for this report and are treated as author assertions rather than baseline facts.</w:t>
      </w:r>
    </w:p>
    <w:p>
      <w:pPr>
        <w:pStyle w:val="Heading2"/>
        <w:keepNext w:val="1"/>
      </w:pPr>
      <w:r>
        <w:rPr>
          <w:rFonts w:ascii="Noto Serif CJK SC" w:hAnsi="Noto Serif CJK SC" w:eastAsia="Noto Serif CJK SC"/>
        </w:rPr>
        <w:t>1.3 Software work has not literally disappeared</w:t>
      </w:r>
    </w:p>
    <w:p>
      <w:r>
        <w:rPr>
          <w:rFonts w:ascii="Noto Serif CJK SC" w:hAnsi="Noto Serif CJK SC" w:eastAsia="Noto Serif CJK SC"/>
        </w:rPr>
        <w:t>Independent evidence does not support a categorical claim that all software work is ending. The U.S. Bureau of Labor Statistics projects 10% employment growth for software developers, quality assurance analysts, and testers from 2025 to 2035. The World Economic Forum also lists software developers among occupations expected to see substantial net growth, while reporting broad task and skill disruption. ILO and OECD analysis is likewise better described as coexistence among automation, augmentation, new tasks, productivity effects, and displacement risk.</w:t>
      </w:r>
    </w:p>
    <w:p>
      <w:r>
        <w:rPr>
          <w:rFonts w:ascii="Noto Serif CJK SC" w:hAnsi="Noto Serif CJK SC" w:eastAsia="Noto Serif CJK SC"/>
        </w:rPr>
        <w:t>The precise proposition adopted by ClearPath is:</w:t>
      </w:r>
    </w:p>
    <w:p>
      <w:pPr>
        <w:pStyle w:val="Quote"/>
        <w:shd w:fill="FFF2CC"/>
      </w:pPr>
      <w:r>
        <w:rPr>
          <w:rFonts w:ascii="Noto Serif CJK SC" w:hAnsi="Noto Serif CJK SC" w:eastAsia="Noto Serif CJK SC"/>
        </w:rPr>
        <w:t>Generic execution without customer access, domain context, responsibility, differentiation, or verifiable outcomes is rapidly losing value as a standalone economic moat.</w:t>
      </w:r>
    </w:p>
    <w:p>
      <w:pPr>
        <w:spacing w:before="60" w:after="60"/>
        <w:pBdr>
          <w:bottom w:val="single" w:sz="4" w:space="1" w:color="9AA7B4"/>
        </w:pBdr>
      </w:pPr>
    </w:p>
    <w:p>
      <w:pPr>
        <w:pStyle w:val="Heading1"/>
        <w:keepNext w:val="1"/>
      </w:pPr>
      <w:r>
        <w:rPr>
          <w:rFonts w:ascii="Noto Serif CJK SC" w:hAnsi="Noto Serif CJK SC" w:eastAsia="Noto Serif CJK SC"/>
        </w:rPr>
        <w:t>2. From information gaps to opportunity-denominator gaps</w:t>
      </w:r>
    </w:p>
    <w:p>
      <w:r>
        <w:rPr>
          <w:rFonts w:ascii="Noto Serif CJK SC" w:hAnsi="Noto Serif CJK SC" w:eastAsia="Noto Serif CJK SC"/>
        </w:rPr>
        <w:t>Let funded paid capacity over a declared period be Q, current qualified supply be S_​0, and expected new qualified supply be S_​1. Saturation is:</w:t>
      </w:r>
    </w:p>
    <w:p>
      <w:pPr>
        <w:pStyle w:val="FormulaBlock"/>
        <w:keepLines/>
        <w:shd w:fill="EEF4F8"/>
      </w:pPr>
      <w:r>
        <w:rPr>
          <w:rFonts w:ascii="DejaVu Sans Mono" w:hAnsi="DejaVu Sans Mono" w:eastAsia="DejaVu Sans Mono"/>
          <w:color w:val="17324D"/>
          <w:sz w:val="18"/>
        </w:rPr>
        <w:t>σ=(S_0+S_1) / (max(Q,1))</w:t>
      </w:r>
    </w:p>
    <w:p>
      <w:r>
        <w:rPr>
          <w:rFonts w:ascii="Noto Serif CJK SC" w:hAnsi="Noto Serif CJK SC" w:eastAsia="Noto Serif CJK SC"/>
        </w:rPr>
        <w:t>When σ is high, acquiring more generic capability may not improve economic outcomes. The bottleneck may instead be:</w:t>
      </w:r>
    </w:p>
    <w:p>
      <w:pPr>
        <w:pStyle w:val="ListBullet"/>
        <w:spacing w:after="30"/>
      </w:pPr>
      <w:r>
        <w:rPr>
          <w:rFonts w:ascii="Noto Serif CJK SC" w:hAnsi="Noto Serif CJK SC" w:eastAsia="Noto Serif CJK SC"/>
        </w:rPr>
        <w:t>a named buyer with a budget;</w:t>
      </w:r>
    </w:p>
    <w:p>
      <w:pPr>
        <w:pStyle w:val="ListBullet"/>
        <w:spacing w:after="30"/>
      </w:pPr>
      <w:r>
        <w:rPr>
          <w:rFonts w:ascii="Noto Serif CJK SC" w:hAnsi="Noto Serif CJK SC" w:eastAsia="Noto Serif CJK SC"/>
        </w:rPr>
        <w:t>access to the buyer;</w:t>
      </w:r>
    </w:p>
    <w:p>
      <w:pPr>
        <w:pStyle w:val="ListBullet"/>
        <w:spacing w:after="30"/>
      </w:pPr>
      <w:r>
        <w:rPr>
          <w:rFonts w:ascii="Noto Serif CJK SC" w:hAnsi="Noto Serif CJK SC" w:eastAsia="Noto Serif CJK SC"/>
        </w:rPr>
        <w:t>local trust;</w:t>
      </w:r>
    </w:p>
    <w:p>
      <w:pPr>
        <w:pStyle w:val="ListBullet"/>
        <w:spacing w:after="30"/>
      </w:pPr>
      <w:r>
        <w:rPr>
          <w:rFonts w:ascii="Noto Serif CJK SC" w:hAnsi="Noto Serif CJK SC" w:eastAsia="Noto Serif CJK SC"/>
        </w:rPr>
        <w:t>distribution;</w:t>
      </w:r>
    </w:p>
    <w:p>
      <w:pPr>
        <w:pStyle w:val="ListBullet"/>
        <w:spacing w:after="30"/>
      </w:pPr>
      <w:r>
        <w:rPr>
          <w:rFonts w:ascii="Noto Serif CJK SC" w:hAnsi="Noto Serif CJK SC" w:eastAsia="Noto Serif CJK SC"/>
        </w:rPr>
        <w:t>regulated authority;</w:t>
      </w:r>
    </w:p>
    <w:p>
      <w:pPr>
        <w:pStyle w:val="ListBullet"/>
        <w:spacing w:after="30"/>
      </w:pPr>
      <w:r>
        <w:rPr>
          <w:rFonts w:ascii="Noto Serif CJK SC" w:hAnsi="Noto Serif CJK SC" w:eastAsia="Noto Serif CJK SC"/>
        </w:rPr>
        <w:t>physical execution;</w:t>
      </w:r>
    </w:p>
    <w:p>
      <w:pPr>
        <w:pStyle w:val="ListBullet"/>
        <w:spacing w:after="30"/>
      </w:pPr>
      <w:r>
        <w:rPr>
          <w:rFonts w:ascii="Noto Serif CJK SC" w:hAnsi="Noto Serif CJK SC" w:eastAsia="Noto Serif CJK SC"/>
        </w:rPr>
        <w:t>acceptance and warranty;</w:t>
      </w:r>
    </w:p>
    <w:p>
      <w:pPr>
        <w:pStyle w:val="ListBullet"/>
        <w:spacing w:after="30"/>
      </w:pPr>
      <w:r>
        <w:rPr>
          <w:rFonts w:ascii="Noto Serif CJK SC" w:hAnsi="Noto Serif CJK SC" w:eastAsia="Noto Serif CJK SC"/>
        </w:rPr>
        <w:t>responsibility for errors and repair.</w:t>
      </w:r>
    </w:p>
    <w:p>
      <w:r>
        <w:rPr>
          <w:rFonts w:ascii="Noto Serif CJK SC" w:hAnsi="Noto Serif CJK SC" w:eastAsia="Noto Serif CJK SC"/>
        </w:rPr>
        <w:t>A first-mover pattern is strongest where supply is cheaply replicated, demand grows slowly, distribution is concentrated, switching costs are high, and outputs are interchangeable. It is weaker where opportunities regenerate through locality, relationships, regulation, physical work, continuing care, or responsibility-bearing service.</w:t>
      </w:r>
    </w:p>
    <w:p>
      <w:pPr>
        <w:jc w:val="center"/>
      </w:pPr>
      <w:r>
        <w:drawing>
          <wp:inline xmlns:a="http://schemas.openxmlformats.org/drawingml/2006/main" xmlns:pic="http://schemas.openxmlformats.org/drawingml/2006/picture">
            <wp:extent cx="5400000" cy="4050000"/>
            <wp:docPr id="1" name="Picture 1" title="Opportunity saturation" descr="Opportunity saturation"/>
            <wp:cNvGraphicFramePr>
              <a:graphicFrameLocks noChangeAspect="1"/>
            </wp:cNvGraphicFramePr>
            <a:graphic>
              <a:graphicData uri="http://schemas.openxmlformats.org/drawingml/2006/picture">
                <pic:pic>
                  <pic:nvPicPr>
                    <pic:cNvPr id="0" name="clearpath_opportunity_saturation.png"/>
                    <pic:cNvPicPr/>
                  </pic:nvPicPr>
                  <pic:blipFill>
                    <a:blip r:embed="rId11"/>
                    <a:stretch>
                      <a:fillRect/>
                    </a:stretch>
                  </pic:blipFill>
                  <pic:spPr>
                    <a:xfrm>
                      <a:off x="0" y="0"/>
                      <a:ext cx="5400000" cy="4050000"/>
                    </a:xfrm>
                    <a:prstGeom prst="rect"/>
                  </pic:spPr>
                </pic:pic>
              </a:graphicData>
            </a:graphic>
          </wp:inline>
        </w:drawing>
      </w:r>
    </w:p>
    <w:p>
      <w:pPr>
        <w:pStyle w:val="Caption"/>
      </w:pPr>
      <w:r>
        <w:t>Opportunity saturation</w:t>
      </w:r>
    </w:p>
    <w:p>
      <w:pPr>
        <w:spacing w:before="60" w:after="60"/>
        <w:pBdr>
          <w:bottom w:val="single" w:sz="4" w:space="1" w:color="9AA7B4"/>
        </w:pBdr>
      </w:pPr>
    </w:p>
    <w:p>
      <w:pPr>
        <w:pStyle w:val="Heading1"/>
        <w:keepNext w:val="1"/>
      </w:pPr>
      <w:r>
        <w:rPr>
          <w:rFonts w:ascii="Noto Serif CJK SC" w:hAnsi="Noto Serif CJK SC" w:eastAsia="Noto Serif CJK SC"/>
        </w:rPr>
        <w:t>3. DIKWP as an economic capability language</w:t>
      </w:r>
    </w:p>
    <w:p>
      <w:r>
        <w:rPr>
          <w:rFonts w:ascii="Noto Serif CJK SC" w:hAnsi="Noto Serif CJK SC" w:eastAsia="Noto Serif CJK SC"/>
        </w:rPr>
        <w:t>ClearPath separates five storage positions:</w:t>
      </w:r>
    </w:p>
    <w:p>
      <w:pPr>
        <w:pStyle w:val="ListBullet"/>
        <w:spacing w:after="30"/>
      </w:pPr>
      <w:r>
        <w:rPr>
          <w:rFonts w:ascii="Noto Serif CJK SC" w:hAnsi="Noto Serif CJK SC" w:eastAsia="Noto Serif CJK SC"/>
          <w:b/>
        </w:rPr>
        <w:t>D - Data:</w:t>
      </w:r>
      <w:r>
        <w:rPr>
          <w:rFonts w:ascii="Noto Serif CJK SC" w:hAnsi="Noto Serif CJK SC" w:eastAsia="Noto Serif CJK SC"/>
        </w:rPr>
        <w:t xml:space="preserve"> records, observations, events, and states;</w:t>
      </w:r>
    </w:p>
    <w:p>
      <w:pPr>
        <w:pStyle w:val="ListBullet"/>
        <w:spacing w:after="30"/>
      </w:pPr>
      <w:r>
        <w:rPr>
          <w:rFonts w:ascii="Noto Serif CJK SC" w:hAnsi="Noto Serif CJK SC" w:eastAsia="Noto Serif CJK SC"/>
          <w:b/>
        </w:rPr>
        <w:t>I - Information:</w:t>
      </w:r>
      <w:r>
        <w:rPr>
          <w:rFonts w:ascii="Noto Serif CJK SC" w:hAnsi="Noto Serif CJK SC" w:eastAsia="Noto Serif CJK SC"/>
        </w:rPr>
        <w:t xml:space="preserve"> differences, changes, relations, and anomalies;</w:t>
      </w:r>
    </w:p>
    <w:p>
      <w:pPr>
        <w:pStyle w:val="ListBullet"/>
        <w:spacing w:after="30"/>
      </w:pPr>
      <w:r>
        <w:rPr>
          <w:rFonts w:ascii="Noto Serif CJK SC" w:hAnsi="Noto Serif CJK SC" w:eastAsia="Noto Serif CJK SC"/>
          <w:b/>
        </w:rPr>
        <w:t>K - Knowledge:</w:t>
      </w:r>
      <w:r>
        <w:rPr>
          <w:rFonts w:ascii="Noto Serif CJK SC" w:hAnsi="Noto Serif CJK SC" w:eastAsia="Noto Serif CJK SC"/>
        </w:rPr>
        <w:t xml:space="preserve"> structures that can be explained, reproduced, and transferred;</w:t>
      </w:r>
    </w:p>
    <w:p>
      <w:pPr>
        <w:pStyle w:val="ListBullet"/>
        <w:spacing w:after="30"/>
      </w:pPr>
      <w:r>
        <w:rPr>
          <w:rFonts w:ascii="Noto Serif CJK SC" w:hAnsi="Noto Serif CJK SC" w:eastAsia="Noto Serif CJK SC"/>
          <w:b/>
        </w:rPr>
        <w:t>W - Wisdom:</w:t>
      </w:r>
      <w:r>
        <w:rPr>
          <w:rFonts w:ascii="Noto Serif CJK SC" w:hAnsi="Noto Serif CJK SC" w:eastAsia="Noto Serif CJK SC"/>
        </w:rPr>
        <w:t xml:space="preserve"> trade-offs under conflicting purposes, uncertainty, and consequences;</w:t>
      </w:r>
    </w:p>
    <w:p>
      <w:pPr>
        <w:pStyle w:val="ListBullet"/>
        <w:spacing w:after="30"/>
      </w:pPr>
      <w:r>
        <w:rPr>
          <w:rFonts w:ascii="Noto Serif CJK SC" w:hAnsi="Noto Serif CJK SC" w:eastAsia="Noto Serif CJK SC"/>
          <w:b/>
        </w:rPr>
        <w:t>P - Purpose:</w:t>
      </w:r>
      <w:r>
        <w:rPr>
          <w:rFonts w:ascii="Noto Serif CJK SC" w:hAnsi="Noto Serif CJK SC" w:eastAsia="Noto Serif CJK SC"/>
        </w:rPr>
        <w:t xml:space="preserve"> whose objective is being served, why action is justified, when it stops, and who carries responsibility.</w:t>
      </w:r>
    </w:p>
    <w:p>
      <w:r>
        <w:rPr>
          <w:rFonts w:ascii="Noto Serif CJK SC" w:hAnsi="Noto Serif CJK SC" w:eastAsia="Noto Serif CJK SC"/>
        </w:rPr>
        <w:t>Economic value is produced not only by storage but by 25 directed transformations:</w:t>
      </w:r>
    </w:p>
    <w:p>
      <w:pPr>
        <w:pStyle w:val="FormulaBlock"/>
        <w:keepLines/>
        <w:shd w:fill="EEF4F8"/>
      </w:pPr>
      <w:r>
        <w:rPr>
          <w:rFonts w:ascii="DejaVu Sans Mono" w:hAnsi="DejaVu Sans Mono" w:eastAsia="DejaVu Sans Mono"/>
          <w:color w:val="17324D"/>
          <w:sz w:val="18"/>
        </w:rPr>
        <w:t>T={D,I,K,W,P} × {D,I,K,W,P}</w:t>
      </w:r>
    </w:p>
    <w:p>
      <w:r>
        <w:rPr>
          <w:rFonts w:ascii="Noto Serif CJK SC" w:hAnsi="Noto Serif CJK SC" w:eastAsia="Noto Serif CJK SC"/>
        </w:rPr>
        <w:t>Examples include D-to-I observation, I-to-K validation, K-to-W contextual judgment, W-to-P bounded action, and P-to-D generation of reality receipts.</w:t>
      </w:r>
    </w:p>
    <w:p>
      <w:r>
        <w:rPr>
          <w:rFonts w:ascii="Noto Serif CJK SC" w:hAnsi="Noto Serif CJK SC" w:eastAsia="Noto Serif CJK SC"/>
        </w:rPr>
        <w:t>As model capability rises, many D/I and generic code transformations become cheaper. Some K work also commoditizes. Relative value migrates toward context, Purpose legitimacy, real-world access, trust, verification, acceptance, and responsibility. This does not claim that models can never support W or P; it means that authority and consequence do not automatically transfer to the model.</w:t>
      </w:r>
    </w:p>
    <w:p>
      <w:pPr>
        <w:jc w:val="center"/>
      </w:pPr>
      <w:r>
        <w:drawing>
          <wp:inline xmlns:a="http://schemas.openxmlformats.org/drawingml/2006/main" xmlns:pic="http://schemas.openxmlformats.org/drawingml/2006/picture">
            <wp:extent cx="5400000" cy="4050000"/>
            <wp:docPr id="2" name="Picture 2" title="DIKWP value migration" descr="DIKWP value migration"/>
            <wp:cNvGraphicFramePr>
              <a:graphicFrameLocks noChangeAspect="1"/>
            </wp:cNvGraphicFramePr>
            <a:graphic>
              <a:graphicData uri="http://schemas.openxmlformats.org/drawingml/2006/picture">
                <pic:pic>
                  <pic:nvPicPr>
                    <pic:cNvPr id="0" name="clearpath_dikwp_value_migration.png"/>
                    <pic:cNvPicPr/>
                  </pic:nvPicPr>
                  <pic:blipFill>
                    <a:blip r:embed="rId12"/>
                    <a:stretch>
                      <a:fillRect/>
                    </a:stretch>
                  </pic:blipFill>
                  <pic:spPr>
                    <a:xfrm>
                      <a:off x="0" y="0"/>
                      <a:ext cx="5400000" cy="4050000"/>
                    </a:xfrm>
                    <a:prstGeom prst="rect"/>
                  </pic:spPr>
                </pic:pic>
              </a:graphicData>
            </a:graphic>
          </wp:inline>
        </w:drawing>
      </w:r>
    </w:p>
    <w:p>
      <w:pPr>
        <w:pStyle w:val="Caption"/>
      </w:pPr>
      <w:r>
        <w:t>DIKWP value migration</w:t>
      </w:r>
    </w:p>
    <w:p>
      <w:pPr>
        <w:spacing w:before="60" w:after="60"/>
        <w:pBdr>
          <w:bottom w:val="single" w:sz="4" w:space="1" w:color="9AA7B4"/>
        </w:pBdr>
      </w:pPr>
    </w:p>
    <w:p>
      <w:pPr>
        <w:pStyle w:val="Heading1"/>
        <w:keepNext w:val="1"/>
      </w:pPr>
      <w:r>
        <w:rPr>
          <w:rFonts w:ascii="Noto Serif CJK SC" w:hAnsi="Noto Serif CJK SC" w:eastAsia="Noto Serif CJK SC"/>
        </w:rPr>
        <w:t>4. What must be transparent</w:t>
      </w:r>
    </w:p>
    <w:p>
      <w:r>
        <w:rPr>
          <w:rFonts w:ascii="Noto Serif CJK SC" w:hAnsi="Noto Serif CJK SC" w:eastAsia="Noto Serif CJK SC"/>
        </w:rPr>
        <w:t>A Transparent Opportunity Economy does not publish every private fact about every person. It publishes the denominator needed to evaluate an opportunity.</w:t>
      </w:r>
    </w:p>
    <w:p>
      <w:r>
        <w:rPr>
          <w:rFonts w:ascii="Noto Serif CJK SC" w:hAnsi="Noto Serif CJK SC" w:eastAsia="Noto Serif CJK SC"/>
        </w:rPr>
        <w:t>A minimally useful opportunity record includes:</w:t>
      </w:r>
    </w:p>
    <w:p>
      <w:pPr>
        <w:spacing w:after="30"/>
        <w:ind w:left="312" w:hanging="238"/>
      </w:pPr>
      <w:r>
        <w:rPr>
          <w:rFonts w:ascii="Noto Serif CJK SC" w:hAnsi="Noto Serif CJK SC" w:eastAsia="Noto Serif CJK SC"/>
        </w:rPr>
        <w:t>1. the paying buyer or funder category;</w:t>
      </w:r>
    </w:p>
    <w:p>
      <w:pPr>
        <w:spacing w:after="30"/>
        <w:ind w:left="312" w:hanging="238"/>
      </w:pPr>
      <w:r>
        <w:rPr>
          <w:rFonts w:ascii="Noto Serif CJK SC" w:hAnsi="Noto Serif CJK SC" w:eastAsia="Noto Serif CJK SC"/>
        </w:rPr>
        <w:t>2. funded paid capacity over a declared period;</w:t>
      </w:r>
    </w:p>
    <w:p>
      <w:pPr>
        <w:spacing w:after="30"/>
        <w:ind w:left="312" w:hanging="238"/>
      </w:pPr>
      <w:r>
        <w:rPr>
          <w:rFonts w:ascii="Noto Serif CJK SC" w:hAnsi="Noto Serif CJK SC" w:eastAsia="Noto Serif CJK SC"/>
        </w:rPr>
        <w:t>3. current qualified supply and counting method;</w:t>
      </w:r>
    </w:p>
    <w:p>
      <w:pPr>
        <w:spacing w:after="30"/>
        <w:ind w:left="312" w:hanging="238"/>
      </w:pPr>
      <w:r>
        <w:rPr>
          <w:rFonts w:ascii="Noto Serif CJK SC" w:hAnsi="Noto Serif CJK SC" w:eastAsia="Noto Serif CJK SC"/>
        </w:rPr>
        <w:t>4. expected new supply;</w:t>
      </w:r>
    </w:p>
    <w:p>
      <w:pPr>
        <w:spacing w:after="30"/>
        <w:ind w:left="312" w:hanging="238"/>
      </w:pPr>
      <w:r>
        <w:rPr>
          <w:rFonts w:ascii="Noto Serif CJK SC" w:hAnsi="Noto Serif CJK SC" w:eastAsia="Noto Serif CJK SC"/>
        </w:rPr>
        <w:t>5. demand and supply growth assumptions;</w:t>
      </w:r>
    </w:p>
    <w:p>
      <w:pPr>
        <w:spacing w:after="30"/>
        <w:ind w:left="312" w:hanging="238"/>
      </w:pPr>
      <w:r>
        <w:rPr>
          <w:rFonts w:ascii="Noto Serif CJK SC" w:hAnsi="Noto Serif CJK SC" w:eastAsia="Noto Serif CJK SC"/>
        </w:rPr>
        <w:t>6. the share of work directly commoditized by models;</w:t>
      </w:r>
    </w:p>
    <w:p>
      <w:pPr>
        <w:spacing w:after="30"/>
        <w:ind w:left="312" w:hanging="238"/>
      </w:pPr>
      <w:r>
        <w:rPr>
          <w:rFonts w:ascii="Noto Serif CJK SC" w:hAnsi="Noto Serif CJK SC" w:eastAsia="Noto Serif CJK SC"/>
        </w:rPr>
        <w:t>7. price and variable cost per accepted outcome;</w:t>
      </w:r>
    </w:p>
    <w:p>
      <w:pPr>
        <w:spacing w:after="30"/>
        <w:ind w:left="312" w:hanging="238"/>
      </w:pPr>
      <w:r>
        <w:rPr>
          <w:rFonts w:ascii="Noto Serif CJK SC" w:hAnsi="Noto Serif CJK SC" w:eastAsia="Noto Serif CJK SC"/>
        </w:rPr>
        <w:t>8. entry cost and time to first revenue;</w:t>
      </w:r>
    </w:p>
    <w:p>
      <w:pPr>
        <w:spacing w:after="30"/>
        <w:ind w:left="312" w:hanging="238"/>
      </w:pPr>
      <w:r>
        <w:rPr>
          <w:rFonts w:ascii="Noto Serif CJK SC" w:hAnsi="Noto Serif CJK SC" w:eastAsia="Noto Serif CJK SC"/>
        </w:rPr>
        <w:t>9. expected opportunity lifetime;</w:t>
      </w:r>
    </w:p>
    <w:p>
      <w:pPr>
        <w:spacing w:after="30"/>
        <w:ind w:left="312" w:hanging="238"/>
      </w:pPr>
      <w:r>
        <w:rPr>
          <w:rFonts w:ascii="Noto Serif CJK SC" w:hAnsi="Noto Serif CJK SC" w:eastAsia="Noto Serif CJK SC"/>
        </w:rPr>
        <w:t>10. customer, trust, distribution, regulatory, and local-execution requirements;</w:t>
      </w:r>
    </w:p>
    <w:p>
      <w:pPr>
        <w:spacing w:after="30"/>
        <w:ind w:left="312" w:hanging="238"/>
      </w:pPr>
      <w:r>
        <w:rPr>
          <w:rFonts w:ascii="Noto Serif CJK SC" w:hAnsi="Noto Serif CJK SC" w:eastAsia="Noto Serif CJK SC"/>
        </w:rPr>
        <w:t>11. supplier concentration;</w:t>
      </w:r>
    </w:p>
    <w:p>
      <w:pPr>
        <w:spacing w:after="30"/>
        <w:ind w:left="312" w:hanging="238"/>
      </w:pPr>
      <w:r>
        <w:rPr>
          <w:rFonts w:ascii="Noto Serif CJK SC" w:hAnsi="Noto Serif CJK SC" w:eastAsia="Noto Serif CJK SC"/>
        </w:rPr>
        <w:t>12. training seats and training revenue marketed against the same route;</w:t>
      </w:r>
    </w:p>
    <w:p>
      <w:pPr>
        <w:spacing w:after="30"/>
        <w:ind w:left="312" w:hanging="238"/>
      </w:pPr>
      <w:r>
        <w:rPr>
          <w:rFonts w:ascii="Noto Serif CJK SC" w:hAnsi="Noto Serif CJK SC" w:eastAsia="Noto Serif CJK SC"/>
        </w:rPr>
        <w:t>13. required DIKWP transformations;</w:t>
      </w:r>
    </w:p>
    <w:p>
      <w:pPr>
        <w:spacing w:after="30"/>
        <w:ind w:left="312" w:hanging="238"/>
      </w:pPr>
      <w:r>
        <w:rPr>
          <w:rFonts w:ascii="Noto Serif CJK SC" w:hAnsi="Noto Serif CJK SC" w:eastAsia="Noto Serif CJK SC"/>
        </w:rPr>
        <w:t>14. evidence, falsifiers, update time, and expiry.</w:t>
      </w:r>
    </w:p>
    <w:p>
      <w:r>
        <w:rPr>
          <w:rFonts w:ascii="Noto Serif CJK SC" w:hAnsi="Noto Serif CJK SC" w:eastAsia="Noto Serif CJK SC"/>
        </w:rPr>
        <w:t>The decisive transparency ratios are not merely successful cases. They include:</w:t>
      </w:r>
    </w:p>
    <w:p>
      <w:pPr>
        <w:pStyle w:val="FormulaBlock"/>
        <w:keepLines/>
        <w:shd w:fill="EEF4F8"/>
      </w:pPr>
      <w:r>
        <w:rPr>
          <w:rFonts w:ascii="DejaVu Sans Mono" w:hAnsi="DejaVu Sans Mono" w:eastAsia="DejaVu Sans Mono"/>
          <w:color w:val="17324D"/>
          <w:sz w:val="18"/>
        </w:rPr>
        <w:t>PaidOutcomeRate=(people obtaining paid outcomes) / (people entering the route)</w:t>
      </w:r>
    </w:p>
    <w:p>
      <w:r>
        <w:rPr>
          <w:rFonts w:ascii="Noto Serif CJK SC" w:hAnsi="Noto Serif CJK SC" w:eastAsia="Noto Serif CJK SC"/>
        </w:rPr>
        <w:t>and:</w:t>
      </w:r>
    </w:p>
    <w:p>
      <w:pPr>
        <w:pStyle w:val="FormulaBlock"/>
        <w:keepLines/>
        <w:shd w:fill="EEF4F8"/>
      </w:pPr>
      <w:r>
        <w:rPr>
          <w:rFonts w:ascii="DejaVu Sans Mono" w:hAnsi="DejaVu Sans Mono" w:eastAsia="DejaVu Sans Mono"/>
          <w:color w:val="17324D"/>
          <w:sz w:val="18"/>
        </w:rPr>
        <w:t>RemainingSlotCoverage=(remaining paid capacity) / (current+expected qualified supply)</w:t>
      </w:r>
    </w:p>
    <w:p>
      <w:pPr>
        <w:jc w:val="center"/>
      </w:pPr>
      <w:r>
        <w:drawing>
          <wp:inline xmlns:a="http://schemas.openxmlformats.org/drawingml/2006/main" xmlns:pic="http://schemas.openxmlformats.org/drawingml/2006/picture">
            <wp:extent cx="5400000" cy="4050000"/>
            <wp:docPr id="3" name="Picture 3" title="Training integrity" descr="Training integrity"/>
            <wp:cNvGraphicFramePr>
              <a:graphicFrameLocks noChangeAspect="1"/>
            </wp:cNvGraphicFramePr>
            <a:graphic>
              <a:graphicData uri="http://schemas.openxmlformats.org/drawingml/2006/picture">
                <pic:pic>
                  <pic:nvPicPr>
                    <pic:cNvPr id="0" name="clearpath_training_integrity.png"/>
                    <pic:cNvPicPr/>
                  </pic:nvPicPr>
                  <pic:blipFill>
                    <a:blip r:embed="rId13"/>
                    <a:stretch>
                      <a:fillRect/>
                    </a:stretch>
                  </pic:blipFill>
                  <pic:spPr>
                    <a:xfrm>
                      <a:off x="0" y="0"/>
                      <a:ext cx="5400000" cy="4050000"/>
                    </a:xfrm>
                    <a:prstGeom prst="rect"/>
                  </pic:spPr>
                </pic:pic>
              </a:graphicData>
            </a:graphic>
          </wp:inline>
        </w:drawing>
      </w:r>
    </w:p>
    <w:p>
      <w:pPr>
        <w:pStyle w:val="Caption"/>
      </w:pPr>
      <w:r>
        <w:t>Training integrity</w:t>
      </w:r>
    </w:p>
    <w:p>
      <w:r>
        <w:rPr>
          <w:rFonts w:ascii="Noto Serif CJK SC" w:hAnsi="Noto Serif CJK SC" w:eastAsia="Noto Serif CJK SC"/>
        </w:rPr>
        <w:t>Personal public records should disclose only purpose-bounded, evidenced transformations and expiry. Cash runway, debt, family obligations, health, location, political or religious views, and vulnerability stay private by default.</w:t>
      </w:r>
    </w:p>
    <w:p>
      <w:pPr>
        <w:spacing w:before="60" w:after="60"/>
        <w:pBdr>
          <w:bottom w:val="single" w:sz="4" w:space="1" w:color="9AA7B4"/>
        </w:pBdr>
      </w:pPr>
    </w:p>
    <w:p>
      <w:pPr>
        <w:pStyle w:val="Heading1"/>
        <w:keepNext w:val="1"/>
      </w:pPr>
      <w:r>
        <w:rPr>
          <w:rFonts w:ascii="Noto Serif CJK SC" w:hAnsi="Noto Serif CJK SC" w:eastAsia="Noto Serif CJK SC"/>
        </w:rPr>
        <w:t>5. ClearPath decision model</w:t>
      </w:r>
    </w:p>
    <w:p>
      <w:r>
        <w:rPr>
          <w:rFonts w:ascii="Noto Serif CJK SC" w:hAnsi="Noto Serif CJK SC" w:eastAsia="Noto Serif CJK SC"/>
        </w:rPr>
        <w:t>For world w:</w:t>
      </w:r>
    </w:p>
    <w:p>
      <w:pPr>
        <w:pStyle w:val="FormulaBlock"/>
        <w:keepLines/>
        <w:shd w:fill="EEF4F8"/>
      </w:pPr>
      <w:r>
        <w:rPr>
          <w:rFonts w:ascii="DejaVu Sans Mono" w:hAnsi="DejaVu Sans Mono" w:eastAsia="DejaVu Sans Mono"/>
          <w:color w:val="17324D"/>
          <w:sz w:val="18"/>
        </w:rPr>
        <w:t>Q_w = Q · d_w</w:t>
        <w:br/>
        <w:t>S_w = (S_0+S_1) · s_w</w:t>
        <w:br/>
        <w:t>σ_w = (S_w) / (max(Q_w,1))</w:t>
      </w:r>
    </w:p>
    <w:p>
      <w:r>
        <w:rPr>
          <w:rFonts w:ascii="Noto Serif CJK SC" w:hAnsi="Noto Serif CJK SC" w:eastAsia="Noto Serif CJK SC"/>
        </w:rPr>
        <w:t>The engine also estimates paid-slot coverage, opportunity half-life, gross margin, residual non-commoditized need, first-mover capture, and opportunity-laundering risk.</w:t>
      </w:r>
    </w:p>
    <w:p>
      <w:r>
        <w:rPr>
          <w:rFonts w:ascii="Noto Serif CJK SC" w:hAnsi="Noto Serif CJK SC" w:eastAsia="Noto Serif CJK SC"/>
        </w:rPr>
        <w:t>For each DIKWP transformation t, available capability combines demonstrated evidence and source-node storage:</w:t>
      </w:r>
    </w:p>
    <w:p>
      <w:pPr>
        <w:pStyle w:val="FormulaBlock"/>
        <w:keepLines/>
        <w:shd w:fill="EEF4F8"/>
      </w:pPr>
      <w:r>
        <w:rPr>
          <w:rFonts w:ascii="DejaVu Sans Mono" w:hAnsi="DejaVu Sans Mono" w:eastAsia="DejaVu Sans Mono"/>
          <w:color w:val="17324D"/>
          <w:sz w:val="18"/>
        </w:rPr>
        <w:t>A_t=0.78E_t+0.22S_src(t)</w:t>
      </w:r>
    </w:p>
    <w:p>
      <w:r>
        <w:rPr>
          <w:rFonts w:ascii="Noto Serif CJK SC" w:hAnsi="Noto Serif CJK SC" w:eastAsia="Noto Serif CJK SC"/>
        </w:rPr>
        <w:t>The analysis separately preserves capability, customer access, trust, distribution, regulatory access, local execution, time, budget, runway, remaining capacity, margin, concentration, and risk fit. It uses a geometric mean so that one severe bottleneck cannot be washed away by unrelated strengths.</w:t>
      </w:r>
    </w:p>
    <w:p>
      <w:r>
        <w:rPr>
          <w:rFonts w:ascii="Noto Serif CJK SC" w:hAnsi="Noto Serif CJK SC" w:eastAsia="Noto Serif CJK SC"/>
        </w:rPr>
        <w:t>Five incompatible worlds are retained:</w:t>
      </w:r>
    </w:p>
    <w:p>
      <w:pPr>
        <w:spacing w:after="30"/>
        <w:ind w:left="312" w:hanging="238"/>
      </w:pPr>
      <w:r>
        <w:rPr>
          <w:rFonts w:ascii="Noto Serif CJK SC" w:hAnsi="Noto Serif CJK SC" w:eastAsia="Noto Serif CJK SC"/>
        </w:rPr>
        <w:t>1. governed augmentation;</w:t>
      </w:r>
    </w:p>
    <w:p>
      <w:pPr>
        <w:spacing w:after="30"/>
        <w:ind w:left="312" w:hanging="238"/>
      </w:pPr>
      <w:r>
        <w:rPr>
          <w:rFonts w:ascii="Noto Serif CJK SC" w:hAnsi="Noto Serif CJK SC" w:eastAsia="Noto Serif CJK SC"/>
        </w:rPr>
        <w:t>2. rapid capability commoditization;</w:t>
      </w:r>
    </w:p>
    <w:p>
      <w:pPr>
        <w:spacing w:after="30"/>
        <w:ind w:left="312" w:hanging="238"/>
      </w:pPr>
      <w:r>
        <w:rPr>
          <w:rFonts w:ascii="Noto Serif CJK SC" w:hAnsi="Noto Serif CJK SC" w:eastAsia="Noto Serif CJK SC"/>
        </w:rPr>
        <w:t>3. winner-take-most platform concentration;</w:t>
      </w:r>
    </w:p>
    <w:p>
      <w:pPr>
        <w:spacing w:after="30"/>
        <w:ind w:left="312" w:hanging="238"/>
      </w:pPr>
      <w:r>
        <w:rPr>
          <w:rFonts w:ascii="Noto Serif CJK SC" w:hAnsi="Noto Serif CJK SC" w:eastAsia="Noto Serif CJK SC"/>
        </w:rPr>
        <w:t>4. local trust and responsibility reopening niches;</w:t>
      </w:r>
    </w:p>
    <w:p>
      <w:pPr>
        <w:spacing w:after="30"/>
        <w:ind w:left="312" w:hanging="238"/>
      </w:pPr>
      <w:r>
        <w:rPr>
          <w:rFonts w:ascii="Noto Serif CJK SC" w:hAnsi="Noto Serif CJK SC" w:eastAsia="Noto Serif CJK SC"/>
        </w:rPr>
        <w:t>5. AGI-scale labour-value compression.</w:t>
      </w:r>
    </w:p>
    <w:p>
      <w:r>
        <w:rPr>
          <w:rFonts w:ascii="Noto Serif CJK SC" w:hAnsi="Noto Serif CJK SC" w:eastAsia="Noto Serif CJK SC"/>
        </w:rPr>
        <w:t>The engine reports both a weighted mean and a robust floor:</w:t>
      </w:r>
    </w:p>
    <w:p>
      <w:pPr>
        <w:pStyle w:val="FormulaBlock"/>
        <w:keepLines/>
        <w:shd w:fill="EEF4F8"/>
      </w:pPr>
      <w:r>
        <w:rPr>
          <w:rFonts w:ascii="DejaVu Sans Mono" w:hAnsi="DejaVu Sans Mono" w:eastAsia="DejaVu Sans Mono"/>
          <w:color w:val="17324D"/>
          <w:sz w:val="18"/>
        </w:rPr>
        <w:t>V_floor=min_wV_w</w:t>
      </w:r>
    </w:p>
    <w:p>
      <w:r>
        <w:rPr>
          <w:rFonts w:ascii="Noto Serif CJK SC" w:hAnsi="Noto Serif CJK SC" w:eastAsia="Noto Serif CJK SC"/>
        </w:rPr>
        <w:t>Scenario weights are importance weights, not objective probabilities.</w:t>
      </w:r>
    </w:p>
    <w:p>
      <w:r>
        <w:rPr>
          <w:rFonts w:ascii="Noto Serif CJK SC" w:hAnsi="Noto Serif CJK SC" w:eastAsia="Noto Serif CJK SC"/>
        </w:rPr>
        <w:t>The four route decisions are:</w:t>
      </w:r>
    </w:p>
    <w:p>
      <w:pPr>
        <w:pStyle w:val="ListBullet"/>
        <w:spacing w:after="30"/>
      </w:pPr>
      <w:r>
        <w:rPr>
          <w:rFonts w:ascii="DejaVu Sans Mono" w:hAnsi="DejaVu Sans Mono" w:eastAsia="DejaVu Sans Mono"/>
          <w:sz w:val="18"/>
        </w:rPr>
        <w:t>GO_​NOW</w:t>
      </w:r>
      <w:r>
        <w:rPr>
          <w:rFonts w:ascii="Noto Serif CJK SC" w:hAnsi="Noto Serif CJK SC" w:eastAsia="Noto Serif CJK SC"/>
        </w:rPr>
        <w:t xml:space="preserve"> - enter a narrow funded experiment;</w:t>
      </w:r>
    </w:p>
    <w:p>
      <w:pPr>
        <w:pStyle w:val="ListBullet"/>
        <w:spacing w:after="30"/>
      </w:pPr>
      <w:r>
        <w:rPr>
          <w:rFonts w:ascii="DejaVu Sans Mono" w:hAnsi="DejaVu Sans Mono" w:eastAsia="DejaVu Sans Mono"/>
          <w:sz w:val="18"/>
        </w:rPr>
        <w:t>TEST_​CHEAPLY</w:t>
      </w:r>
      <w:r>
        <w:rPr>
          <w:rFonts w:ascii="Noto Serif CJK SC" w:hAnsi="Noto Serif CJK SC" w:eastAsia="Noto Serif CJK SC"/>
        </w:rPr>
        <w:t xml:space="preserve"> - conduct only a small reversible test;</w:t>
      </w:r>
    </w:p>
    <w:p>
      <w:pPr>
        <w:pStyle w:val="ListBullet"/>
        <w:spacing w:after="30"/>
      </w:pPr>
      <w:r>
        <w:rPr>
          <w:rFonts w:ascii="DejaVu Sans Mono" w:hAnsi="DejaVu Sans Mono" w:eastAsia="DejaVu Sans Mono"/>
          <w:sz w:val="18"/>
        </w:rPr>
        <w:t>PIVOT_​TO_​COMPLEMENT</w:t>
      </w:r>
      <w:r>
        <w:rPr>
          <w:rFonts w:ascii="Noto Serif CJK SC" w:hAnsi="Noto Serif CJK SC" w:eastAsia="Noto Serif CJK SC"/>
        </w:rPr>
        <w:t xml:space="preserve"> - move toward context, trust, local execution, regulation, validation, or responsibility;</w:t>
      </w:r>
    </w:p>
    <w:p>
      <w:pPr>
        <w:pStyle w:val="ListBullet"/>
        <w:spacing w:after="30"/>
      </w:pPr>
      <w:r>
        <w:rPr>
          <w:rFonts w:ascii="DejaVu Sans Mono" w:hAnsi="DejaVu Sans Mono" w:eastAsia="DejaVu Sans Mono"/>
          <w:sz w:val="18"/>
        </w:rPr>
        <w:t>NO_​CURRENT_​VIABLE_​PATH</w:t>
      </w:r>
      <w:r>
        <w:rPr>
          <w:rFonts w:ascii="Noto Serif CJK SC" w:hAnsi="Noto Serif CJK SC" w:eastAsia="Noto Serif CJK SC"/>
        </w:rPr>
        <w:t xml:space="preserve"> - stop spending until evidence changes a closure condition.</w:t>
      </w:r>
    </w:p>
    <w:p>
      <w:pPr>
        <w:jc w:val="center"/>
      </w:pPr>
      <w:r>
        <w:drawing>
          <wp:inline xmlns:a="http://schemas.openxmlformats.org/drawingml/2006/main" xmlns:pic="http://schemas.openxmlformats.org/drawingml/2006/picture">
            <wp:extent cx="5400000" cy="4050000"/>
            <wp:docPr id="4" name="Picture 4" title="Decision zones" descr="Decision zones"/>
            <wp:cNvGraphicFramePr>
              <a:graphicFrameLocks noChangeAspect="1"/>
            </wp:cNvGraphicFramePr>
            <a:graphic>
              <a:graphicData uri="http://schemas.openxmlformats.org/drawingml/2006/picture">
                <pic:pic>
                  <pic:nvPicPr>
                    <pic:cNvPr id="0" name="clearpath_decision_zones.png"/>
                    <pic:cNvPicPr/>
                  </pic:nvPicPr>
                  <pic:blipFill>
                    <a:blip r:embed="rId14"/>
                    <a:stretch>
                      <a:fillRect/>
                    </a:stretch>
                  </pic:blipFill>
                  <pic:spPr>
                    <a:xfrm>
                      <a:off x="0" y="0"/>
                      <a:ext cx="5400000" cy="4050000"/>
                    </a:xfrm>
                    <a:prstGeom prst="rect"/>
                  </pic:spPr>
                </pic:pic>
              </a:graphicData>
            </a:graphic>
          </wp:inline>
        </w:drawing>
      </w:r>
    </w:p>
    <w:p>
      <w:pPr>
        <w:pStyle w:val="Caption"/>
      </w:pPr>
      <w:r>
        <w:t>Decision zones</w:t>
      </w:r>
    </w:p>
    <w:p>
      <w:pPr>
        <w:spacing w:before="60" w:after="60"/>
        <w:pBdr>
          <w:bottom w:val="single" w:sz="4" w:space="1" w:color="9AA7B4"/>
        </w:pBdr>
      </w:pPr>
    </w:p>
    <w:p>
      <w:pPr>
        <w:pStyle w:val="Heading1"/>
        <w:keepNext w:val="1"/>
      </w:pPr>
      <w:r>
        <w:rPr>
          <w:rFonts w:ascii="Noto Serif CJK SC" w:hAnsi="Noto Serif CJK SC" w:eastAsia="Noto Serif CJK SC"/>
        </w:rPr>
        <w:t>6. A route-finding workflow for ordinary people</w:t>
      </w:r>
    </w:p>
    <w:p>
      <w:r>
        <w:rPr>
          <w:rFonts w:ascii="Noto Serif CJK SC" w:hAnsi="Noto Serif CJK SC" w:eastAsia="Noto Serif CJK SC"/>
        </w:rPr>
        <w:t>A useful question is not “Am I valuable?” It is:</w:t>
      </w:r>
    </w:p>
    <w:p>
      <w:pPr>
        <w:pStyle w:val="Quote"/>
        <w:shd w:fill="FFF2CC"/>
      </w:pPr>
      <w:r>
        <w:rPr>
          <w:rFonts w:ascii="Noto Serif CJK SC" w:hAnsi="Noto Serif CJK SC" w:eastAsia="Noto Serif CJK SC"/>
        </w:rPr>
        <w:t>In the next twelve months, who has a funded problem, what outcome will be accepted, how many paid positions exist, how many qualified suppliers will compete, and which bottleneck is mine?</w:t>
      </w:r>
    </w:p>
    <w:p>
      <w:r>
        <w:rPr>
          <w:rFonts w:ascii="Noto Serif CJK SC" w:hAnsi="Noto Serif CJK SC" w:eastAsia="Noto Serif CJK SC"/>
        </w:rPr>
        <w:t>A defensible first experiment requires:</w:t>
      </w:r>
    </w:p>
    <w:p>
      <w:pPr>
        <w:pStyle w:val="ListBullet"/>
        <w:spacing w:after="30"/>
      </w:pPr>
      <w:r>
        <w:rPr>
          <w:rFonts w:ascii="Noto Serif CJK SC" w:hAnsi="Noto Serif CJK SC" w:eastAsia="Noto Serif CJK SC"/>
        </w:rPr>
        <w:t>a named problem holder;</w:t>
      </w:r>
    </w:p>
    <w:p>
      <w:pPr>
        <w:pStyle w:val="ListBullet"/>
        <w:spacing w:after="30"/>
      </w:pPr>
      <w:r>
        <w:rPr>
          <w:rFonts w:ascii="Noto Serif CJK SC" w:hAnsi="Noto Serif CJK SC" w:eastAsia="Noto Serif CJK SC"/>
        </w:rPr>
        <w:t>evidence of cost or unmet need;</w:t>
      </w:r>
    </w:p>
    <w:p>
      <w:pPr>
        <w:pStyle w:val="ListBullet"/>
        <w:spacing w:after="30"/>
      </w:pPr>
      <w:r>
        <w:rPr>
          <w:rFonts w:ascii="Noto Serif CJK SC" w:hAnsi="Noto Serif CJK SC" w:eastAsia="Noto Serif CJK SC"/>
        </w:rPr>
        <w:t>a narrow deliverable;</w:t>
      </w:r>
    </w:p>
    <w:p>
      <w:pPr>
        <w:pStyle w:val="ListBullet"/>
        <w:spacing w:after="30"/>
      </w:pPr>
      <w:r>
        <w:rPr>
          <w:rFonts w:ascii="Noto Serif CJK SC" w:hAnsi="Noto Serif CJK SC" w:eastAsia="Noto Serif CJK SC"/>
        </w:rPr>
        <w:t>written acceptance conditions;</w:t>
      </w:r>
    </w:p>
    <w:p>
      <w:pPr>
        <w:pStyle w:val="ListBullet"/>
        <w:spacing w:after="30"/>
      </w:pPr>
      <w:r>
        <w:rPr>
          <w:rFonts w:ascii="Noto Serif CJK SC" w:hAnsi="Noto Serif CJK SC" w:eastAsia="Noto Serif CJK SC"/>
        </w:rPr>
        <w:t>a price, prepayment, procurement signal, or other value commitment;</w:t>
      </w:r>
    </w:p>
    <w:p>
      <w:pPr>
        <w:pStyle w:val="ListBullet"/>
        <w:spacing w:after="30"/>
      </w:pPr>
      <w:r>
        <w:rPr>
          <w:rFonts w:ascii="Noto Serif CJK SC" w:hAnsi="Noto Serif CJK SC" w:eastAsia="Noto Serif CJK SC"/>
        </w:rPr>
        <w:t>a maximum time and money loss;</w:t>
      </w:r>
    </w:p>
    <w:p>
      <w:pPr>
        <w:pStyle w:val="ListBullet"/>
        <w:spacing w:after="30"/>
      </w:pPr>
      <w:r>
        <w:rPr>
          <w:rFonts w:ascii="Noto Serif CJK SC" w:hAnsi="Noto Serif CJK SC" w:eastAsia="Noto Serif CJK SC"/>
        </w:rPr>
        <w:t>a stop condition;</w:t>
      </w:r>
    </w:p>
    <w:p>
      <w:pPr>
        <w:pStyle w:val="ListBullet"/>
        <w:spacing w:after="30"/>
      </w:pPr>
      <w:r>
        <w:rPr>
          <w:rFonts w:ascii="Noto Serif CJK SC" w:hAnsi="Noto Serif CJK SC" w:eastAsia="Noto Serif CJK SC"/>
        </w:rPr>
        <w:t>a receipt that can falsify the route.</w:t>
      </w:r>
    </w:p>
    <w:p>
      <w:r>
        <w:rPr>
          <w:rFonts w:ascii="Noto Serif CJK SC" w:hAnsi="Noto Serif CJK SC" w:eastAsia="Noto Serif CJK SC"/>
        </w:rPr>
        <w:t xml:space="preserve">A </w:t>
      </w:r>
      <w:r>
        <w:rPr>
          <w:rFonts w:ascii="DejaVu Sans Mono" w:hAnsi="DejaVu Sans Mono" w:eastAsia="DejaVu Sans Mono"/>
          <w:sz w:val="18"/>
        </w:rPr>
        <w:t>NO_​CURRENT_​VIABLE_​PATH</w:t>
      </w:r>
      <w:r>
        <w:rPr>
          <w:rFonts w:ascii="Noto Serif CJK SC" w:hAnsi="Noto Serif CJK SC" w:eastAsia="Noto Serif CJK SC"/>
        </w:rPr>
        <w:t xml:space="preserve"> decision instructs the person to preserve time and cash, stop buying generic training for that route, test only reopening conditions, and search adjacent funded problems. It does not infer low intelligence, poor character, or permanent exclusion.</w:t>
      </w:r>
    </w:p>
    <w:p>
      <w:r>
        <w:rPr>
          <w:rFonts w:ascii="Noto Serif CJK SC" w:hAnsi="Noto Serif CJK SC" w:eastAsia="Noto Serif CJK SC"/>
        </w:rPr>
        <w:t>The portfolio engine compares several routes. It distinguishes:</w:t>
      </w:r>
    </w:p>
    <w:p>
      <w:pPr>
        <w:pStyle w:val="CodeBlock"/>
        <w:keepLines/>
        <w:shd w:fill="F3F5F7"/>
      </w:pPr>
      <w:r>
        <w:rPr>
          <w:rFonts w:ascii="DejaVu Sans Mono" w:hAnsi="DejaVu Sans Mono" w:eastAsia="DejaVu Sans Mono"/>
          <w:color w:val="192230"/>
          <w:sz w:val="16"/>
        </w:rPr>
        <w:t>FUNDED_ROUTE_FOUND</w:t>
        <w:br/>
        <w:t>LOW_COST_TEST_ROUTE_FOUND</w:t>
        <w:br/>
        <w:t>ONLY_COMPLEMENTARY_PIVOTS_FOUND</w:t>
        <w:br/>
        <w:t>NO_CURRENT_VIABLE_PATH_IN_TESTED_SET</w:t>
      </w:r>
    </w:p>
    <w:p>
      <w:r>
        <w:rPr>
          <w:rFonts w:ascii="Noto Serif CJK SC" w:hAnsi="Noto Serif CJK SC" w:eastAsia="Noto Serif CJK SC"/>
        </w:rPr>
        <w:t>The last result applies only to the tested set.</w:t>
      </w:r>
    </w:p>
    <w:p>
      <w:pPr>
        <w:spacing w:before="60" w:after="60"/>
        <w:pBdr>
          <w:bottom w:val="single" w:sz="4" w:space="1" w:color="9AA7B4"/>
        </w:pBdr>
      </w:pPr>
    </w:p>
    <w:p>
      <w:pPr>
        <w:pStyle w:val="Heading1"/>
        <w:keepNext w:val="1"/>
      </w:pPr>
      <w:r>
        <w:rPr>
          <w:rFonts w:ascii="Noto Serif CJK SC" w:hAnsi="Noto Serif CJK SC" w:eastAsia="Noto Serif CJK SC"/>
        </w:rPr>
        <w:t>7. Synthetic examples</w:t>
      </w:r>
    </w:p>
    <w:p>
      <w:r>
        <w:rPr>
          <w:rFonts w:ascii="Noto Serif CJK SC" w:hAnsi="Noto Serif CJK SC" w:eastAsia="Noto Serif CJK SC"/>
        </w:rPr>
        <w:t>In the generic AI micro-SaaS fixture, 180 funded slots face 6,500 projected qualified suppliers, producing a saturation ratio of 36.11. Twelve thousand training seats are marketed against the route. Even though the synthetic person has strong generic DIKWP execution evidence, the route is closed because distribution, entry cost, residual demand, and remaining paid capacity fail.</w:t>
      </w:r>
    </w:p>
    <w:p>
      <w:r>
        <w:rPr>
          <w:rFonts w:ascii="Noto Serif CJK SC" w:hAnsi="Noto Serif CJK SC" w:eastAsia="Noto Serif CJK SC"/>
        </w:rPr>
        <w:t xml:space="preserve">The local SME workflow-and-agent integration fixture has named local buyers, lower distribution requirements, a shorter route to first revenue, and greater context and accountability. It receives </w:t>
      </w:r>
      <w:r>
        <w:rPr>
          <w:rFonts w:ascii="DejaVu Sans Mono" w:hAnsi="DejaVu Sans Mono" w:eastAsia="DejaVu Sans Mono"/>
          <w:sz w:val="18"/>
        </w:rPr>
        <w:t>GO_​NOW</w:t>
      </w:r>
      <w:r>
        <w:rPr>
          <w:rFonts w:ascii="Noto Serif CJK SC" w:hAnsi="Noto Serif CJK SC" w:eastAsia="Noto Serif CJK SC"/>
        </w:rPr>
        <w:t>, but only for a narrow paid pilot, not for a large platform build.</w:t>
      </w:r>
    </w:p>
    <w:p>
      <w:r>
        <w:rPr>
          <w:rFonts w:ascii="Noto Serif CJK SC" w:hAnsi="Noto Serif CJK SC" w:eastAsia="Noto Serif CJK SC"/>
        </w:rPr>
        <w:t xml:space="preserve">The local care and public-service navigation fixture also receives </w:t>
      </w:r>
      <w:r>
        <w:rPr>
          <w:rFonts w:ascii="DejaVu Sans Mono" w:hAnsi="DejaVu Sans Mono" w:eastAsia="DejaVu Sans Mono"/>
          <w:sz w:val="18"/>
        </w:rPr>
        <w:t>GO_​NOW</w:t>
      </w:r>
      <w:r>
        <w:rPr>
          <w:rFonts w:ascii="Noto Serif CJK SC" w:hAnsi="Noto Serif CJK SC" w:eastAsia="Noto Serif CJK SC"/>
        </w:rPr>
        <w:t xml:space="preserve"> in the synthetic data because local context, trust, physical coordination, and responsibility remain significant. It still requires professional boundaries and named human authority.</w:t>
      </w:r>
    </w:p>
    <w:p>
      <w:r>
        <w:rPr>
          <w:rFonts w:ascii="Noto Serif CJK SC" w:hAnsi="Noto Serif CJK SC" w:eastAsia="Noto Serif CJK SC"/>
        </w:rPr>
        <w:t>These fixtures test mechanisms; they are not market forecasts.</w:t>
      </w:r>
    </w:p>
    <w:p>
      <w:pPr>
        <w:spacing w:before="60" w:after="60"/>
        <w:pBdr>
          <w:bottom w:val="single" w:sz="4" w:space="1" w:color="9AA7B4"/>
        </w:pBdr>
      </w:pPr>
    </w:p>
    <w:p>
      <w:pPr>
        <w:pStyle w:val="Heading1"/>
        <w:keepNext w:val="1"/>
      </w:pPr>
      <w:r>
        <w:rPr>
          <w:rFonts w:ascii="Noto Serif CJK SC" w:hAnsi="Noto Serif CJK SC" w:eastAsia="Noto Serif CJK SC"/>
        </w:rPr>
        <w:t>8. Training-opportunity integrity</w:t>
      </w:r>
    </w:p>
    <w:p>
      <w:r>
        <w:rPr>
          <w:rFonts w:ascii="Noto Serif CJK SC" w:hAnsi="Noto Serif CJK SC" w:eastAsia="Noto Serif CJK SC"/>
        </w:rPr>
        <w:t>A training provider should establish more than educational efficacy. It should disclose the opportunity denominator against which the course is marketed.</w:t>
      </w:r>
    </w:p>
    <w:p>
      <w:r>
        <w:rPr>
          <w:rFonts w:ascii="Noto Serif CJK SC" w:hAnsi="Noto Serif CJK SC" w:eastAsia="Noto Serif CJK SC"/>
        </w:rPr>
        <w:t>ClearPath calculates:</w:t>
      </w:r>
    </w:p>
    <w:p>
      <w:pPr>
        <w:pStyle w:val="FormulaBlock"/>
        <w:keepLines/>
        <w:shd w:fill="EEF4F8"/>
      </w:pPr>
      <w:r>
        <w:rPr>
          <w:rFonts w:ascii="DejaVu Sans Mono" w:hAnsi="DejaVu Sans Mono" w:eastAsia="DejaVu Sans Mono"/>
          <w:color w:val="17324D"/>
          <w:sz w:val="18"/>
        </w:rPr>
        <w:t>Coverage_training=(Q) / (Seats_marketed)</w:t>
      </w:r>
    </w:p>
    <w:p>
      <w:pPr>
        <w:pStyle w:val="FormulaBlock"/>
        <w:keepLines/>
        <w:shd w:fill="EEF4F8"/>
      </w:pPr>
      <w:r>
        <w:rPr>
          <w:rFonts w:ascii="DejaVu Sans Mono" w:hAnsi="DejaVu Sans Mono" w:eastAsia="DejaVu Sans Mono"/>
          <w:color w:val="17324D"/>
          <w:sz w:val="18"/>
        </w:rPr>
        <w:t>DownstreamValue=Q · max(Price-Cost,0)</w:t>
      </w:r>
    </w:p>
    <w:p>
      <w:pPr>
        <w:pStyle w:val="FormulaBlock"/>
        <w:keepLines/>
        <w:shd w:fill="EEF4F8"/>
      </w:pPr>
      <w:r>
        <w:rPr>
          <w:rFonts w:ascii="DejaVu Sans Mono" w:hAnsi="DejaVu Sans Mono" w:eastAsia="DejaVu Sans Mono"/>
          <w:color w:val="17324D"/>
          <w:sz w:val="18"/>
        </w:rPr>
        <w:t>TrainingRevenue=Seats_marketed · TrainingPrice</w:t>
      </w:r>
    </w:p>
    <w:p>
      <w:r>
        <w:rPr>
          <w:rFonts w:ascii="Noto Serif CJK SC" w:hAnsi="Noto Serif CJK SC" w:eastAsia="Noto Serif CJK SC"/>
        </w:rPr>
        <w:t>Risk reasons include:</w:t>
      </w:r>
    </w:p>
    <w:p>
      <w:pPr>
        <w:pStyle w:val="ListBullet"/>
        <w:spacing w:after="30"/>
      </w:pPr>
      <w:r>
        <w:rPr>
          <w:rFonts w:ascii="Noto Serif CJK SC" w:hAnsi="Noto Serif CJK SC" w:eastAsia="Noto Serif CJK SC"/>
        </w:rPr>
        <w:t>fewer than one remaining paid slot per ten marketed seats;</w:t>
      </w:r>
    </w:p>
    <w:p>
      <w:pPr>
        <w:pStyle w:val="ListBullet"/>
        <w:spacing w:after="30"/>
      </w:pPr>
      <w:r>
        <w:rPr>
          <w:rFonts w:ascii="Noto Serif CJK SC" w:hAnsi="Noto Serif CJK SC" w:eastAsia="Noto Serif CJK SC"/>
        </w:rPr>
        <w:t>training revenue exceeding declared downstream opportunity value;</w:t>
      </w:r>
    </w:p>
    <w:p>
      <w:pPr>
        <w:pStyle w:val="ListBullet"/>
        <w:spacing w:after="30"/>
      </w:pPr>
      <w:r>
        <w:rPr>
          <w:rFonts w:ascii="Noto Serif CJK SC" w:hAnsi="Noto Serif CJK SC" w:eastAsia="Noto Serif CJK SC"/>
        </w:rPr>
        <w:t>high-certainty marketing in a saturated route;</w:t>
      </w:r>
    </w:p>
    <w:p>
      <w:pPr>
        <w:pStyle w:val="ListBullet"/>
        <w:spacing w:after="30"/>
      </w:pPr>
      <w:r>
        <w:rPr>
          <w:rFonts w:ascii="Noto Serif CJK SC" w:hAnsi="Noto Serif CJK SC" w:eastAsia="Noto Serif CJK SC"/>
        </w:rPr>
        <w:t>success stories without a complete entrant denominator;</w:t>
      </w:r>
    </w:p>
    <w:p>
      <w:pPr>
        <w:pStyle w:val="ListBullet"/>
        <w:spacing w:after="30"/>
      </w:pPr>
      <w:r>
        <w:rPr>
          <w:rFonts w:ascii="Noto Serif CJK SC" w:hAnsi="Noto Serif CJK SC" w:eastAsia="Noto Serif CJK SC"/>
        </w:rPr>
        <w:t>skill obsolescence faster than course updating;</w:t>
      </w:r>
    </w:p>
    <w:p>
      <w:pPr>
        <w:pStyle w:val="ListBullet"/>
        <w:spacing w:after="30"/>
      </w:pPr>
      <w:r>
        <w:rPr>
          <w:rFonts w:ascii="Noto Serif CJK SC" w:hAnsi="Noto Serif CJK SC" w:eastAsia="Noto Serif CJK SC"/>
        </w:rPr>
        <w:t>training economics that depend mainly on recruiting the next cohort.</w:t>
      </w:r>
    </w:p>
    <w:p>
      <w:r>
        <w:rPr>
          <w:rFonts w:ascii="Noto Serif CJK SC" w:hAnsi="Noto Serif CJK SC" w:eastAsia="Noto Serif CJK SC"/>
        </w:rPr>
        <w:t>The principle is:</w:t>
      </w:r>
    </w:p>
    <w:p>
      <w:pPr>
        <w:pStyle w:val="Quote"/>
        <w:shd w:fill="FFF2CC"/>
      </w:pPr>
      <w:r>
        <w:rPr>
          <w:rFonts w:ascii="Noto Serif CJK SC" w:hAnsi="Noto Serif CJK SC" w:eastAsia="Noto Serif CJK SC"/>
        </w:rPr>
        <w:t>Sell the opportunity truth before selling the skill.</w:t>
      </w:r>
    </w:p>
    <w:p>
      <w:pPr>
        <w:spacing w:before="60" w:after="60"/>
        <w:pBdr>
          <w:bottom w:val="single" w:sz="4" w:space="1" w:color="9AA7B4"/>
        </w:pBdr>
      </w:pPr>
    </w:p>
    <w:p>
      <w:pPr>
        <w:pStyle w:val="Heading1"/>
        <w:keepNext w:val="1"/>
      </w:pPr>
      <w:r>
        <w:rPr>
          <w:rFonts w:ascii="Noto Serif CJK SC" w:hAnsi="Noto Serif CJK SC" w:eastAsia="Noto Serif CJK SC"/>
        </w:rPr>
        <w:t>9. Transparent contribution without total surveillance</w:t>
      </w:r>
    </w:p>
    <w:p>
      <w:r>
        <w:rPr>
          <w:rFonts w:ascii="Noto Serif CJK SC" w:hAnsi="Noto Serif CJK SC" w:eastAsia="Noto Serif CJK SC"/>
        </w:rPr>
        <w:t>A result may include D collection, D-to-I structuring, I-to-K validation, K-to-W judgment, W-to-P action, and P-to-D reality verification. ClearPath can create a transparent allocation proposal using evidence quality, scarcity, responsibility, verified outcome share, and risk burden.</w:t>
      </w:r>
    </w:p>
    <w:p>
      <w:r>
        <w:rPr>
          <w:rFonts w:ascii="Noto Serif CJK SC" w:hAnsi="Noto Serif CJK SC" w:eastAsia="Noto Serif CJK SC"/>
        </w:rPr>
        <w:t>The reference score is:</w:t>
      </w:r>
    </w:p>
    <w:p>
      <w:pPr>
        <w:pStyle w:val="FormulaBlock"/>
        <w:keepLines/>
        <w:shd w:fill="EEF4F8"/>
      </w:pPr>
      <w:r>
        <w:rPr>
          <w:rFonts w:ascii="DejaVu Sans Mono" w:hAnsi="DejaVu Sans Mono" w:eastAsia="DejaVu Sans Mono"/>
          <w:color w:val="17324D"/>
          <w:sz w:val="18"/>
        </w:rPr>
        <w:t>Score_i=0.30O_i+0.24E_i+0.20R_i+0.16S_i+0.10B_i</w:t>
      </w:r>
    </w:p>
    <w:p>
      <w:r>
        <w:rPr>
          <w:rFonts w:ascii="Noto Serif CJK SC" w:hAnsi="Noto Serif CJK SC" w:eastAsia="Noto Serif CJK SC"/>
        </w:rPr>
        <w:t>Platform fees are capped at 12%, while commons and correction reserves are separated. The reference engine never transfers money.</w:t>
      </w:r>
    </w:p>
    <w:p>
      <w:r>
        <w:rPr>
          <w:rFonts w:ascii="Noto Serif CJK SC" w:hAnsi="Noto Serif CJK SC" w:eastAsia="Noto Serif CJK SC"/>
        </w:rPr>
        <w:t>Transparent contribution must not become a totalizing worker-surveillance system. It must preserve collective labour standards, unquantified care, privacy, appeals, team outcomes, and protection against permanent individualized ranking. OECD analysis of skills-first systems warns that better skill signalling can coexist with new bias, obsolescence, weakened protections, and over-individualized wage setting. ClearPath treats these as design constraints.</w:t>
      </w:r>
    </w:p>
    <w:p>
      <w:pPr>
        <w:spacing w:before="60" w:after="60"/>
        <w:pBdr>
          <w:bottom w:val="single" w:sz="4" w:space="1" w:color="9AA7B4"/>
        </w:pBdr>
      </w:pPr>
    </w:p>
    <w:p>
      <w:pPr>
        <w:pStyle w:val="Heading1"/>
        <w:keepNext w:val="1"/>
      </w:pPr>
      <w:r>
        <w:rPr>
          <w:rFonts w:ascii="Noto Serif CJK SC" w:hAnsi="Noto Serif CJK SC" w:eastAsia="Noto Serif CJK SC"/>
        </w:rPr>
        <w:t>10. Architecture and deployment</w:t>
      </w:r>
    </w:p>
    <w:p>
      <w:r>
        <w:rPr>
          <w:rFonts w:ascii="Noto Serif CJK SC" w:hAnsi="Noto Serif CJK SC" w:eastAsia="Noto Serif CJK SC"/>
        </w:rPr>
        <w:t>The release includes:</w:t>
      </w:r>
    </w:p>
    <w:p>
      <w:pPr>
        <w:pStyle w:val="ListBullet"/>
        <w:spacing w:after="30"/>
      </w:pPr>
      <w:r>
        <w:rPr>
          <w:rFonts w:ascii="Noto Serif CJK SC" w:hAnsi="Noto Serif CJK SC" w:eastAsia="Noto Serif CJK SC"/>
        </w:rPr>
        <w:t>a bilingual standalone HTML application;</w:t>
      </w:r>
    </w:p>
    <w:p>
      <w:pPr>
        <w:pStyle w:val="ListBullet"/>
        <w:spacing w:after="30"/>
      </w:pPr>
      <w:r>
        <w:rPr>
          <w:rFonts w:ascii="Noto Serif CJK SC" w:hAnsi="Noto Serif CJK SC" w:eastAsia="Noto Serif CJK SC"/>
        </w:rPr>
        <w:t>Python CLI and zero-dependency core;</w:t>
      </w:r>
    </w:p>
    <w:p>
      <w:pPr>
        <w:pStyle w:val="ListBullet"/>
        <w:spacing w:after="30"/>
      </w:pPr>
      <w:r>
        <w:rPr>
          <w:rFonts w:ascii="Noto Serif CJK SC" w:hAnsi="Noto Serif CJK SC" w:eastAsia="Noto Serif CJK SC"/>
        </w:rPr>
        <w:t>single-route and multi-route portfolio analysis;</w:t>
      </w:r>
    </w:p>
    <w:p>
      <w:pPr>
        <w:pStyle w:val="ListBullet"/>
        <w:spacing w:after="30"/>
      </w:pPr>
      <w:r>
        <w:rPr>
          <w:rFonts w:ascii="Noto Serif CJK SC" w:hAnsi="Noto Serif CJK SC" w:eastAsia="Noto Serif CJK SC"/>
        </w:rPr>
        <w:t>training integrity and contribution modules;</w:t>
      </w:r>
    </w:p>
    <w:p>
      <w:pPr>
        <w:pStyle w:val="ListBullet"/>
        <w:spacing w:after="30"/>
      </w:pPr>
      <w:r>
        <w:rPr>
          <w:rFonts w:ascii="Noto Serif CJK SC" w:hAnsi="Noto Serif CJK SC" w:eastAsia="Noto Serif CJK SC"/>
        </w:rPr>
        <w:t>privacy-minimized capability cards;</w:t>
      </w:r>
    </w:p>
    <w:p>
      <w:pPr>
        <w:pStyle w:val="ListBullet"/>
        <w:spacing w:after="30"/>
      </w:pPr>
      <w:r>
        <w:rPr>
          <w:rFonts w:ascii="Noto Serif CJK SC" w:hAnsi="Noto Serif CJK SC" w:eastAsia="Noto Serif CJK SC"/>
        </w:rPr>
        <w:t>append-only responsibility ledger;</w:t>
      </w:r>
    </w:p>
    <w:p>
      <w:pPr>
        <w:pStyle w:val="ListBullet"/>
        <w:spacing w:after="30"/>
      </w:pPr>
      <w:r>
        <w:rPr>
          <w:rFonts w:ascii="Noto Serif CJK SC" w:hAnsi="Noto Serif CJK SC" w:eastAsia="Noto Serif CJK SC"/>
        </w:rPr>
        <w:t>loopback JSON API;</w:t>
      </w:r>
    </w:p>
    <w:p>
      <w:pPr>
        <w:pStyle w:val="ListBullet"/>
        <w:spacing w:after="30"/>
      </w:pPr>
      <w:r>
        <w:rPr>
          <w:rFonts w:ascii="Noto Serif CJK SC" w:hAnsi="Noto Serif CJK SC" w:eastAsia="Noto Serif CJK SC"/>
        </w:rPr>
        <w:t>stateless MCP tools;</w:t>
      </w:r>
    </w:p>
    <w:p>
      <w:pPr>
        <w:pStyle w:val="ListBullet"/>
        <w:spacing w:after="30"/>
      </w:pPr>
      <w:r>
        <w:rPr>
          <w:rFonts w:ascii="Noto Serif CJK SC" w:hAnsi="Noto Serif CJK SC" w:eastAsia="Noto Serif CJK SC"/>
        </w:rPr>
        <w:t>A2A and OpenAPI reference records;</w:t>
      </w:r>
    </w:p>
    <w:p>
      <w:pPr>
        <w:pStyle w:val="ListBullet"/>
        <w:spacing w:after="30"/>
      </w:pPr>
      <w:r>
        <w:rPr>
          <w:rFonts w:ascii="Noto Serif CJK SC" w:hAnsi="Noto Serif CJK SC" w:eastAsia="Noto Serif CJK SC"/>
        </w:rPr>
        <w:t>JSON Schemas;</w:t>
      </w:r>
    </w:p>
    <w:p>
      <w:pPr>
        <w:pStyle w:val="ListBullet"/>
        <w:spacing w:after="30"/>
      </w:pPr>
      <w:r>
        <w:rPr>
          <w:rFonts w:ascii="Noto Serif CJK SC" w:hAnsi="Noto Serif CJK SC" w:eastAsia="Noto Serif CJK SC"/>
        </w:rPr>
        <w:t>TOEP-1000 draft specification;</w:t>
      </w:r>
    </w:p>
    <w:p>
      <w:pPr>
        <w:pStyle w:val="ListBullet"/>
        <w:spacing w:after="30"/>
      </w:pPr>
      <w:r>
        <w:rPr>
          <w:rFonts w:ascii="Noto Serif CJK SC" w:hAnsi="Noto Serif CJK SC" w:eastAsia="Noto Serif CJK SC"/>
        </w:rPr>
        <w:t>bounded state exploration and static audit;</w:t>
      </w:r>
    </w:p>
    <w:p>
      <w:pPr>
        <w:pStyle w:val="ListBullet"/>
        <w:spacing w:after="30"/>
      </w:pPr>
      <w:r>
        <w:rPr>
          <w:rFonts w:ascii="Noto Serif CJK SC" w:hAnsi="Noto Serif CJK SC" w:eastAsia="Noto Serif CJK SC"/>
        </w:rPr>
        <w:t>source, Wheel, PYZ, source ZIP, and Git bundle distributions.</w:t>
      </w:r>
    </w:p>
    <w:p>
      <w:r>
        <w:rPr>
          <w:rFonts w:ascii="Noto Serif CJK SC" w:hAnsi="Noto Serif CJK SC" w:eastAsia="Noto Serif CJK SC"/>
        </w:rPr>
        <w:t>Hard boundaries:</w:t>
      </w:r>
    </w:p>
    <w:p>
      <w:pPr>
        <w:pStyle w:val="CodeBlock"/>
        <w:keepLines/>
        <w:shd w:fill="F3F5F7"/>
      </w:pPr>
      <w:r>
        <w:rPr>
          <w:rFonts w:ascii="DejaVu Sans Mono" w:hAnsi="DejaVu Sans Mono" w:eastAsia="DejaVu Sans Mono"/>
          <w:color w:val="192230"/>
          <w:sz w:val="16"/>
        </w:rPr>
        <w:t>automatic_external_action_authority = 0</w:t>
        <w:br/>
        <w:t>automatic_employment_decision_authority = 0</w:t>
        <w:br/>
        <w:t>automatic_payment_authority = 0</w:t>
        <w:br/>
        <w:t>person_level_worth_score = null</w:t>
      </w:r>
    </w:p>
    <w:p>
      <w:r>
        <w:rPr>
          <w:rFonts w:ascii="Noto Serif CJK SC" w:hAnsi="Noto Serif CJK SC" w:eastAsia="Noto Serif CJK SC"/>
        </w:rPr>
        <w:t>Deployment modes include individual guidance, training-integrity review, local economic-development registries, enterprise task markets, and aggregate public opportunity observatories. No deployment should create a permanent population capability registry.</w:t>
      </w:r>
    </w:p>
    <w:p>
      <w:pPr>
        <w:spacing w:before="60" w:after="60"/>
        <w:pBdr>
          <w:bottom w:val="single" w:sz="4" w:space="1" w:color="9AA7B4"/>
        </w:pBdr>
      </w:pPr>
    </w:p>
    <w:p>
      <w:pPr>
        <w:pStyle w:val="Heading1"/>
        <w:keepNext w:val="1"/>
      </w:pPr>
      <w:r>
        <w:rPr>
          <w:rFonts w:ascii="Noto Serif CJK SC" w:hAnsi="Noto Serif CJK SC" w:eastAsia="Noto Serif CJK SC"/>
        </w:rPr>
        <w:t>11. Open-core commercialization</w:t>
      </w:r>
    </w:p>
    <w:p>
      <w:r>
        <w:rPr>
          <w:rFonts w:ascii="Noto Serif CJK SC" w:hAnsi="Noto Serif CJK SC" w:eastAsia="Noto Serif CJK SC"/>
        </w:rPr>
        <w:t>The Apache-2.0 core retains all essential decision logic, export, schemas, and correction semantics. Commercial value can be built around trusted operation:</w:t>
      </w:r>
    </w:p>
    <w:p>
      <w:pPr>
        <w:pStyle w:val="ListBullet"/>
        <w:spacing w:after="30"/>
      </w:pPr>
      <w:r>
        <w:rPr>
          <w:rFonts w:ascii="Noto Serif CJK SC" w:hAnsi="Noto Serif CJK SC" w:eastAsia="Noto Serif CJK SC"/>
        </w:rPr>
        <w:t>independent funded-demand verification;</w:t>
      </w:r>
    </w:p>
    <w:p>
      <w:pPr>
        <w:pStyle w:val="ListBullet"/>
        <w:spacing w:after="30"/>
      </w:pPr>
      <w:r>
        <w:rPr>
          <w:rFonts w:ascii="Noto Serif CJK SC" w:hAnsi="Noto Serif CJK SC" w:eastAsia="Noto Serif CJK SC"/>
        </w:rPr>
        <w:t>employer, school, association, and public-service connectors;</w:t>
      </w:r>
    </w:p>
    <w:p>
      <w:pPr>
        <w:pStyle w:val="ListBullet"/>
        <w:spacing w:after="30"/>
      </w:pPr>
      <w:r>
        <w:rPr>
          <w:rFonts w:ascii="Noto Serif CJK SC" w:hAnsi="Noto Serif CJK SC" w:eastAsia="Noto Serif CJK SC"/>
        </w:rPr>
        <w:t>signed and expiring opportunity records;</w:t>
      </w:r>
    </w:p>
    <w:p>
      <w:pPr>
        <w:pStyle w:val="ListBullet"/>
        <w:spacing w:after="30"/>
      </w:pPr>
      <w:r>
        <w:rPr>
          <w:rFonts w:ascii="Noto Serif CJK SC" w:hAnsi="Noto Serif CJK SC" w:eastAsia="Noto Serif CJK SC"/>
        </w:rPr>
        <w:t>sector-specific DIKWP task libraries;</w:t>
      </w:r>
    </w:p>
    <w:p>
      <w:pPr>
        <w:pStyle w:val="ListBullet"/>
        <w:spacing w:after="30"/>
      </w:pPr>
      <w:r>
        <w:rPr>
          <w:rFonts w:ascii="Noto Serif CJK SC" w:hAnsi="Noto Serif CJK SC" w:eastAsia="Noto Serif CJK SC"/>
        </w:rPr>
        <w:t>multilingual and low-connectivity deployment;</w:t>
      </w:r>
    </w:p>
    <w:p>
      <w:pPr>
        <w:pStyle w:val="ListBullet"/>
        <w:spacing w:after="30"/>
      </w:pPr>
      <w:r>
        <w:rPr>
          <w:rFonts w:ascii="Noto Serif CJK SC" w:hAnsi="Noto Serif CJK SC" w:eastAsia="Noto Serif CJK SC"/>
        </w:rPr>
        <w:t>independent appeals and correction propagation;</w:t>
      </w:r>
    </w:p>
    <w:p>
      <w:pPr>
        <w:pStyle w:val="ListBullet"/>
        <w:spacing w:after="30"/>
      </w:pPr>
      <w:r>
        <w:rPr>
          <w:rFonts w:ascii="Noto Serif CJK SC" w:hAnsi="Noto Serif CJK SC" w:eastAsia="Noto Serif CJK SC"/>
        </w:rPr>
        <w:t>outcome evaluation and audit;</w:t>
      </w:r>
    </w:p>
    <w:p>
      <w:pPr>
        <w:pStyle w:val="ListBullet"/>
        <w:spacing w:after="30"/>
      </w:pPr>
      <w:r>
        <w:rPr>
          <w:rFonts w:ascii="Noto Serif CJK SC" w:hAnsi="Noto Serif CJK SC" w:eastAsia="Noto Serif CJK SC"/>
        </w:rPr>
        <w:t>organizational opportunity portfolio management.</w:t>
      </w:r>
    </w:p>
    <w:p>
      <w:r>
        <w:rPr>
          <w:rFonts w:ascii="Noto Serif CJK SC" w:hAnsi="Noto Serif CJK SC" w:eastAsia="Noto Serif CJK SC"/>
        </w:rPr>
        <w:t>A credible first paid pilot is not “predict the perfect career.” It is:</w:t>
      </w:r>
    </w:p>
    <w:p>
      <w:pPr>
        <w:pStyle w:val="Quote"/>
        <w:shd w:fill="FFF2CC"/>
      </w:pPr>
      <w:r>
        <w:rPr>
          <w:rFonts w:ascii="Noto Serif CJK SC" w:hAnsi="Noto Serif CJK SC" w:eastAsia="Noto Serif CJK SC"/>
        </w:rPr>
        <w:t>Verify the denominators behind 50-200 transition or training routes, close unsupported paths, identify 3-10 funded experiments, and establish a quarterly update and correction process.</w:t>
      </w:r>
    </w:p>
    <w:p>
      <w:r>
        <w:rPr>
          <w:rFonts w:ascii="Noto Serif CJK SC" w:hAnsi="Noto Serif CJK SC" w:eastAsia="Noto Serif CJK SC"/>
        </w:rPr>
        <w:t>The commercial proposition should be falsified if institutions will not pay for denominator verification, if decisions do not change, or if ordinary participants do not avoid waste or obtain paid experiments.</w:t>
      </w:r>
    </w:p>
    <w:p>
      <w:pPr>
        <w:spacing w:before="60" w:after="60"/>
        <w:pBdr>
          <w:bottom w:val="single" w:sz="4" w:space="1" w:color="9AA7B4"/>
        </w:pBdr>
      </w:pPr>
    </w:p>
    <w:p>
      <w:pPr>
        <w:pStyle w:val="Heading1"/>
        <w:keepNext w:val="1"/>
      </w:pPr>
      <w:r>
        <w:rPr>
          <w:rFonts w:ascii="Noto Serif CJK SC" w:hAnsi="Noto Serif CJK SC" w:eastAsia="Noto Serif CJK SC"/>
        </w:rPr>
        <w:t>12. TOEP-1000</w:t>
      </w:r>
    </w:p>
    <w:p>
      <w:r>
        <w:rPr>
          <w:rFonts w:ascii="Noto Serif CJK SC" w:hAnsi="Noto Serif CJK SC" w:eastAsia="Noto Serif CJK SC"/>
        </w:rPr>
        <w:t>The Transparent Opportunity Economy Protocol standardizes:</w:t>
      </w:r>
    </w:p>
    <w:p>
      <w:pPr>
        <w:pStyle w:val="CodeBlock"/>
        <w:keepLines/>
        <w:shd w:fill="F3F5F7"/>
      </w:pPr>
      <w:r>
        <w:rPr>
          <w:rFonts w:ascii="DejaVu Sans Mono" w:hAnsi="DejaVu Sans Mono" w:eastAsia="DejaVu Sans Mono"/>
          <w:color w:val="192230"/>
          <w:sz w:val="16"/>
        </w:rPr>
        <w:t>funded demand</w:t>
        <w:br/>
        <w:t>supply denominator</w:t>
        <w:br/>
        <w:t>DIKWP transformations</w:t>
        <w:br/>
        <w:t>evidence stage</w:t>
        <w:br/>
        <w:t>entry cost</w:t>
        <w:br/>
        <w:t>first-mover capture</w:t>
        <w:br/>
        <w:t>plural-world risk</w:t>
        <w:br/>
        <w:t>experiment conditions</w:t>
        <w:br/>
        <w:t>reality receipts</w:t>
        <w:br/>
        <w:t>closure and reopening</w:t>
        <w:br/>
        <w:t>contribution allocation</w:t>
        <w:br/>
        <w:t>appeal and correction</w:t>
      </w:r>
    </w:p>
    <w:p>
      <w:r>
        <w:rPr>
          <w:rFonts w:ascii="Noto Serif CJK SC" w:hAnsi="Noto Serif CJK SC" w:eastAsia="Noto Serif CJK SC"/>
        </w:rPr>
        <w:t>Conformance levels:</w:t>
      </w:r>
    </w:p>
    <w:p>
      <w:pPr>
        <w:pStyle w:val="ListBullet"/>
        <w:spacing w:after="30"/>
      </w:pPr>
      <w:r>
        <w:rPr>
          <w:rFonts w:ascii="Noto Serif CJK SC" w:hAnsi="Noto Serif CJK SC" w:eastAsia="Noto Serif CJK SC"/>
        </w:rPr>
        <w:t>L0 - route identity, buyer, purpose, timestamp;</w:t>
      </w:r>
    </w:p>
    <w:p>
      <w:pPr>
        <w:pStyle w:val="ListBullet"/>
        <w:spacing w:after="30"/>
      </w:pPr>
      <w:r>
        <w:rPr>
          <w:rFonts w:ascii="Noto Serif CJK SC" w:hAnsi="Noto Serif CJK SC" w:eastAsia="Noto Serif CJK SC"/>
        </w:rPr>
        <w:t>L1 - capacity, supply, price, cost, and evidence;</w:t>
      </w:r>
    </w:p>
    <w:p>
      <w:pPr>
        <w:pStyle w:val="ListBullet"/>
        <w:spacing w:after="30"/>
      </w:pPr>
      <w:r>
        <w:rPr>
          <w:rFonts w:ascii="Noto Serif CJK SC" w:hAnsi="Noto Serif CJK SC" w:eastAsia="Noto Serif CJK SC"/>
        </w:rPr>
        <w:t>L2 - DIKWP requirements, personal evidence, and privacy minimization;</w:t>
      </w:r>
    </w:p>
    <w:p>
      <w:pPr>
        <w:pStyle w:val="ListBullet"/>
        <w:spacing w:after="30"/>
      </w:pPr>
      <w:r>
        <w:rPr>
          <w:rFonts w:ascii="Noto Serif CJK SC" w:hAnsi="Noto Serif CJK SC" w:eastAsia="Noto Serif CJK SC"/>
        </w:rPr>
        <w:t>L3 - plural worlds, decisions, closure, and reopening;</w:t>
      </w:r>
    </w:p>
    <w:p>
      <w:pPr>
        <w:pStyle w:val="ListBullet"/>
        <w:spacing w:after="30"/>
      </w:pPr>
      <w:r>
        <w:rPr>
          <w:rFonts w:ascii="Noto Serif CJK SC" w:hAnsi="Noto Serif CJK SC" w:eastAsia="Noto Serif CJK SC"/>
        </w:rPr>
        <w:t>L4 - training integrity, contribution, and reality receipts;</w:t>
      </w:r>
    </w:p>
    <w:p>
      <w:pPr>
        <w:pStyle w:val="ListBullet"/>
        <w:spacing w:after="30"/>
      </w:pPr>
      <w:r>
        <w:rPr>
          <w:rFonts w:ascii="Noto Serif CJK SC" w:hAnsi="Noto Serif CJK SC" w:eastAsia="Noto Serif CJK SC"/>
        </w:rPr>
        <w:t>L5 - signatures, revocation, cross-institution correction, and independent audit.</w:t>
      </w:r>
    </w:p>
    <w:p>
      <w:pPr>
        <w:spacing w:before="60" w:after="60"/>
        <w:pBdr>
          <w:bottom w:val="single" w:sz="4" w:space="1" w:color="9AA7B4"/>
        </w:pBdr>
      </w:pPr>
    </w:p>
    <w:p>
      <w:pPr>
        <w:pStyle w:val="Heading1"/>
        <w:keepNext w:val="1"/>
      </w:pPr>
      <w:r>
        <w:rPr>
          <w:rFonts w:ascii="Noto Serif CJK SC" w:hAnsi="Noto Serif CJK SC" w:eastAsia="Noto Serif CJK SC"/>
        </w:rPr>
        <w:t>13. Reality boundary</w:t>
      </w:r>
    </w:p>
    <w:p>
      <w:r>
        <w:rPr>
          <w:rFonts w:ascii="Noto Serif CJK SC" w:hAnsi="Noto Serif CJK SC" w:eastAsia="Noto Serif CJK SC"/>
        </w:rPr>
        <w:t xml:space="preserve">ClearPath is a research alpha. It cannot establish that an input market estimate is true, that all routes have been found, that </w:t>
      </w:r>
      <w:r>
        <w:rPr>
          <w:rFonts w:ascii="DejaVu Sans Mono" w:hAnsi="DejaVu Sans Mono" w:eastAsia="DejaVu Sans Mono"/>
          <w:sz w:val="18"/>
        </w:rPr>
        <w:t>GO_​NOW</w:t>
      </w:r>
      <w:r>
        <w:rPr>
          <w:rFonts w:ascii="Noto Serif CJK SC" w:hAnsi="Noto Serif CJK SC" w:eastAsia="Noto Serif CJK SC"/>
        </w:rPr>
        <w:t xml:space="preserve"> will make money, that a closed route will stay closed, or that DIKWP fully captures a human being. It is not an employment decision system, labour-market forecast, legal opinion, financial recommendation, or certification.</w:t>
      </w:r>
    </w:p>
    <w:p>
      <w:r>
        <w:rPr>
          <w:rFonts w:ascii="Noto Serif CJK SC" w:hAnsi="Noto Serif CJK SC" w:eastAsia="Noto Serif CJK SC"/>
        </w:rPr>
        <w:t>The most dangerous misuse would be turning route analysis into a secret hiring score, social credit, automated wage setting, or a justification for excluding disadvantaged people from a route using incomplete data.</w:t>
      </w:r>
    </w:p>
    <w:p>
      <w:r>
        <w:rPr>
          <w:rFonts w:ascii="Noto Serif CJK SC" w:hAnsi="Noto Serif CJK SC" w:eastAsia="Noto Serif CJK SC"/>
        </w:rPr>
        <w:t>Every consequential deployment requires sources, timestamps, scope, a named human authority, appeal, correction, expiry, and model retirement.</w:t>
      </w:r>
    </w:p>
    <w:p>
      <w:pPr>
        <w:spacing w:before="60" w:after="60"/>
        <w:pBdr>
          <w:bottom w:val="single" w:sz="4" w:space="1" w:color="9AA7B4"/>
        </w:pBdr>
      </w:pPr>
    </w:p>
    <w:p>
      <w:pPr>
        <w:pStyle w:val="Heading1"/>
        <w:keepNext w:val="1"/>
      </w:pPr>
      <w:r>
        <w:rPr>
          <w:rFonts w:ascii="Noto Serif CJK SC" w:hAnsi="Noto Serif CJK SC" w:eastAsia="Noto Serif CJK SC"/>
        </w:rPr>
        <w:t>Conclusion</w:t>
      </w:r>
    </w:p>
    <w:p>
      <w:r>
        <w:rPr>
          <w:rFonts w:ascii="Noto Serif CJK SC" w:hAnsi="Noto Serif CJK SC" w:eastAsia="Noto Serif CJK SC"/>
        </w:rPr>
        <w:t>The combined source argument is not “everyone should stop programming” or “everyone who learns agents will succeed.” It is:</w:t>
      </w:r>
    </w:p>
    <w:p>
      <w:pPr>
        <w:pStyle w:val="FormulaBlock"/>
        <w:keepLines/>
        <w:shd w:fill="EEF4F8"/>
      </w:pPr>
      <w:r>
        <w:rPr>
          <w:rFonts w:ascii="DejaVu Sans Mono" w:hAnsi="DejaVu Sans Mono" w:eastAsia="DejaVu Sans Mono"/>
          <w:color w:val="17324D"/>
          <w:sz w:val="18"/>
        </w:rPr>
        <w:t>Generic execution becomes abundant → Funded opportunity, context, trust, responsibility, and distribution become scarce</w:t>
      </w:r>
    </w:p>
    <w:p>
      <w:r>
        <w:rPr>
          <w:rFonts w:ascii="Noto Serif CJK SC" w:hAnsi="Noto Serif CJK SC" w:eastAsia="Noto Serif CJK SC"/>
        </w:rPr>
        <w:t>The old economy often publishes the numerator: successful cases, salaries, tool capability, and early-entrant returns. A Transparent Opportunity Economy publishes the denominator: all entrants, remaining paid capacity, qualified supply, budgets, failures, opportunity lifetime, and automation speed.</w:t>
      </w:r>
    </w:p>
    <w:p>
      <w:r>
        <w:rPr>
          <w:rFonts w:ascii="Noto Serif CJK SC" w:hAnsi="Noto Serif CJK SC" w:eastAsia="Noto Serif CJK SC"/>
        </w:rPr>
        <w:t>A responsible system must be able to say both:</w:t>
      </w:r>
    </w:p>
    <w:p>
      <w:pPr>
        <w:pStyle w:val="Quote"/>
        <w:shd w:fill="FFF2CC"/>
      </w:pPr>
      <w:r>
        <w:rPr>
          <w:rFonts w:ascii="Noto Serif CJK SC" w:hAnsi="Noto Serif CJK SC" w:eastAsia="Noto Serif CJK SC"/>
        </w:rPr>
        <w:t>A small, paid, reversible route exists here.</w:t>
      </w:r>
    </w:p>
    <w:p>
      <w:r>
        <w:rPr>
          <w:rFonts w:ascii="Noto Serif CJK SC" w:hAnsi="Noto Serif CJK SC" w:eastAsia="Noto Serif CJK SC"/>
        </w:rPr>
        <w:t>and:</w:t>
      </w:r>
    </w:p>
    <w:p>
      <w:pPr>
        <w:pStyle w:val="Quote"/>
        <w:shd w:fill="FFF2CC"/>
      </w:pPr>
      <w:r>
        <w:rPr>
          <w:rFonts w:ascii="Noto Serif CJK SC" w:hAnsi="Noto Serif CJK SC" w:eastAsia="Noto Serif CJK SC"/>
        </w:rPr>
        <w:t>This route currently lacks enough evidence; stop spending and search elsewhere.</w:t>
      </w:r>
    </w:p>
    <w:p>
      <w:r>
        <w:rPr>
          <w:rFonts w:ascii="Noto Serif CJK SC" w:hAnsi="Noto Serif CJK SC" w:eastAsia="Noto Serif CJK SC"/>
        </w:rPr>
        <w:t>DIKWP's deeper contribution is not reducing people to measurable capability. It is creating an accountable exchange language for whose Purpose is served, which transformations are required, what funded demand exists, who carries consequences, how outcomes are verified, and how errors are corrected.</w:t>
      </w:r>
    </w:p>
    <w:p>
      <w:pPr>
        <w:spacing w:before="60" w:after="60"/>
        <w:pBdr>
          <w:bottom w:val="single" w:sz="4" w:space="1" w:color="9AA7B4"/>
        </w:pBdr>
      </w:pPr>
    </w:p>
    <w:p>
      <w:pPr>
        <w:pStyle w:val="Heading1"/>
        <w:keepNext w:val="1"/>
      </w:pPr>
      <w:r>
        <w:rPr>
          <w:rFonts w:ascii="Noto Serif CJK SC" w:hAnsi="Noto Serif CJK SC" w:eastAsia="Noto Serif CJK SC"/>
        </w:rPr>
        <w:t>References</w:t>
      </w:r>
    </w:p>
    <w:p>
      <w:pPr>
        <w:spacing w:after="30"/>
        <w:ind w:left="312" w:hanging="238"/>
      </w:pPr>
      <w:r>
        <w:rPr>
          <w:rFonts w:ascii="Noto Serif CJK SC" w:hAnsi="Noto Serif CJK SC" w:eastAsia="Noto Serif CJK SC"/>
        </w:rPr>
        <w:t xml:space="preserve">1. User-provided source, </w:t>
      </w:r>
      <w:r>
        <w:rPr>
          <w:rFonts w:ascii="Noto Serif CJK SC" w:hAnsi="Noto Serif CJK SC" w:eastAsia="Noto Serif CJK SC"/>
          <w:i/>
        </w:rPr>
        <w:t>GPT-6, “Demolishing” the App Wall</w:t>
      </w:r>
      <w:r>
        <w:rPr>
          <w:rFonts w:ascii="Noto Serif CJK SC" w:hAnsi="Noto Serif CJK SC" w:eastAsia="Noto Serif CJK SC"/>
        </w:rPr>
        <w:t>, 2026. Structural source only; reported model details require independent verification.</w:t>
      </w:r>
    </w:p>
    <w:p>
      <w:pPr>
        <w:spacing w:after="30"/>
        <w:ind w:left="312" w:hanging="238"/>
      </w:pPr>
      <w:r>
        <w:rPr>
          <w:rFonts w:ascii="Noto Serif CJK SC" w:hAnsi="Noto Serif CJK SC" w:eastAsia="Noto Serif CJK SC"/>
        </w:rPr>
        <w:t xml:space="preserve">2. Fan Kai, </w:t>
      </w:r>
      <w:r>
        <w:rPr>
          <w:rFonts w:ascii="Noto Serif CJK SC" w:hAnsi="Noto Serif CJK SC" w:eastAsia="Noto Serif CJK SC"/>
          <w:i/>
        </w:rPr>
        <w:t>Stop Learning AI Coding: It Is a Dead End</w:t>
      </w:r>
      <w:r>
        <w:rPr>
          <w:rFonts w:ascii="Noto Serif CJK SC" w:hAnsi="Noto Serif CJK SC" w:eastAsia="Noto Serif CJK SC"/>
        </w:rPr>
        <w:t>, 25 May 2026. Accessible written companion to the linked video; several quantitative claims are treated as author assertions.</w:t>
      </w:r>
    </w:p>
    <w:p>
      <w:pPr>
        <w:spacing w:after="30"/>
        <w:ind w:left="312" w:hanging="238"/>
      </w:pPr>
      <w:r>
        <w:rPr>
          <w:rFonts w:ascii="Noto Serif CJK SC" w:hAnsi="Noto Serif CJK SC" w:eastAsia="Noto Serif CJK SC"/>
        </w:rPr>
        <w:t xml:space="preserve">3. GitHub, </w:t>
      </w:r>
      <w:r>
        <w:rPr>
          <w:rFonts w:ascii="Noto Serif CJK SC" w:hAnsi="Noto Serif CJK SC" w:eastAsia="Noto Serif CJK SC"/>
          <w:i/>
        </w:rPr>
        <w:t>Octoverse 2025</w:t>
      </w:r>
      <w:r>
        <w:rPr>
          <w:rFonts w:ascii="Noto Serif CJK SC" w:hAnsi="Noto Serif CJK SC" w:eastAsia="Noto Serif CJK SC"/>
        </w:rPr>
        <w:t>, updated 28 February 2026.</w:t>
      </w:r>
    </w:p>
    <w:p>
      <w:pPr>
        <w:spacing w:after="30"/>
        <w:ind w:left="312" w:hanging="238"/>
      </w:pPr>
      <w:r>
        <w:rPr>
          <w:rFonts w:ascii="Noto Serif CJK SC" w:hAnsi="Noto Serif CJK SC" w:eastAsia="Noto Serif CJK SC"/>
        </w:rPr>
        <w:t xml:space="preserve">4. U.S. Bureau of Labor Statistics, </w:t>
      </w:r>
      <w:r>
        <w:rPr>
          <w:rFonts w:ascii="Noto Serif CJK SC" w:hAnsi="Noto Serif CJK SC" w:eastAsia="Noto Serif CJK SC"/>
          <w:i/>
        </w:rPr>
        <w:t>Software Developers, Quality Assurance Analysts, and Testers</w:t>
      </w:r>
      <w:r>
        <w:rPr>
          <w:rFonts w:ascii="Noto Serif CJK SC" w:hAnsi="Noto Serif CJK SC" w:eastAsia="Noto Serif CJK SC"/>
        </w:rPr>
        <w:t>, 2025-2035 outlook.</w:t>
      </w:r>
    </w:p>
    <w:p>
      <w:pPr>
        <w:spacing w:after="30"/>
        <w:ind w:left="312" w:hanging="238"/>
      </w:pPr>
      <w:r>
        <w:rPr>
          <w:rFonts w:ascii="Noto Serif CJK SC" w:hAnsi="Noto Serif CJK SC" w:eastAsia="Noto Serif CJK SC"/>
        </w:rPr>
        <w:t xml:space="preserve">5. World Economic Forum, </w:t>
      </w:r>
      <w:r>
        <w:rPr>
          <w:rFonts w:ascii="Noto Serif CJK SC" w:hAnsi="Noto Serif CJK SC" w:eastAsia="Noto Serif CJK SC"/>
          <w:i/>
        </w:rPr>
        <w:t>Future of Jobs Report 2025</w:t>
      </w:r>
      <w:r>
        <w:rPr>
          <w:rFonts w:ascii="Noto Serif CJK SC" w:hAnsi="Noto Serif CJK SC" w:eastAsia="Noto Serif CJK SC"/>
        </w:rPr>
        <w:t>.</w:t>
      </w:r>
    </w:p>
    <w:p>
      <w:pPr>
        <w:spacing w:after="30"/>
        <w:ind w:left="312" w:hanging="238"/>
      </w:pPr>
      <w:r>
        <w:rPr>
          <w:rFonts w:ascii="Noto Serif CJK SC" w:hAnsi="Noto Serif CJK SC" w:eastAsia="Noto Serif CJK SC"/>
        </w:rPr>
        <w:t xml:space="preserve">6. International Labour Organization, </w:t>
      </w:r>
      <w:r>
        <w:rPr>
          <w:rFonts w:ascii="Noto Serif CJK SC" w:hAnsi="Noto Serif CJK SC" w:eastAsia="Noto Serif CJK SC"/>
          <w:i/>
        </w:rPr>
        <w:t>Generative AI and Jobs: A Refined Global Index of Occupational Exposure</w:t>
      </w:r>
      <w:r>
        <w:rPr>
          <w:rFonts w:ascii="Noto Serif CJK SC" w:hAnsi="Noto Serif CJK SC" w:eastAsia="Noto Serif CJK SC"/>
        </w:rPr>
        <w:t>, 2025.</w:t>
      </w:r>
    </w:p>
    <w:p>
      <w:pPr>
        <w:spacing w:after="30"/>
        <w:ind w:left="312" w:hanging="238"/>
      </w:pPr>
      <w:r>
        <w:rPr>
          <w:rFonts w:ascii="Noto Serif CJK SC" w:hAnsi="Noto Serif CJK SC" w:eastAsia="Noto Serif CJK SC"/>
        </w:rPr>
        <w:t xml:space="preserve">7. OECD, </w:t>
      </w:r>
      <w:r>
        <w:rPr>
          <w:rFonts w:ascii="Noto Serif CJK SC" w:hAnsi="Noto Serif CJK SC" w:eastAsia="Noto Serif CJK SC"/>
          <w:i/>
        </w:rPr>
        <w:t>A Skills-First Labour Market</w:t>
      </w:r>
      <w:r>
        <w:rPr>
          <w:rFonts w:ascii="Noto Serif CJK SC" w:hAnsi="Noto Serif CJK SC" w:eastAsia="Noto Serif CJK SC"/>
        </w:rPr>
        <w:t>, 2026.</w:t>
      </w:r>
    </w:p>
    <w:p>
      <w:pPr>
        <w:spacing w:after="30"/>
        <w:ind w:left="312" w:hanging="238"/>
      </w:pPr>
      <w:r>
        <w:rPr>
          <w:rFonts w:ascii="Noto Serif CJK SC" w:hAnsi="Noto Serif CJK SC" w:eastAsia="Noto Serif CJK SC"/>
        </w:rPr>
        <w:t xml:space="preserve">8. OECD, </w:t>
      </w:r>
      <w:r>
        <w:rPr>
          <w:rFonts w:ascii="Noto Serif CJK SC" w:hAnsi="Noto Serif CJK SC" w:eastAsia="Noto Serif CJK SC"/>
          <w:i/>
        </w:rPr>
        <w:t>Skills in the AI Age</w:t>
      </w:r>
      <w:r>
        <w:rPr>
          <w:rFonts w:ascii="Noto Serif CJK SC" w:hAnsi="Noto Serif CJK SC" w:eastAsia="Noto Serif CJK SC"/>
        </w:rPr>
        <w:t>, 2026.</w:t>
      </w:r>
    </w:p>
    <w:sectPr w:rsidR="00FC693F" w:rsidRPr="0006063C" w:rsidSect="00034616">
      <w:headerReference w:type="default" r:id="rId9"/>
      <w:footerReference w:type="default" r:id="rId10"/>
      <w:pgSz w:w="11906" w:h="16838"/>
      <w:pgMar w:top="1077" w:right="1162" w:bottom="1020" w:left="116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E6C7C"/>
        <w:sz w:val="16"/>
      </w:rPr>
      <w:t xml:space="preserve">ClearPath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5E6C7C"/>
        <w:sz w:val="16"/>
      </w:rPr>
      <w:t>DIKWP ClearPath Transparent Opportunity Economy OS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erif CJK SC" w:hAnsi="Noto Serif CJK SC" w:eastAsia="Noto Serif CJK SC"/>
      <w:b w:val="0"/>
      <w:color w:val="192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CJK SC" w:hAnsi="Noto Sans CJK SC" w:eastAsia="Noto Sans CJK SC"/>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SC" w:hAnsi="Noto Sans CJK SC" w:eastAsia="Noto Sans CJK SC"/>
      <w:b/>
      <w:bCs/>
      <w:color w:val="27587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CJK SC" w:hAnsi="Noto Sans CJK SC" w:eastAsia="Noto Sans CJK SC"/>
      <w:b/>
      <w:bCs/>
      <w:color w:val="3C52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3C52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00"/>
      <w:ind w:left="397" w:right="397"/>
    </w:pPr>
    <w:rPr>
      <w:rFonts w:ascii="Noto Serif CJK SC" w:hAnsi="Noto Serif CJK SC" w:eastAsia="Noto Serif CJK SC"/>
      <w:b w:val="0"/>
      <w:i/>
      <w:iCs/>
      <w:color w:val="3C5269"/>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Noto Sans CJK SC" w:hAnsi="Noto Sans CJK SC" w:eastAsia="Noto Sans CJK SC"/>
      <w:b w:val="0"/>
      <w:bCs/>
      <w:color w:val="5E6C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 Block"/>
    <w:pPr>
      <w:spacing w:before="100" w:after="120"/>
      <w:ind w:left="397" w:right="397"/>
      <w:jc w:val="center"/>
    </w:pPr>
    <w:rPr>
      <w:rFonts w:ascii="DejaVu Sans Mono" w:hAnsi="DejaVu Sans Mono" w:eastAsia="Noto Sans CJK SC"/>
      <w:color w:val="17324D"/>
      <w:sz w:val="18"/>
    </w:rPr>
  </w:style>
  <w:style w:type="paragraph" w:customStyle="1" w:styleId="CodeBlock">
    <w:name w:val="Code Block"/>
    <w:pPr>
      <w:spacing w:before="80" w:after="100" w:line="240" w:lineRule="auto"/>
      <w:ind w:left="312" w:right="312"/>
    </w:pPr>
    <w:rPr>
      <w:rFonts w:ascii="DejaVu Sans Mono" w:hAnsi="DejaVu Sans Mono" w:eastAsia="Noto Sans CJK SC"/>
      <w:color w:val="19223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Transparent Opportunity Economy</dc:title>
  <dc:subject>Routes, Saturation, and DIKWP Contribution after Model-Native Software</dc:subject>
  <dc:creator>DIKWP Research Programme</dc:creator>
  <cp:keywords>DIKWP, transparent opportunity economy, AI, capability, labour market, TOEP</cp:keywords>
  <dc:description>Open-source research reference implementation.</dc:description>
  <cp:lastModifiedBy/>
  <cp:revision>1</cp:revision>
  <dcterms:created xsi:type="dcterms:W3CDTF">2013-12-23T23:15:00Z</dcterms:created>
  <dcterms:modified xsi:type="dcterms:W3CDTF">2013-12-23T23:15:00Z</dcterms:modified>
  <cp:category/>
</cp:coreProperties>
</file>