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6B50"/>
          <w:sz w:val="40"/>
        </w:rPr>
        <w:t>DIKWP</w:t>
      </w:r>
    </w:p>
    <w:p/>
    <w:p/>
    <w:p/>
    <w:p>
      <w:pPr>
        <w:jc w:val="center"/>
      </w:pPr>
      <w:r>
        <w:rPr>
          <w:b/>
          <w:color w:val="10281F"/>
          <w:sz w:val="60"/>
        </w:rPr>
        <w:t>主动认知免疫与现实修复系统</w:t>
      </w:r>
    </w:p>
    <w:p>
      <w:pPr>
        <w:jc w:val="center"/>
      </w:pPr>
      <w:r>
        <w:rPr>
          <w:color w:val="607069"/>
          <w:sz w:val="32"/>
        </w:rPr>
        <w:t>QINGYUAN 27.0：面向数字空间与现实生活的操纵、成瘾、伪知识和关系伤害治理报告</w:t>
      </w:r>
    </w:p>
    <w:p/>
    <w:tbl>
      <w:tblPr>
        <w:tblStyle w:val="TableGrid"/>
        <w:tblW w:type="auto" w:w="0"/>
        <w:jc w:val="center"/>
        <w:tblLook w:firstColumn="1" w:firstRow="1" w:lastColumn="0" w:lastRow="0" w:noHBand="0" w:noVBand="1" w:val="04A0"/>
      </w:tblPr>
      <w:tblGrid>
        <w:gridCol w:w="5100"/>
        <w:gridCol w:w="5100"/>
      </w:tblGrid>
      <w:tr>
        <w:tc>
          <w:tcPr>
            <w:tcW w:type="dxa" w:w="5100"/>
            <w:shd w:fill="E9F4EE"/>
            <w:vAlign w:val="center"/>
          </w:tcPr>
          <w:p>
            <w:r/>
            <w:r>
              <w:rPr>
                <w:b/>
                <w:color w:val="10281F"/>
                <w:sz w:val="20"/>
              </w:rPr>
              <w:t>System</w:t>
            </w:r>
          </w:p>
        </w:tc>
        <w:tc>
          <w:tcPr>
            <w:tcW w:type="dxa" w:w="5100"/>
            <w:vAlign w:val="center"/>
          </w:tcPr>
          <w:p>
            <w:r/>
            <w:r>
              <w:rPr>
                <w:b w:val="0"/>
                <w:sz w:val="20"/>
              </w:rPr>
              <w:t>QINGYUAN 27.0.0</w:t>
            </w:r>
          </w:p>
        </w:tc>
      </w:tr>
      <w:tr>
        <w:tc>
          <w:tcPr>
            <w:tcW w:type="dxa" w:w="5100"/>
            <w:shd w:fill="E9F4EE"/>
            <w:vAlign w:val="center"/>
          </w:tcPr>
          <w:p>
            <w:r/>
            <w:r>
              <w:rPr>
                <w:b/>
                <w:color w:val="10281F"/>
                <w:sz w:val="20"/>
              </w:rPr>
              <w:t>Mode</w:t>
            </w:r>
          </w:p>
        </w:tc>
        <w:tc>
          <w:tcPr>
            <w:tcW w:type="dxa" w:w="5100"/>
            <w:vAlign w:val="center"/>
          </w:tcPr>
          <w:p>
            <w:r/>
            <w:r>
              <w:rPr>
                <w:b w:val="0"/>
                <w:sz w:val="20"/>
              </w:rPr>
              <w:t>Evidence · Context · Manipulation · Addiction · Vulnerability · Relation · Repair</w:t>
            </w:r>
          </w:p>
        </w:tc>
      </w:tr>
      <w:tr>
        <w:tc>
          <w:tcPr>
            <w:tcW w:type="dxa" w:w="5100"/>
            <w:shd w:fill="E9F4EE"/>
            <w:vAlign w:val="center"/>
          </w:tcPr>
          <w:p>
            <w:r/>
            <w:r>
              <w:rPr>
                <w:b/>
                <w:color w:val="10281F"/>
                <w:sz w:val="20"/>
              </w:rPr>
              <w:t>Author</w:t>
            </w:r>
          </w:p>
        </w:tc>
        <w:tc>
          <w:tcPr>
            <w:tcW w:type="dxa" w:w="5100"/>
            <w:vAlign w:val="center"/>
          </w:tcPr>
          <w:p>
            <w:r/>
            <w:r>
              <w:rPr>
                <w:b w:val="0"/>
                <w:sz w:val="20"/>
              </w:rPr>
              <w:t>Yucong Duan / 段玉聪</w:t>
            </w:r>
          </w:p>
        </w:tc>
      </w:tr>
      <w:tr>
        <w:tc>
          <w:tcPr>
            <w:tcW w:type="dxa" w:w="5100"/>
            <w:shd w:fill="E9F4EE"/>
            <w:vAlign w:val="center"/>
          </w:tcPr>
          <w:p>
            <w:r/>
            <w:r>
              <w:rPr>
                <w:b/>
                <w:color w:val="10281F"/>
                <w:sz w:val="20"/>
              </w:rPr>
              <w:t>Status</w:t>
            </w:r>
          </w:p>
        </w:tc>
        <w:tc>
          <w:tcPr>
            <w:tcW w:type="dxa" w:w="5100"/>
            <w:vAlign w:val="center"/>
          </w:tcPr>
          <w:p>
            <w:r/>
            <w:r>
              <w:rPr>
                <w:b w:val="0"/>
                <w:sz w:val="20"/>
              </w:rPr>
              <w:t>Open-source Alpha reference implementation and protocol candidate</w:t>
            </w:r>
          </w:p>
        </w:tc>
      </w:tr>
    </w:tbl>
    <w:p/>
    <w:p>
      <w:pPr>
        <w:jc w:val="center"/>
      </w:pPr>
      <w:r>
        <w:rPr>
          <w:i/>
          <w:sz w:val="26"/>
        </w:rPr>
        <w:t>“不清除负面情绪，清除利用情绪获利的操纵机制。”</w:t>
      </w:r>
    </w:p>
    <w:p/>
    <w:p>
      <w:pPr>
        <w:jc w:val="center"/>
      </w:pPr>
      <w:r>
        <w:rPr>
          <w:sz w:val="20"/>
        </w:rPr>
        <w:t>6 September 2026</w:t>
      </w:r>
    </w:p>
    <w:p>
      <w:r>
        <w:br w:type="page"/>
      </w:r>
    </w:p>
    <w:p>
      <w:pPr>
        <w:pStyle w:val="Heading1"/>
      </w:pPr>
      <w:r>
        <w:t>执行摘要</w:t>
      </w:r>
    </w:p>
    <w:p>
      <w:pPr>
        <w:keepLines w:val="0"/>
      </w:pPr>
      <w:r>
        <w:t>“清除负能量”如果停留在情绪色彩和立场标签上，最终很容易变成压制坏消息、举报、批评、悲伤和弱者求助。QINGYUAN 27.0的第一项颠覆，是拒绝把“令人不舒服”与“有害”画等号。系统治理的不是人的情绪和观点，而是可以观察、验证、纠正的内容机制与放大机制。</w:t>
      </w:r>
    </w:p>
    <w:p>
      <w:pPr>
        <w:keepLines w:val="0"/>
      </w:pPr>
      <w:r>
        <w:t>系统把模糊的负能量拆成十个独立维度：证据完整、语境完整、操纵压力、成瘾压力、利益不透明、脆弱性利用、关系外部性、伪知识风险、可纠正性和已观察伤害。它同时维护多个解释世界，避免仅凭语气或单一关键词推断一个人的真实意图。</w:t>
      </w:r>
    </w:p>
    <w:p>
      <w:pPr>
        <w:keepLines w:val="0"/>
      </w:pPr>
      <w:r>
        <w:t>系统的主动性落在三类行动：第一，对操纵、成瘾和隐蔽商业转换增加即时摩擦并降低放大；第二，对片面内容自动补全遗漏主体、条件、例外和负担；第三，对已产生的现实伤害建立更正触达、申诉、退出、返还和机制修复回执。个人客户端、浏览器选择防护扩展、Python内核和开放协议均可离线运行。</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0281F"/>
            <w:vAlign w:val="center"/>
          </w:tcPr>
          <w:p>
            <w:r/>
            <w:r>
              <w:rPr>
                <w:b/>
                <w:color w:val="FFFFFF"/>
                <w:sz w:val="18"/>
              </w:rPr>
              <w:t>对象</w:t>
            </w:r>
          </w:p>
        </w:tc>
        <w:tc>
          <w:tcPr>
            <w:tcW w:type="dxa" w:w="5100"/>
            <w:shd w:fill="10281F"/>
            <w:vAlign w:val="center"/>
          </w:tcPr>
          <w:p>
            <w:r/>
            <w:r>
              <w:rPr>
                <w:b/>
                <w:color w:val="FFFFFF"/>
                <w:sz w:val="18"/>
              </w:rPr>
              <w:t>系统处理</w:t>
            </w:r>
          </w:p>
        </w:tc>
      </w:tr>
      <w:tr>
        <w:tc>
          <w:tcPr>
            <w:tcW w:type="dxa" w:w="5100"/>
            <w:vAlign w:val="center"/>
          </w:tcPr>
          <w:p>
            <w:r/>
            <w:r>
              <w:rPr>
                <w:b w:val="0"/>
                <w:sz w:val="17"/>
              </w:rPr>
              <w:t>真实坏消息、批评、举报、悲伤与求助</w:t>
            </w:r>
          </w:p>
        </w:tc>
        <w:tc>
          <w:tcPr>
            <w:tcW w:type="dxa" w:w="5100"/>
            <w:vAlign w:val="center"/>
          </w:tcPr>
          <w:p>
            <w:r/>
            <w:r>
              <w:rPr>
                <w:b w:val="0"/>
                <w:sz w:val="17"/>
              </w:rPr>
              <w:t>保护表达、保留来源、提供支持入口</w:t>
            </w:r>
          </w:p>
        </w:tc>
      </w:tr>
      <w:tr>
        <w:tc>
          <w:tcPr>
            <w:tcW w:type="dxa" w:w="5100"/>
            <w:shd w:fill="F4F7F5"/>
            <w:vAlign w:val="center"/>
          </w:tcPr>
          <w:p>
            <w:r/>
            <w:r>
              <w:rPr>
                <w:b w:val="0"/>
                <w:sz w:val="17"/>
              </w:rPr>
              <w:t>语境截断与片面忠告</w:t>
            </w:r>
          </w:p>
        </w:tc>
        <w:tc>
          <w:tcPr>
            <w:tcW w:type="dxa" w:w="5100"/>
            <w:shd w:fill="F4F7F5"/>
            <w:vAlign w:val="center"/>
          </w:tcPr>
          <w:p>
            <w:r/>
            <w:r>
              <w:rPr>
                <w:b w:val="0"/>
                <w:sz w:val="17"/>
              </w:rPr>
              <w:t>自动生成语境补全卡</w:t>
            </w:r>
          </w:p>
        </w:tc>
      </w:tr>
      <w:tr>
        <w:tc>
          <w:tcPr>
            <w:tcW w:type="dxa" w:w="5100"/>
            <w:vAlign w:val="center"/>
          </w:tcPr>
          <w:p>
            <w:r/>
            <w:r>
              <w:rPr>
                <w:b w:val="0"/>
                <w:sz w:val="17"/>
              </w:rPr>
              <w:t>操纵、身份压力与紧迫感</w:t>
            </w:r>
          </w:p>
        </w:tc>
        <w:tc>
          <w:tcPr>
            <w:tcW w:type="dxa" w:w="5100"/>
            <w:vAlign w:val="center"/>
          </w:tcPr>
          <w:p>
            <w:r/>
            <w:r>
              <w:rPr>
                <w:b w:val="0"/>
                <w:sz w:val="17"/>
              </w:rPr>
              <w:t>分享前摩擦、冷却和降放大</w:t>
            </w:r>
          </w:p>
        </w:tc>
      </w:tr>
      <w:tr>
        <w:tc>
          <w:tcPr>
            <w:tcW w:type="dxa" w:w="5100"/>
            <w:shd w:fill="F4F7F5"/>
            <w:vAlign w:val="center"/>
          </w:tcPr>
          <w:p>
            <w:r/>
            <w:r>
              <w:rPr>
                <w:b w:val="0"/>
                <w:sz w:val="17"/>
              </w:rPr>
              <w:t>无限滚动、自动播放与随机奖励</w:t>
            </w:r>
          </w:p>
        </w:tc>
        <w:tc>
          <w:tcPr>
            <w:tcW w:type="dxa" w:w="5100"/>
            <w:shd w:fill="F4F7F5"/>
            <w:vAlign w:val="center"/>
          </w:tcPr>
          <w:p>
            <w:r/>
            <w:r>
              <w:rPr>
                <w:b w:val="0"/>
                <w:sz w:val="17"/>
              </w:rPr>
              <w:t>用户可控的成瘾断路器</w:t>
            </w:r>
          </w:p>
        </w:tc>
      </w:tr>
      <w:tr>
        <w:tc>
          <w:tcPr>
            <w:tcW w:type="dxa" w:w="5100"/>
            <w:vAlign w:val="center"/>
          </w:tcPr>
          <w:p>
            <w:r/>
            <w:r>
              <w:rPr>
                <w:b w:val="0"/>
                <w:sz w:val="17"/>
              </w:rPr>
              <w:t>伪知识售卖</w:t>
            </w:r>
          </w:p>
        </w:tc>
        <w:tc>
          <w:tcPr>
            <w:tcW w:type="dxa" w:w="5100"/>
            <w:vAlign w:val="center"/>
          </w:tcPr>
          <w:p>
            <w:r/>
            <w:r>
              <w:rPr>
                <w:b w:val="0"/>
                <w:sz w:val="17"/>
              </w:rPr>
              <w:t>披露、证据与退款硬门</w:t>
            </w:r>
          </w:p>
        </w:tc>
      </w:tr>
      <w:tr>
        <w:tc>
          <w:tcPr>
            <w:tcW w:type="dxa" w:w="5100"/>
            <w:shd w:fill="F4F7F5"/>
            <w:vAlign w:val="center"/>
          </w:tcPr>
          <w:p>
            <w:r/>
            <w:r>
              <w:rPr>
                <w:b w:val="0"/>
                <w:sz w:val="17"/>
              </w:rPr>
              <w:t>可验证现实伤害</w:t>
            </w:r>
          </w:p>
        </w:tc>
        <w:tc>
          <w:tcPr>
            <w:tcW w:type="dxa" w:w="5100"/>
            <w:shd w:fill="F4F7F5"/>
            <w:vAlign w:val="center"/>
          </w:tcPr>
          <w:p>
            <w:r/>
            <w:r>
              <w:rPr>
                <w:b w:val="0"/>
                <w:sz w:val="17"/>
              </w:rPr>
              <w:t>正当程序、更正触达与修复回执</w:t>
            </w:r>
          </w:p>
        </w:tc>
      </w:tr>
    </w:tbl>
    <w:p>
      <w:r>
        <w:br w:type="page"/>
      </w:r>
    </w:p>
    <w:p>
      <w:pPr>
        <w:pStyle w:val="Heading1"/>
      </w:pPr>
      <w:r>
        <w:t>一、为什么传统“正能量治理”会失败</w:t>
      </w:r>
    </w:p>
    <w:p>
      <w:pPr>
        <w:keepLines w:val="0"/>
      </w:pPr>
      <w:r>
        <w:t>传统方案往往以情绪词、立场一致性或用户投诉量为主要信号。这样做会出现两个方向相反、后果同样严重的错误：一方面，操纵性励志、伪科学和成瘾机制被包装为个人选择；另一方面，事故通报、痛苦陈述和制度批评被当成“负能量”压制。</w:t>
      </w:r>
    </w:p>
    <w:p>
      <w:pPr>
        <w:keepLines w:val="0"/>
      </w:pPr>
      <w:r>
        <w:t>真正危险的内容经常看起来非常积极：它承诺快速逆袭、绝对疗愈、财富自由、完美婚姻或认知觉醒，并把复杂问题压缩成一句口号，再用身份羞辱和时间紧迫把人导向购买。真正具有公共价值的内容则可能非常悲观，因为它在揭示污染、事故、暴力、失业、疾病或制度失败。</w:t>
      </w:r>
    </w:p>
    <w:p>
      <w:pPr>
        <w:keepLines w:val="0"/>
      </w:pPr>
      <w:r>
        <w:t>QINGYUAN因此采用机制优先原则：评价主张是否可核验、语境是否完整、利益是否披露、界面是否设计为上瘾、脆弱主体是否被定向利用、关系负担是否被单边转移，以及错误是否能够被纠正。</w:t>
      </w:r>
    </w:p>
    <w:p>
      <w:pPr>
        <w:pStyle w:val="ListBullet"/>
      </w:pPr>
      <w:r>
        <w:t>负面情绪不是有害机制。</w:t>
      </w:r>
    </w:p>
    <w:p>
      <w:pPr>
        <w:pStyle w:val="ListBullet"/>
      </w:pPr>
      <w:r>
        <w:t>积极措辞不是公共价值证明。</w:t>
      </w:r>
    </w:p>
    <w:p>
      <w:pPr>
        <w:pStyle w:val="ListBullet"/>
      </w:pPr>
      <w:r>
        <w:t>高转发量不是真实性证明。</w:t>
      </w:r>
    </w:p>
    <w:p>
      <w:pPr>
        <w:pStyle w:val="ListBullet"/>
      </w:pPr>
      <w:r>
        <w:t>用户点击同意不等于在充分知情和无压力下授权。</w:t>
      </w:r>
    </w:p>
    <w:p>
      <w:pPr>
        <w:pStyle w:val="ListBullet"/>
      </w:pPr>
      <w:r>
        <w:t>一次正确结果不能证明长期没有外部性。</w:t>
      </w:r>
    </w:p>
    <w:p>
      <w:r>
        <w:br w:type="page"/>
      </w:r>
    </w:p>
    <w:p>
      <w:pPr>
        <w:pStyle w:val="Heading1"/>
      </w:pPr>
      <w:r>
        <w:t>二、威胁分类与保护边界</w:t>
      </w:r>
    </w:p>
    <w:p>
      <w:pPr>
        <w:keepLines w:val="0"/>
      </w:pPr>
      <w:r>
        <w:t>系统区分十类风险：虚假事实、难验证的确定性、语境截断、情绪操纵、成瘾架构、脆弱群体定向诱导、伪知识商业化、关系零和漂移、协同放大和已经观察到的现实伤害。每一类风险都有不同的证据、干预和申诉要求。</w:t>
      </w:r>
    </w:p>
    <w:p>
      <w:pPr>
        <w:keepLines w:val="0"/>
      </w:pPr>
      <w:r>
        <w:t>受保护表达包括批评、举报、科学反例、事实性坏消息、受害者陈述、悲伤、痛苦和求助。保护并不意味着威胁、骚扰、伪证和泄露私人身份可以免责；它意味着系统必须处理具体行为，而不是因为观点不受欢迎就惩罚表达者。</w:t>
      </w:r>
    </w:p>
    <w:p>
      <w:pPr>
        <w:keepLines w:val="0"/>
      </w:pPr>
      <w:r>
        <w:t>系统不用“低认知人群”作为永久人格标签，而使用更可验证、更可改变的状态描述：信息不对称、认知负荷高、长期照护压力、疾病、负债、失业、丧亲、资源稀缺或社会隔离。</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0281F"/>
            <w:vAlign w:val="center"/>
          </w:tcPr>
          <w:p>
            <w:r/>
            <w:r>
              <w:rPr>
                <w:b/>
                <w:color w:val="FFFFFF"/>
                <w:sz w:val="18"/>
              </w:rPr>
              <w:t>风险</w:t>
            </w:r>
          </w:p>
        </w:tc>
        <w:tc>
          <w:tcPr>
            <w:tcW w:type="dxa" w:w="3400"/>
            <w:shd w:fill="10281F"/>
            <w:vAlign w:val="center"/>
          </w:tcPr>
          <w:p>
            <w:r/>
            <w:r>
              <w:rPr>
                <w:b/>
                <w:color w:val="FFFFFF"/>
                <w:sz w:val="18"/>
              </w:rPr>
              <w:t>可观察信号</w:t>
            </w:r>
          </w:p>
        </w:tc>
        <w:tc>
          <w:tcPr>
            <w:tcW w:type="dxa" w:w="3400"/>
            <w:shd w:fill="10281F"/>
            <w:vAlign w:val="center"/>
          </w:tcPr>
          <w:p>
            <w:r/>
            <w:r>
              <w:rPr>
                <w:b/>
                <w:color w:val="FFFFFF"/>
                <w:sz w:val="18"/>
              </w:rPr>
              <w:t>优先干预</w:t>
            </w:r>
          </w:p>
        </w:tc>
      </w:tr>
      <w:tr>
        <w:tc>
          <w:tcPr>
            <w:tcW w:type="dxa" w:w="3400"/>
            <w:vAlign w:val="center"/>
          </w:tcPr>
          <w:p>
            <w:r/>
            <w:r>
              <w:rPr>
                <w:b w:val="0"/>
                <w:sz w:val="17"/>
              </w:rPr>
              <w:t>虚假或难验证确定性</w:t>
            </w:r>
          </w:p>
        </w:tc>
        <w:tc>
          <w:tcPr>
            <w:tcW w:type="dxa" w:w="3400"/>
            <w:vAlign w:val="center"/>
          </w:tcPr>
          <w:p>
            <w:r/>
            <w:r>
              <w:rPr>
                <w:b w:val="0"/>
                <w:sz w:val="17"/>
              </w:rPr>
              <w:t>绝对断言、无来源、无反证条件</w:t>
            </w:r>
          </w:p>
        </w:tc>
        <w:tc>
          <w:tcPr>
            <w:tcW w:type="dxa" w:w="3400"/>
            <w:vAlign w:val="center"/>
          </w:tcPr>
          <w:p>
            <w:r/>
            <w:r>
              <w:rPr>
                <w:b w:val="0"/>
                <w:sz w:val="17"/>
              </w:rPr>
              <w:t>证据标记与核验</w:t>
            </w:r>
          </w:p>
        </w:tc>
      </w:tr>
      <w:tr>
        <w:tc>
          <w:tcPr>
            <w:tcW w:type="dxa" w:w="3400"/>
            <w:shd w:fill="F4F7F5"/>
            <w:vAlign w:val="center"/>
          </w:tcPr>
          <w:p>
            <w:r/>
            <w:r>
              <w:rPr>
                <w:b w:val="0"/>
                <w:sz w:val="17"/>
              </w:rPr>
              <w:t>语境截断</w:t>
            </w:r>
          </w:p>
        </w:tc>
        <w:tc>
          <w:tcPr>
            <w:tcW w:type="dxa" w:w="3400"/>
            <w:shd w:fill="F4F7F5"/>
            <w:vAlign w:val="center"/>
          </w:tcPr>
          <w:p>
            <w:r/>
            <w:r>
              <w:rPr>
                <w:b w:val="0"/>
                <w:sz w:val="17"/>
              </w:rPr>
              <w:t>遗漏主体、条件、例外和代价</w:t>
            </w:r>
          </w:p>
        </w:tc>
        <w:tc>
          <w:tcPr>
            <w:tcW w:type="dxa" w:w="3400"/>
            <w:shd w:fill="F4F7F5"/>
            <w:vAlign w:val="center"/>
          </w:tcPr>
          <w:p>
            <w:r/>
            <w:r>
              <w:rPr>
                <w:b w:val="0"/>
                <w:sz w:val="17"/>
              </w:rPr>
              <w:t>补全语境</w:t>
            </w:r>
          </w:p>
        </w:tc>
      </w:tr>
      <w:tr>
        <w:tc>
          <w:tcPr>
            <w:tcW w:type="dxa" w:w="3400"/>
            <w:vAlign w:val="center"/>
          </w:tcPr>
          <w:p>
            <w:r/>
            <w:r>
              <w:rPr>
                <w:b w:val="0"/>
                <w:sz w:val="17"/>
              </w:rPr>
              <w:t>操纵</w:t>
            </w:r>
          </w:p>
        </w:tc>
        <w:tc>
          <w:tcPr>
            <w:tcW w:type="dxa" w:w="3400"/>
            <w:vAlign w:val="center"/>
          </w:tcPr>
          <w:p>
            <w:r/>
            <w:r>
              <w:rPr>
                <w:b w:val="0"/>
                <w:sz w:val="17"/>
              </w:rPr>
              <w:t>羞耻、恐惧、身份证明、紧迫感</w:t>
            </w:r>
          </w:p>
        </w:tc>
        <w:tc>
          <w:tcPr>
            <w:tcW w:type="dxa" w:w="3400"/>
            <w:vAlign w:val="center"/>
          </w:tcPr>
          <w:p>
            <w:r/>
            <w:r>
              <w:rPr>
                <w:b w:val="0"/>
                <w:sz w:val="17"/>
              </w:rPr>
              <w:t>冷却和分享摩擦</w:t>
            </w:r>
          </w:p>
        </w:tc>
      </w:tr>
      <w:tr>
        <w:tc>
          <w:tcPr>
            <w:tcW w:type="dxa" w:w="3400"/>
            <w:shd w:fill="F4F7F5"/>
            <w:vAlign w:val="center"/>
          </w:tcPr>
          <w:p>
            <w:r/>
            <w:r>
              <w:rPr>
                <w:b w:val="0"/>
                <w:sz w:val="17"/>
              </w:rPr>
              <w:t>成瘾</w:t>
            </w:r>
          </w:p>
        </w:tc>
        <w:tc>
          <w:tcPr>
            <w:tcW w:type="dxa" w:w="3400"/>
            <w:shd w:fill="F4F7F5"/>
            <w:vAlign w:val="center"/>
          </w:tcPr>
          <w:p>
            <w:r/>
            <w:r>
              <w:rPr>
                <w:b w:val="0"/>
                <w:sz w:val="17"/>
              </w:rPr>
              <w:t>无限滚动、自动播放、打卡、随机奖励</w:t>
            </w:r>
          </w:p>
        </w:tc>
        <w:tc>
          <w:tcPr>
            <w:tcW w:type="dxa" w:w="3400"/>
            <w:shd w:fill="F4F7F5"/>
            <w:vAlign w:val="center"/>
          </w:tcPr>
          <w:p>
            <w:r/>
            <w:r>
              <w:rPr>
                <w:b w:val="0"/>
                <w:sz w:val="17"/>
              </w:rPr>
              <w:t>中断回路</w:t>
            </w:r>
          </w:p>
        </w:tc>
      </w:tr>
      <w:tr>
        <w:tc>
          <w:tcPr>
            <w:tcW w:type="dxa" w:w="3400"/>
            <w:vAlign w:val="center"/>
          </w:tcPr>
          <w:p>
            <w:r/>
            <w:r>
              <w:rPr>
                <w:b w:val="0"/>
                <w:sz w:val="17"/>
              </w:rPr>
              <w:t>伪知识售卖</w:t>
            </w:r>
          </w:p>
        </w:tc>
        <w:tc>
          <w:tcPr>
            <w:tcW w:type="dxa" w:w="3400"/>
            <w:vAlign w:val="center"/>
          </w:tcPr>
          <w:p>
            <w:r/>
            <w:r>
              <w:rPr>
                <w:b w:val="0"/>
                <w:sz w:val="17"/>
              </w:rPr>
              <w:t>见证替代证据、隐蔽升级销售</w:t>
            </w:r>
          </w:p>
        </w:tc>
        <w:tc>
          <w:tcPr>
            <w:tcW w:type="dxa" w:w="3400"/>
            <w:vAlign w:val="center"/>
          </w:tcPr>
          <w:p>
            <w:r/>
            <w:r>
              <w:rPr>
                <w:b w:val="0"/>
                <w:sz w:val="17"/>
              </w:rPr>
              <w:t>购买暂停和披露</w:t>
            </w:r>
          </w:p>
        </w:tc>
      </w:tr>
      <w:tr>
        <w:tc>
          <w:tcPr>
            <w:tcW w:type="dxa" w:w="3400"/>
            <w:shd w:fill="F4F7F5"/>
            <w:vAlign w:val="center"/>
          </w:tcPr>
          <w:p>
            <w:r/>
            <w:r>
              <w:rPr>
                <w:b w:val="0"/>
                <w:sz w:val="17"/>
              </w:rPr>
              <w:t>关系外部性</w:t>
            </w:r>
          </w:p>
        </w:tc>
        <w:tc>
          <w:tcPr>
            <w:tcW w:type="dxa" w:w="3400"/>
            <w:shd w:fill="F4F7F5"/>
            <w:vAlign w:val="center"/>
          </w:tcPr>
          <w:p>
            <w:r/>
            <w:r>
              <w:rPr>
                <w:b w:val="0"/>
                <w:sz w:val="17"/>
              </w:rPr>
              <w:t>把照护、婚姻或性别变成零和战争</w:t>
            </w:r>
          </w:p>
        </w:tc>
        <w:tc>
          <w:tcPr>
            <w:tcW w:type="dxa" w:w="3400"/>
            <w:shd w:fill="F4F7F5"/>
            <w:vAlign w:val="center"/>
          </w:tcPr>
          <w:p>
            <w:r/>
            <w:r>
              <w:rPr>
                <w:b w:val="0"/>
                <w:sz w:val="17"/>
              </w:rPr>
              <w:t>负担地图与可逆试行</w:t>
            </w:r>
          </w:p>
        </w:tc>
      </w:tr>
    </w:tbl>
    <w:p>
      <w:r>
        <w:br w:type="page"/>
      </w:r>
    </w:p>
    <w:p>
      <w:pPr>
        <w:pStyle w:val="Heading1"/>
      </w:pPr>
      <w:r>
        <w:t>三、十维非补偿诊断模型</w:t>
      </w:r>
    </w:p>
    <w:p>
      <w:pPr>
        <w:keepLines w:val="0"/>
      </w:pPr>
      <w:r>
        <w:t>对内容或界面事件x，系统保留向量Q(x)=(E,C,M,A,I,V,R,K,Qc,H)。E、C和Qc分别表示证据完整、语境完整和可纠正性；M、A、I、V、R、K和H分别表示操纵、成瘾、利益不透明、脆弱性利用、关系外部性、伪知识和已观察伤害。</w:t>
      </w:r>
    </w:p>
    <w:p>
      <w:pPr>
        <w:keepLines w:val="0"/>
      </w:pPr>
      <w:r>
        <w:t>系统不把十个维度压缩为一个拥有最终权力的善恶分。原因是不同风险不能互相抵消：高事实准确性不能抵消成瘾式分发；良好动机不能抵消无同意的数据利用；高平均收益不能抵消对孩子、患者或照护者的严重尾部伤害。</w:t>
      </w:r>
    </w:p>
    <w:p>
      <w:pPr>
        <w:keepLines w:val="0"/>
      </w:pPr>
      <w:r>
        <w:t>干预首先经过硬门：必须在授权范围内、可逆、有停止条件、有纠错通道、不得按政治观点处罚、不得建立人的总价值排名。通过硬门后，系统才比较干预强度和成本。</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0281F"/>
            <w:vAlign w:val="center"/>
          </w:tcPr>
          <w:p>
            <w:r/>
            <w:r>
              <w:rPr>
                <w:b/>
                <w:color w:val="FFFFFF"/>
                <w:sz w:val="18"/>
              </w:rPr>
              <w:t>维度</w:t>
            </w:r>
          </w:p>
        </w:tc>
        <w:tc>
          <w:tcPr>
            <w:tcW w:type="dxa" w:w="3400"/>
            <w:shd w:fill="10281F"/>
            <w:vAlign w:val="center"/>
          </w:tcPr>
          <w:p>
            <w:r/>
            <w:r>
              <w:rPr>
                <w:b/>
                <w:color w:val="FFFFFF"/>
                <w:sz w:val="18"/>
              </w:rPr>
              <w:t>方向</w:t>
            </w:r>
          </w:p>
        </w:tc>
        <w:tc>
          <w:tcPr>
            <w:tcW w:type="dxa" w:w="3400"/>
            <w:shd w:fill="10281F"/>
            <w:vAlign w:val="center"/>
          </w:tcPr>
          <w:p>
            <w:r/>
            <w:r>
              <w:rPr>
                <w:b/>
                <w:color w:val="FFFFFF"/>
                <w:sz w:val="18"/>
              </w:rPr>
              <w:t>问题</w:t>
            </w:r>
          </w:p>
        </w:tc>
      </w:tr>
      <w:tr>
        <w:tc>
          <w:tcPr>
            <w:tcW w:type="dxa" w:w="3400"/>
            <w:vAlign w:val="center"/>
          </w:tcPr>
          <w:p>
            <w:r/>
            <w:r>
              <w:rPr>
                <w:b w:val="0"/>
                <w:sz w:val="17"/>
              </w:rPr>
              <w:t>E 证据完整</w:t>
            </w:r>
          </w:p>
        </w:tc>
        <w:tc>
          <w:tcPr>
            <w:tcW w:type="dxa" w:w="3400"/>
            <w:vAlign w:val="center"/>
          </w:tcPr>
          <w:p>
            <w:r/>
            <w:r>
              <w:rPr>
                <w:b w:val="0"/>
                <w:sz w:val="17"/>
              </w:rPr>
              <w:t>保护</w:t>
            </w:r>
          </w:p>
        </w:tc>
        <w:tc>
          <w:tcPr>
            <w:tcW w:type="dxa" w:w="3400"/>
            <w:vAlign w:val="center"/>
          </w:tcPr>
          <w:p>
            <w:r/>
            <w:r>
              <w:rPr>
                <w:b w:val="0"/>
                <w:sz w:val="17"/>
              </w:rPr>
              <w:t>来源、层级和反证条件是否清楚</w:t>
            </w:r>
          </w:p>
        </w:tc>
      </w:tr>
      <w:tr>
        <w:tc>
          <w:tcPr>
            <w:tcW w:type="dxa" w:w="3400"/>
            <w:shd w:fill="F4F7F5"/>
            <w:vAlign w:val="center"/>
          </w:tcPr>
          <w:p>
            <w:r/>
            <w:r>
              <w:rPr>
                <w:b w:val="0"/>
                <w:sz w:val="17"/>
              </w:rPr>
              <w:t>C 语境完整</w:t>
            </w:r>
          </w:p>
        </w:tc>
        <w:tc>
          <w:tcPr>
            <w:tcW w:type="dxa" w:w="3400"/>
            <w:shd w:fill="F4F7F5"/>
            <w:vAlign w:val="center"/>
          </w:tcPr>
          <w:p>
            <w:r/>
            <w:r>
              <w:rPr>
                <w:b w:val="0"/>
                <w:sz w:val="17"/>
              </w:rPr>
              <w:t>保护</w:t>
            </w:r>
          </w:p>
        </w:tc>
        <w:tc>
          <w:tcPr>
            <w:tcW w:type="dxa" w:w="3400"/>
            <w:shd w:fill="F4F7F5"/>
            <w:vAlign w:val="center"/>
          </w:tcPr>
          <w:p>
            <w:r/>
            <w:r>
              <w:rPr>
                <w:b w:val="0"/>
                <w:sz w:val="17"/>
              </w:rPr>
              <w:t>是否包含主体、条件、例外和负担</w:t>
            </w:r>
          </w:p>
        </w:tc>
      </w:tr>
      <w:tr>
        <w:tc>
          <w:tcPr>
            <w:tcW w:type="dxa" w:w="3400"/>
            <w:vAlign w:val="center"/>
          </w:tcPr>
          <w:p>
            <w:r/>
            <w:r>
              <w:rPr>
                <w:b w:val="0"/>
                <w:sz w:val="17"/>
              </w:rPr>
              <w:t>M 操纵压力</w:t>
            </w:r>
          </w:p>
        </w:tc>
        <w:tc>
          <w:tcPr>
            <w:tcW w:type="dxa" w:w="3400"/>
            <w:vAlign w:val="center"/>
          </w:tcPr>
          <w:p>
            <w:r/>
            <w:r>
              <w:rPr>
                <w:b w:val="0"/>
                <w:sz w:val="17"/>
              </w:rPr>
              <w:t>风险</w:t>
            </w:r>
          </w:p>
        </w:tc>
        <w:tc>
          <w:tcPr>
            <w:tcW w:type="dxa" w:w="3400"/>
            <w:vAlign w:val="center"/>
          </w:tcPr>
          <w:p>
            <w:r/>
            <w:r>
              <w:rPr>
                <w:b w:val="0"/>
                <w:sz w:val="17"/>
              </w:rPr>
              <w:t>是否利用羞耻、恐惧、身份和紧迫感</w:t>
            </w:r>
          </w:p>
        </w:tc>
      </w:tr>
      <w:tr>
        <w:tc>
          <w:tcPr>
            <w:tcW w:type="dxa" w:w="3400"/>
            <w:shd w:fill="F4F7F5"/>
            <w:vAlign w:val="center"/>
          </w:tcPr>
          <w:p>
            <w:r/>
            <w:r>
              <w:rPr>
                <w:b w:val="0"/>
                <w:sz w:val="17"/>
              </w:rPr>
              <w:t>A 成瘾压力</w:t>
            </w:r>
          </w:p>
        </w:tc>
        <w:tc>
          <w:tcPr>
            <w:tcW w:type="dxa" w:w="3400"/>
            <w:shd w:fill="F4F7F5"/>
            <w:vAlign w:val="center"/>
          </w:tcPr>
          <w:p>
            <w:r/>
            <w:r>
              <w:rPr>
                <w:b w:val="0"/>
                <w:sz w:val="17"/>
              </w:rPr>
              <w:t>风险</w:t>
            </w:r>
          </w:p>
        </w:tc>
        <w:tc>
          <w:tcPr>
            <w:tcW w:type="dxa" w:w="3400"/>
            <w:shd w:fill="F4F7F5"/>
            <w:vAlign w:val="center"/>
          </w:tcPr>
          <w:p>
            <w:r/>
            <w:r>
              <w:rPr>
                <w:b w:val="0"/>
                <w:sz w:val="17"/>
              </w:rPr>
              <w:t>是否通过界面回路延长非自愿注意</w:t>
            </w:r>
          </w:p>
        </w:tc>
      </w:tr>
      <w:tr>
        <w:tc>
          <w:tcPr>
            <w:tcW w:type="dxa" w:w="3400"/>
            <w:vAlign w:val="center"/>
          </w:tcPr>
          <w:p>
            <w:r/>
            <w:r>
              <w:rPr>
                <w:b w:val="0"/>
                <w:sz w:val="17"/>
              </w:rPr>
              <w:t>I 利益不透明</w:t>
            </w:r>
          </w:p>
        </w:tc>
        <w:tc>
          <w:tcPr>
            <w:tcW w:type="dxa" w:w="3400"/>
            <w:vAlign w:val="center"/>
          </w:tcPr>
          <w:p>
            <w:r/>
            <w:r>
              <w:rPr>
                <w:b w:val="0"/>
                <w:sz w:val="17"/>
              </w:rPr>
              <w:t>风险</w:t>
            </w:r>
          </w:p>
        </w:tc>
        <w:tc>
          <w:tcPr>
            <w:tcW w:type="dxa" w:w="3400"/>
            <w:vAlign w:val="center"/>
          </w:tcPr>
          <w:p>
            <w:r/>
            <w:r>
              <w:rPr>
                <w:b w:val="0"/>
                <w:sz w:val="17"/>
              </w:rPr>
              <w:t>谁因转发、购买和依赖而获利</w:t>
            </w:r>
          </w:p>
        </w:tc>
      </w:tr>
      <w:tr>
        <w:tc>
          <w:tcPr>
            <w:tcW w:type="dxa" w:w="3400"/>
            <w:shd w:fill="F4F7F5"/>
            <w:vAlign w:val="center"/>
          </w:tcPr>
          <w:p>
            <w:r/>
            <w:r>
              <w:rPr>
                <w:b w:val="0"/>
                <w:sz w:val="17"/>
              </w:rPr>
              <w:t>V 脆弱性利用</w:t>
            </w:r>
          </w:p>
        </w:tc>
        <w:tc>
          <w:tcPr>
            <w:tcW w:type="dxa" w:w="3400"/>
            <w:shd w:fill="F4F7F5"/>
            <w:vAlign w:val="center"/>
          </w:tcPr>
          <w:p>
            <w:r/>
            <w:r>
              <w:rPr>
                <w:b w:val="0"/>
                <w:sz w:val="17"/>
              </w:rPr>
              <w:t>风险</w:t>
            </w:r>
          </w:p>
        </w:tc>
        <w:tc>
          <w:tcPr>
            <w:tcW w:type="dxa" w:w="3400"/>
            <w:shd w:fill="F4F7F5"/>
            <w:vAlign w:val="center"/>
          </w:tcPr>
          <w:p>
            <w:r/>
            <w:r>
              <w:rPr>
                <w:b w:val="0"/>
                <w:sz w:val="17"/>
              </w:rPr>
              <w:t>是否定向利用高压力或低信息状态</w:t>
            </w:r>
          </w:p>
        </w:tc>
      </w:tr>
      <w:tr>
        <w:tc>
          <w:tcPr>
            <w:tcW w:type="dxa" w:w="3400"/>
            <w:vAlign w:val="center"/>
          </w:tcPr>
          <w:p>
            <w:r/>
            <w:r>
              <w:rPr>
                <w:b w:val="0"/>
                <w:sz w:val="17"/>
              </w:rPr>
              <w:t>R 关系外部性</w:t>
            </w:r>
          </w:p>
        </w:tc>
        <w:tc>
          <w:tcPr>
            <w:tcW w:type="dxa" w:w="3400"/>
            <w:vAlign w:val="center"/>
          </w:tcPr>
          <w:p>
            <w:r/>
            <w:r>
              <w:rPr>
                <w:b w:val="0"/>
                <w:sz w:val="17"/>
              </w:rPr>
              <w:t>风险</w:t>
            </w:r>
          </w:p>
        </w:tc>
        <w:tc>
          <w:tcPr>
            <w:tcW w:type="dxa" w:w="3400"/>
            <w:vAlign w:val="center"/>
          </w:tcPr>
          <w:p>
            <w:r/>
            <w:r>
              <w:rPr>
                <w:b w:val="0"/>
                <w:sz w:val="17"/>
              </w:rPr>
              <w:t>是否制造零和对抗或单边转移负担</w:t>
            </w:r>
          </w:p>
        </w:tc>
      </w:tr>
      <w:tr>
        <w:tc>
          <w:tcPr>
            <w:tcW w:type="dxa" w:w="3400"/>
            <w:shd w:fill="F4F7F5"/>
            <w:vAlign w:val="center"/>
          </w:tcPr>
          <w:p>
            <w:r/>
            <w:r>
              <w:rPr>
                <w:b w:val="0"/>
                <w:sz w:val="17"/>
              </w:rPr>
              <w:t>K 伪知识风险</w:t>
            </w:r>
          </w:p>
        </w:tc>
        <w:tc>
          <w:tcPr>
            <w:tcW w:type="dxa" w:w="3400"/>
            <w:shd w:fill="F4F7F5"/>
            <w:vAlign w:val="center"/>
          </w:tcPr>
          <w:p>
            <w:r/>
            <w:r>
              <w:rPr>
                <w:b w:val="0"/>
                <w:sz w:val="17"/>
              </w:rPr>
              <w:t>风险</w:t>
            </w:r>
          </w:p>
        </w:tc>
        <w:tc>
          <w:tcPr>
            <w:tcW w:type="dxa" w:w="3400"/>
            <w:shd w:fill="F4F7F5"/>
            <w:vAlign w:val="center"/>
          </w:tcPr>
          <w:p>
            <w:r/>
            <w:r>
              <w:rPr>
                <w:b w:val="0"/>
                <w:sz w:val="17"/>
              </w:rPr>
              <w:t>是否用口号、见证和神秘术语冒充知识</w:t>
            </w:r>
          </w:p>
        </w:tc>
      </w:tr>
      <w:tr>
        <w:tc>
          <w:tcPr>
            <w:tcW w:type="dxa" w:w="3400"/>
            <w:vAlign w:val="center"/>
          </w:tcPr>
          <w:p>
            <w:r/>
            <w:r>
              <w:rPr>
                <w:b w:val="0"/>
                <w:sz w:val="17"/>
              </w:rPr>
              <w:t>Qc 可纠正性</w:t>
            </w:r>
          </w:p>
        </w:tc>
        <w:tc>
          <w:tcPr>
            <w:tcW w:type="dxa" w:w="3400"/>
            <w:vAlign w:val="center"/>
          </w:tcPr>
          <w:p>
            <w:r/>
            <w:r>
              <w:rPr>
                <w:b w:val="0"/>
                <w:sz w:val="17"/>
              </w:rPr>
              <w:t>保护</w:t>
            </w:r>
          </w:p>
        </w:tc>
        <w:tc>
          <w:tcPr>
            <w:tcW w:type="dxa" w:w="3400"/>
            <w:vAlign w:val="center"/>
          </w:tcPr>
          <w:p>
            <w:r/>
            <w:r>
              <w:rPr>
                <w:b w:val="0"/>
                <w:sz w:val="17"/>
              </w:rPr>
              <w:t>能否更正、申诉、撤回和修订</w:t>
            </w:r>
          </w:p>
        </w:tc>
      </w:tr>
      <w:tr>
        <w:tc>
          <w:tcPr>
            <w:tcW w:type="dxa" w:w="3400"/>
            <w:shd w:fill="F4F7F5"/>
            <w:vAlign w:val="center"/>
          </w:tcPr>
          <w:p>
            <w:r/>
            <w:r>
              <w:rPr>
                <w:b w:val="0"/>
                <w:sz w:val="17"/>
              </w:rPr>
              <w:t>H 已观察伤害</w:t>
            </w:r>
          </w:p>
        </w:tc>
        <w:tc>
          <w:tcPr>
            <w:tcW w:type="dxa" w:w="3400"/>
            <w:shd w:fill="F4F7F5"/>
            <w:vAlign w:val="center"/>
          </w:tcPr>
          <w:p>
            <w:r/>
            <w:r>
              <w:rPr>
                <w:b w:val="0"/>
                <w:sz w:val="17"/>
              </w:rPr>
              <w:t>风险</w:t>
            </w:r>
          </w:p>
        </w:tc>
        <w:tc>
          <w:tcPr>
            <w:tcW w:type="dxa" w:w="3400"/>
            <w:shd w:fill="F4F7F5"/>
            <w:vAlign w:val="center"/>
          </w:tcPr>
          <w:p>
            <w:r/>
            <w:r>
              <w:rPr>
                <w:b w:val="0"/>
                <w:sz w:val="17"/>
              </w:rPr>
              <w:t>现实中发生了什么可验证结果</w:t>
            </w:r>
          </w:p>
        </w:tc>
      </w:tr>
    </w:tbl>
    <w:p>
      <w:r>
        <w:br w:type="page"/>
      </w:r>
    </w:p>
    <w:p>
      <w:pPr>
        <w:pStyle w:val="Heading1"/>
      </w:pPr>
      <w:r>
        <w:t>四、多世界解释与证据更新</w:t>
      </w:r>
    </w:p>
    <w:p>
      <w:pPr>
        <w:keepLines w:val="0"/>
      </w:pPr>
      <w:r>
        <w:t>同一句话可能来自完全不同的世界：它可能是真实但令人不适的事实，也可能是善意但不完整的忠告、商业说服、操纵性内容、痛苦求助、讽刺或引用。系统必须同时保留这些解释，而不能把一个分类器的第一判断当作作者内心。</w:t>
      </w:r>
    </w:p>
    <w:p>
      <w:pPr>
        <w:keepLines w:val="0"/>
      </w:pPr>
      <w:r>
        <w:t>每个世界都必须给出区分性观察。例如，善意但不完整的作者在被要求补条件时通常愿意澄清；操纵性销售内容在删除紧迫感和身份压力以后往往失去主要转化能力；事实性坏消息应能被独立来源和原始记录支持。</w:t>
      </w:r>
    </w:p>
    <w:p>
      <w:pPr>
        <w:keepLines w:val="0"/>
      </w:pPr>
      <w:r>
        <w:t>世界支持度是透明的工程信号，不是现实概率。新的来源、作者更正、受影响者结果和独立复核可以改变支持度，持续失败的世界模型应降权或退役。</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0281F"/>
            <w:vAlign w:val="center"/>
          </w:tcPr>
          <w:p>
            <w:r/>
            <w:r>
              <w:rPr>
                <w:b/>
                <w:color w:val="FFFFFF"/>
                <w:sz w:val="18"/>
              </w:rPr>
              <w:t>世界</w:t>
            </w:r>
          </w:p>
        </w:tc>
        <w:tc>
          <w:tcPr>
            <w:tcW w:type="dxa" w:w="5100"/>
            <w:shd w:fill="10281F"/>
            <w:vAlign w:val="center"/>
          </w:tcPr>
          <w:p>
            <w:r/>
            <w:r>
              <w:rPr>
                <w:b/>
                <w:color w:val="FFFFFF"/>
                <w:sz w:val="18"/>
              </w:rPr>
              <w:t>区分性观察</w:t>
            </w:r>
          </w:p>
        </w:tc>
      </w:tr>
      <w:tr>
        <w:tc>
          <w:tcPr>
            <w:tcW w:type="dxa" w:w="5100"/>
            <w:vAlign w:val="center"/>
          </w:tcPr>
          <w:p>
            <w:r/>
            <w:r>
              <w:rPr>
                <w:b w:val="0"/>
                <w:sz w:val="17"/>
              </w:rPr>
              <w:t>真实但令人不适</w:t>
            </w:r>
          </w:p>
        </w:tc>
        <w:tc>
          <w:tcPr>
            <w:tcW w:type="dxa" w:w="5100"/>
            <w:vAlign w:val="center"/>
          </w:tcPr>
          <w:p>
            <w:r/>
            <w:r>
              <w:rPr>
                <w:b w:val="0"/>
                <w:sz w:val="17"/>
              </w:rPr>
              <w:t>独立来源确认核心事实</w:t>
            </w:r>
          </w:p>
        </w:tc>
      </w:tr>
      <w:tr>
        <w:tc>
          <w:tcPr>
            <w:tcW w:type="dxa" w:w="5100"/>
            <w:shd w:fill="F4F7F5"/>
            <w:vAlign w:val="center"/>
          </w:tcPr>
          <w:p>
            <w:r/>
            <w:r>
              <w:rPr>
                <w:b w:val="0"/>
                <w:sz w:val="17"/>
              </w:rPr>
              <w:t>善意但语境不完整</w:t>
            </w:r>
          </w:p>
        </w:tc>
        <w:tc>
          <w:tcPr>
            <w:tcW w:type="dxa" w:w="5100"/>
            <w:shd w:fill="F4F7F5"/>
            <w:vAlign w:val="center"/>
          </w:tcPr>
          <w:p>
            <w:r/>
            <w:r>
              <w:rPr>
                <w:b w:val="0"/>
                <w:sz w:val="17"/>
              </w:rPr>
              <w:t>补条件后主张变得更有限而非更激进</w:t>
            </w:r>
          </w:p>
        </w:tc>
      </w:tr>
      <w:tr>
        <w:tc>
          <w:tcPr>
            <w:tcW w:type="dxa" w:w="5100"/>
            <w:vAlign w:val="center"/>
          </w:tcPr>
          <w:p>
            <w:r/>
            <w:r>
              <w:rPr>
                <w:b w:val="0"/>
                <w:sz w:val="17"/>
              </w:rPr>
              <w:t>商业说服</w:t>
            </w:r>
          </w:p>
        </w:tc>
        <w:tc>
          <w:tcPr>
            <w:tcW w:type="dxa" w:w="5100"/>
            <w:vAlign w:val="center"/>
          </w:tcPr>
          <w:p>
            <w:r/>
            <w:r>
              <w:rPr>
                <w:b w:val="0"/>
                <w:sz w:val="17"/>
              </w:rPr>
              <w:t>披露价格、佣金、退款和独立结果</w:t>
            </w:r>
          </w:p>
        </w:tc>
      </w:tr>
      <w:tr>
        <w:tc>
          <w:tcPr>
            <w:tcW w:type="dxa" w:w="5100"/>
            <w:shd w:fill="F4F7F5"/>
            <w:vAlign w:val="center"/>
          </w:tcPr>
          <w:p>
            <w:r/>
            <w:r>
              <w:rPr>
                <w:b w:val="0"/>
                <w:sz w:val="17"/>
              </w:rPr>
              <w:t>操纵或成瘾机制</w:t>
            </w:r>
          </w:p>
        </w:tc>
        <w:tc>
          <w:tcPr>
            <w:tcW w:type="dxa" w:w="5100"/>
            <w:shd w:fill="F4F7F5"/>
            <w:vAlign w:val="center"/>
          </w:tcPr>
          <w:p>
            <w:r/>
            <w:r>
              <w:rPr>
                <w:b w:val="0"/>
                <w:sz w:val="17"/>
              </w:rPr>
              <w:t>移除压力和奖励线索后转化显著下降</w:t>
            </w:r>
          </w:p>
        </w:tc>
      </w:tr>
      <w:tr>
        <w:tc>
          <w:tcPr>
            <w:tcW w:type="dxa" w:w="5100"/>
            <w:vAlign w:val="center"/>
          </w:tcPr>
          <w:p>
            <w:r/>
            <w:r>
              <w:rPr>
                <w:b w:val="0"/>
                <w:sz w:val="17"/>
              </w:rPr>
              <w:t>痛苦或求助信号</w:t>
            </w:r>
          </w:p>
        </w:tc>
        <w:tc>
          <w:tcPr>
            <w:tcW w:type="dxa" w:w="5100"/>
            <w:vAlign w:val="center"/>
          </w:tcPr>
          <w:p>
            <w:r/>
            <w:r>
              <w:rPr>
                <w:b w:val="0"/>
                <w:sz w:val="17"/>
              </w:rPr>
              <w:t>表达者寻求支持而非支配他人</w:t>
            </w:r>
          </w:p>
        </w:tc>
      </w:tr>
      <w:tr>
        <w:tc>
          <w:tcPr>
            <w:tcW w:type="dxa" w:w="5100"/>
            <w:shd w:fill="F4F7F5"/>
            <w:vAlign w:val="center"/>
          </w:tcPr>
          <w:p>
            <w:r/>
            <w:r>
              <w:rPr>
                <w:b w:val="0"/>
                <w:sz w:val="17"/>
              </w:rPr>
              <w:t>讽刺、虚构或引用</w:t>
            </w:r>
          </w:p>
        </w:tc>
        <w:tc>
          <w:tcPr>
            <w:tcW w:type="dxa" w:w="5100"/>
            <w:shd w:fill="F4F7F5"/>
            <w:vAlign w:val="center"/>
          </w:tcPr>
          <w:p>
            <w:r/>
            <w:r>
              <w:rPr>
                <w:b w:val="0"/>
                <w:sz w:val="17"/>
              </w:rPr>
              <w:t>存在清晰体裁和来源语境</w:t>
            </w:r>
          </w:p>
        </w:tc>
      </w:tr>
    </w:tbl>
    <w:p>
      <w:r>
        <w:br w:type="page"/>
      </w:r>
    </w:p>
    <w:p>
      <w:pPr>
        <w:pStyle w:val="Heading1"/>
      </w:pPr>
      <w:r>
        <w:t>五、七级主动干预阶梯</w:t>
      </w:r>
    </w:p>
    <w:p>
      <w:pPr>
        <w:keepLines w:val="0"/>
      </w:pPr>
      <w:r>
        <w:t>“主动消除”不等于所有风险都直接删帖。更稳健的顺序是：先保护真实表达，再补证据和语境；当操纵和成瘾机制出现时增加即时摩擦；在风险持续且证据更强时执行用户控制的降放大、本地隔离或商业暂停；出现现实伤害后进入正当程序修复。</w:t>
      </w:r>
    </w:p>
    <w:p>
      <w:pPr>
        <w:keepLines w:val="0"/>
      </w:pPr>
      <w:r>
        <w:t>个人端可以立即执行L0至L5中的本地动作，不需要等待平台改革。机构端可以把推荐、广告和购买路径置于可审阅状态，但不得秘密地用同一系统收集证据、裁决、处罚并从处罚中获利。</w:t>
      </w:r>
    </w:p>
    <w:p>
      <w:pPr>
        <w:keepLines w:val="0"/>
      </w:pPr>
      <w:r>
        <w:t>L6不是自动惩罚，而是一个结构化程序：通知、答辩、独立复核、更正触达、退出和退款、直接损害修复、机制整改、申诉以及模型修订。</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0281F"/>
            <w:vAlign w:val="center"/>
          </w:tcPr>
          <w:p>
            <w:r/>
            <w:r>
              <w:rPr>
                <w:b/>
                <w:color w:val="FFFFFF"/>
                <w:sz w:val="18"/>
              </w:rPr>
              <w:t>等级</w:t>
            </w:r>
          </w:p>
        </w:tc>
        <w:tc>
          <w:tcPr>
            <w:tcW w:type="dxa" w:w="3400"/>
            <w:shd w:fill="10281F"/>
            <w:vAlign w:val="center"/>
          </w:tcPr>
          <w:p>
            <w:r/>
            <w:r>
              <w:rPr>
                <w:b/>
                <w:color w:val="FFFFFF"/>
                <w:sz w:val="18"/>
              </w:rPr>
              <w:t>动作</w:t>
            </w:r>
          </w:p>
        </w:tc>
        <w:tc>
          <w:tcPr>
            <w:tcW w:type="dxa" w:w="3400"/>
            <w:shd w:fill="10281F"/>
            <w:vAlign w:val="center"/>
          </w:tcPr>
          <w:p>
            <w:r/>
            <w:r>
              <w:rPr>
                <w:b/>
                <w:color w:val="FFFFFF"/>
                <w:sz w:val="18"/>
              </w:rPr>
              <w:t>边界</w:t>
            </w:r>
          </w:p>
        </w:tc>
      </w:tr>
      <w:tr>
        <w:tc>
          <w:tcPr>
            <w:tcW w:type="dxa" w:w="3400"/>
            <w:vAlign w:val="center"/>
          </w:tcPr>
          <w:p>
            <w:r/>
            <w:r>
              <w:rPr>
                <w:b w:val="0"/>
                <w:sz w:val="17"/>
              </w:rPr>
              <w:t>L0</w:t>
            </w:r>
          </w:p>
        </w:tc>
        <w:tc>
          <w:tcPr>
            <w:tcW w:type="dxa" w:w="3400"/>
            <w:vAlign w:val="center"/>
          </w:tcPr>
          <w:p>
            <w:r/>
            <w:r>
              <w:rPr>
                <w:b w:val="0"/>
                <w:sz w:val="17"/>
              </w:rPr>
              <w:t>保护表达、保存来源</w:t>
            </w:r>
          </w:p>
        </w:tc>
        <w:tc>
          <w:tcPr>
            <w:tcW w:type="dxa" w:w="3400"/>
            <w:vAlign w:val="center"/>
          </w:tcPr>
          <w:p>
            <w:r/>
            <w:r>
              <w:rPr>
                <w:b w:val="0"/>
                <w:sz w:val="17"/>
              </w:rPr>
              <w:t>不因负面情绪压制</w:t>
            </w:r>
          </w:p>
        </w:tc>
      </w:tr>
      <w:tr>
        <w:tc>
          <w:tcPr>
            <w:tcW w:type="dxa" w:w="3400"/>
            <w:shd w:fill="F4F7F5"/>
            <w:vAlign w:val="center"/>
          </w:tcPr>
          <w:p>
            <w:r/>
            <w:r>
              <w:rPr>
                <w:b w:val="0"/>
                <w:sz w:val="17"/>
              </w:rPr>
              <w:t>L1</w:t>
            </w:r>
          </w:p>
        </w:tc>
        <w:tc>
          <w:tcPr>
            <w:tcW w:type="dxa" w:w="3400"/>
            <w:shd w:fill="F4F7F5"/>
            <w:vAlign w:val="center"/>
          </w:tcPr>
          <w:p>
            <w:r/>
            <w:r>
              <w:rPr>
                <w:b w:val="0"/>
                <w:sz w:val="17"/>
              </w:rPr>
              <w:t>证据与不确定标记</w:t>
            </w:r>
          </w:p>
        </w:tc>
        <w:tc>
          <w:tcPr>
            <w:tcW w:type="dxa" w:w="3400"/>
            <w:shd w:fill="F4F7F5"/>
            <w:vAlign w:val="center"/>
          </w:tcPr>
          <w:p>
            <w:r/>
            <w:r>
              <w:rPr>
                <w:b w:val="0"/>
                <w:sz w:val="17"/>
              </w:rPr>
              <w:t>不把标签写成事实裁决</w:t>
            </w:r>
          </w:p>
        </w:tc>
      </w:tr>
      <w:tr>
        <w:tc>
          <w:tcPr>
            <w:tcW w:type="dxa" w:w="3400"/>
            <w:vAlign w:val="center"/>
          </w:tcPr>
          <w:p>
            <w:r/>
            <w:r>
              <w:rPr>
                <w:b w:val="0"/>
                <w:sz w:val="17"/>
              </w:rPr>
              <w:t>L2</w:t>
            </w:r>
          </w:p>
        </w:tc>
        <w:tc>
          <w:tcPr>
            <w:tcW w:type="dxa" w:w="3400"/>
            <w:vAlign w:val="center"/>
          </w:tcPr>
          <w:p>
            <w:r/>
            <w:r>
              <w:rPr>
                <w:b w:val="0"/>
                <w:sz w:val="17"/>
              </w:rPr>
              <w:t>补全主体、条件、例外与负担</w:t>
            </w:r>
          </w:p>
        </w:tc>
        <w:tc>
          <w:tcPr>
            <w:tcW w:type="dxa" w:w="3400"/>
            <w:vAlign w:val="center"/>
          </w:tcPr>
          <w:p>
            <w:r/>
            <w:r>
              <w:rPr>
                <w:b w:val="0"/>
                <w:sz w:val="17"/>
              </w:rPr>
              <w:t>允许作者更正</w:t>
            </w:r>
          </w:p>
        </w:tc>
      </w:tr>
      <w:tr>
        <w:tc>
          <w:tcPr>
            <w:tcW w:type="dxa" w:w="3400"/>
            <w:shd w:fill="F4F7F5"/>
            <w:vAlign w:val="center"/>
          </w:tcPr>
          <w:p>
            <w:r/>
            <w:r>
              <w:rPr>
                <w:b w:val="0"/>
                <w:sz w:val="17"/>
              </w:rPr>
              <w:t>L3</w:t>
            </w:r>
          </w:p>
        </w:tc>
        <w:tc>
          <w:tcPr>
            <w:tcW w:type="dxa" w:w="3400"/>
            <w:shd w:fill="F4F7F5"/>
            <w:vAlign w:val="center"/>
          </w:tcPr>
          <w:p>
            <w:r/>
            <w:r>
              <w:rPr>
                <w:b w:val="0"/>
                <w:sz w:val="17"/>
              </w:rPr>
              <w:t>分享/购买前确认与冷却</w:t>
            </w:r>
          </w:p>
        </w:tc>
        <w:tc>
          <w:tcPr>
            <w:tcW w:type="dxa" w:w="3400"/>
            <w:shd w:fill="F4F7F5"/>
            <w:vAlign w:val="center"/>
          </w:tcPr>
          <w:p>
            <w:r/>
            <w:r>
              <w:rPr>
                <w:b w:val="0"/>
                <w:sz w:val="17"/>
              </w:rPr>
              <w:t>摩擦有上限</w:t>
            </w:r>
          </w:p>
        </w:tc>
      </w:tr>
      <w:tr>
        <w:tc>
          <w:tcPr>
            <w:tcW w:type="dxa" w:w="3400"/>
            <w:vAlign w:val="center"/>
          </w:tcPr>
          <w:p>
            <w:r/>
            <w:r>
              <w:rPr>
                <w:b w:val="0"/>
                <w:sz w:val="17"/>
              </w:rPr>
              <w:t>L4</w:t>
            </w:r>
          </w:p>
        </w:tc>
        <w:tc>
          <w:tcPr>
            <w:tcW w:type="dxa" w:w="3400"/>
            <w:vAlign w:val="center"/>
          </w:tcPr>
          <w:p>
            <w:r/>
            <w:r>
              <w:rPr>
                <w:b w:val="0"/>
                <w:sz w:val="17"/>
              </w:rPr>
              <w:t>暂停自动播放、滚动、连胜和随机奖励</w:t>
            </w:r>
          </w:p>
        </w:tc>
        <w:tc>
          <w:tcPr>
            <w:tcW w:type="dxa" w:w="3400"/>
            <w:vAlign w:val="center"/>
          </w:tcPr>
          <w:p>
            <w:r/>
            <w:r>
              <w:rPr>
                <w:b w:val="0"/>
                <w:sz w:val="17"/>
              </w:rPr>
              <w:t>由用户控制</w:t>
            </w:r>
          </w:p>
        </w:tc>
      </w:tr>
      <w:tr>
        <w:tc>
          <w:tcPr>
            <w:tcW w:type="dxa" w:w="3400"/>
            <w:shd w:fill="F4F7F5"/>
            <w:vAlign w:val="center"/>
          </w:tcPr>
          <w:p>
            <w:r/>
            <w:r>
              <w:rPr>
                <w:b w:val="0"/>
                <w:sz w:val="17"/>
              </w:rPr>
              <w:t>L5</w:t>
            </w:r>
          </w:p>
        </w:tc>
        <w:tc>
          <w:tcPr>
            <w:tcW w:type="dxa" w:w="3400"/>
            <w:shd w:fill="F4F7F5"/>
            <w:vAlign w:val="center"/>
          </w:tcPr>
          <w:p>
            <w:r/>
            <w:r>
              <w:rPr>
                <w:b w:val="0"/>
                <w:sz w:val="17"/>
              </w:rPr>
              <w:t>本地隔离、商业披露或暂缓放大</w:t>
            </w:r>
          </w:p>
        </w:tc>
        <w:tc>
          <w:tcPr>
            <w:tcW w:type="dxa" w:w="3400"/>
            <w:shd w:fill="F4F7F5"/>
            <w:vAlign w:val="center"/>
          </w:tcPr>
          <w:p>
            <w:r/>
            <w:r>
              <w:rPr>
                <w:b w:val="0"/>
                <w:sz w:val="17"/>
              </w:rPr>
              <w:t>可撤销、有到期</w:t>
            </w:r>
          </w:p>
        </w:tc>
      </w:tr>
      <w:tr>
        <w:tc>
          <w:tcPr>
            <w:tcW w:type="dxa" w:w="3400"/>
            <w:vAlign w:val="center"/>
          </w:tcPr>
          <w:p>
            <w:r/>
            <w:r>
              <w:rPr>
                <w:b w:val="0"/>
                <w:sz w:val="17"/>
              </w:rPr>
              <w:t>L6</w:t>
            </w:r>
          </w:p>
        </w:tc>
        <w:tc>
          <w:tcPr>
            <w:tcW w:type="dxa" w:w="3400"/>
            <w:vAlign w:val="center"/>
          </w:tcPr>
          <w:p>
            <w:r/>
            <w:r>
              <w:rPr>
                <w:b w:val="0"/>
                <w:sz w:val="17"/>
              </w:rPr>
              <w:t>正当程序、纠正触达与修复</w:t>
            </w:r>
          </w:p>
        </w:tc>
        <w:tc>
          <w:tcPr>
            <w:tcW w:type="dxa" w:w="3400"/>
            <w:vAlign w:val="center"/>
          </w:tcPr>
          <w:p>
            <w:r/>
            <w:r>
              <w:rPr>
                <w:b w:val="0"/>
                <w:sz w:val="17"/>
              </w:rPr>
              <w:t>不得自动外部处罚或扣款</w:t>
            </w:r>
          </w:p>
        </w:tc>
      </w:tr>
    </w:tbl>
    <w:p>
      <w:r>
        <w:br w:type="page"/>
      </w:r>
    </w:p>
    <w:p>
      <w:pPr>
        <w:pStyle w:val="Heading1"/>
      </w:pPr>
      <w:r>
        <w:t>六、个人客户端：从被动刷流到主动认知主权</w:t>
      </w:r>
    </w:p>
    <w:p>
      <w:pPr>
        <w:keepLines w:val="0"/>
      </w:pPr>
      <w:r>
        <w:t>单文件客户端无需账户、服务器、数据库或模型API。个人可以粘贴帖子、短视频文案、聊天内容或课程销售页，选择内容Purpose、目标受众和界面放大线索，立即获得十维诊断、多个解释世界和分级干预建议。</w:t>
      </w:r>
    </w:p>
    <w:p>
      <w:pPr>
        <w:keepLines w:val="0"/>
      </w:pPr>
      <w:r>
        <w:t>客户端还提供语境补全、关系影响模拟、知识售卖审计、成瘾回路体检、主张—证据矩阵、分享闸门、现实结果登记、修复回执、本地回执链和完整导出。所有核心运算在浏览器本地完成。</w:t>
      </w:r>
    </w:p>
    <w:p>
      <w:pPr>
        <w:keepLines w:val="0"/>
      </w:pPr>
      <w:r>
        <w:t>系统不要求用户相信一个总分，而要求查看每一个维度、缺失语境和区分性观察。用户可以不同意结论、补充来源、记录现实结果并导出数据。</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0281F"/>
            <w:vAlign w:val="center"/>
          </w:tcPr>
          <w:p>
            <w:r/>
            <w:r>
              <w:rPr>
                <w:b/>
                <w:color w:val="FFFFFF"/>
                <w:sz w:val="18"/>
              </w:rPr>
              <w:t>模块</w:t>
            </w:r>
          </w:p>
        </w:tc>
        <w:tc>
          <w:tcPr>
            <w:tcW w:type="dxa" w:w="5100"/>
            <w:shd w:fill="10281F"/>
            <w:vAlign w:val="center"/>
          </w:tcPr>
          <w:p>
            <w:r/>
            <w:r>
              <w:rPr>
                <w:b/>
                <w:color w:val="FFFFFF"/>
                <w:sz w:val="18"/>
              </w:rPr>
              <w:t>用户结果</w:t>
            </w:r>
          </w:p>
        </w:tc>
      </w:tr>
      <w:tr>
        <w:tc>
          <w:tcPr>
            <w:tcW w:type="dxa" w:w="5100"/>
            <w:vAlign w:val="center"/>
          </w:tcPr>
          <w:p>
            <w:r/>
            <w:r>
              <w:rPr>
                <w:b w:val="0"/>
                <w:sz w:val="17"/>
              </w:rPr>
              <w:t>内容体检</w:t>
            </w:r>
          </w:p>
        </w:tc>
        <w:tc>
          <w:tcPr>
            <w:tcW w:type="dxa" w:w="5100"/>
            <w:vAlign w:val="center"/>
          </w:tcPr>
          <w:p>
            <w:r/>
            <w:r>
              <w:rPr>
                <w:b w:val="0"/>
                <w:sz w:val="17"/>
              </w:rPr>
              <w:t>机制诊断与多世界解释</w:t>
            </w:r>
          </w:p>
        </w:tc>
      </w:tr>
      <w:tr>
        <w:tc>
          <w:tcPr>
            <w:tcW w:type="dxa" w:w="5100"/>
            <w:shd w:fill="F4F7F5"/>
            <w:vAlign w:val="center"/>
          </w:tcPr>
          <w:p>
            <w:r/>
            <w:r>
              <w:rPr>
                <w:b w:val="0"/>
                <w:sz w:val="17"/>
              </w:rPr>
              <w:t>语境补全</w:t>
            </w:r>
          </w:p>
        </w:tc>
        <w:tc>
          <w:tcPr>
            <w:tcW w:type="dxa" w:w="5100"/>
            <w:shd w:fill="F4F7F5"/>
            <w:vAlign w:val="center"/>
          </w:tcPr>
          <w:p>
            <w:r/>
            <w:r>
              <w:rPr>
                <w:b w:val="0"/>
                <w:sz w:val="17"/>
              </w:rPr>
              <w:t>显示遗漏主体、条件、例外和负担</w:t>
            </w:r>
          </w:p>
        </w:tc>
      </w:tr>
      <w:tr>
        <w:tc>
          <w:tcPr>
            <w:tcW w:type="dxa" w:w="5100"/>
            <w:vAlign w:val="center"/>
          </w:tcPr>
          <w:p>
            <w:r/>
            <w:r>
              <w:rPr>
                <w:b w:val="0"/>
                <w:sz w:val="17"/>
              </w:rPr>
              <w:t>关系影响</w:t>
            </w:r>
          </w:p>
        </w:tc>
        <w:tc>
          <w:tcPr>
            <w:tcW w:type="dxa" w:w="5100"/>
            <w:vAlign w:val="center"/>
          </w:tcPr>
          <w:p>
            <w:r/>
            <w:r>
              <w:rPr>
                <w:b w:val="0"/>
                <w:sz w:val="17"/>
              </w:rPr>
              <w:t>识别零和漂移和安全优先例外</w:t>
            </w:r>
          </w:p>
        </w:tc>
      </w:tr>
      <w:tr>
        <w:tc>
          <w:tcPr>
            <w:tcW w:type="dxa" w:w="5100"/>
            <w:shd w:fill="F4F7F5"/>
            <w:vAlign w:val="center"/>
          </w:tcPr>
          <w:p>
            <w:r/>
            <w:r>
              <w:rPr>
                <w:b w:val="0"/>
                <w:sz w:val="17"/>
              </w:rPr>
              <w:t>知识售卖审计</w:t>
            </w:r>
          </w:p>
        </w:tc>
        <w:tc>
          <w:tcPr>
            <w:tcW w:type="dxa" w:w="5100"/>
            <w:shd w:fill="F4F7F5"/>
            <w:vAlign w:val="center"/>
          </w:tcPr>
          <w:p>
            <w:r/>
            <w:r>
              <w:rPr>
                <w:b w:val="0"/>
                <w:sz w:val="17"/>
              </w:rPr>
              <w:t>核验价格、退款、证据和利益</w:t>
            </w:r>
          </w:p>
        </w:tc>
      </w:tr>
      <w:tr>
        <w:tc>
          <w:tcPr>
            <w:tcW w:type="dxa" w:w="5100"/>
            <w:vAlign w:val="center"/>
          </w:tcPr>
          <w:p>
            <w:r/>
            <w:r>
              <w:rPr>
                <w:b w:val="0"/>
                <w:sz w:val="17"/>
              </w:rPr>
              <w:t>成瘾回路</w:t>
            </w:r>
          </w:p>
        </w:tc>
        <w:tc>
          <w:tcPr>
            <w:tcW w:type="dxa" w:w="5100"/>
            <w:vAlign w:val="center"/>
          </w:tcPr>
          <w:p>
            <w:r/>
            <w:r>
              <w:rPr>
                <w:b w:val="0"/>
                <w:sz w:val="17"/>
              </w:rPr>
              <w:t>生成7天断路计划</w:t>
            </w:r>
          </w:p>
        </w:tc>
      </w:tr>
      <w:tr>
        <w:tc>
          <w:tcPr>
            <w:tcW w:type="dxa" w:w="5100"/>
            <w:shd w:fill="F4F7F5"/>
            <w:vAlign w:val="center"/>
          </w:tcPr>
          <w:p>
            <w:r/>
            <w:r>
              <w:rPr>
                <w:b w:val="0"/>
                <w:sz w:val="17"/>
              </w:rPr>
              <w:t>分享闸门</w:t>
            </w:r>
          </w:p>
        </w:tc>
        <w:tc>
          <w:tcPr>
            <w:tcW w:type="dxa" w:w="5100"/>
            <w:shd w:fill="F4F7F5"/>
            <w:vAlign w:val="center"/>
          </w:tcPr>
          <w:p>
            <w:r/>
            <w:r>
              <w:rPr>
                <w:b w:val="0"/>
                <w:sz w:val="17"/>
              </w:rPr>
              <w:t>在传播前暂停或附语境</w:t>
            </w:r>
          </w:p>
        </w:tc>
      </w:tr>
      <w:tr>
        <w:tc>
          <w:tcPr>
            <w:tcW w:type="dxa" w:w="5100"/>
            <w:vAlign w:val="center"/>
          </w:tcPr>
          <w:p>
            <w:r/>
            <w:r>
              <w:rPr>
                <w:b w:val="0"/>
                <w:sz w:val="17"/>
              </w:rPr>
              <w:t>现实修复</w:t>
            </w:r>
          </w:p>
        </w:tc>
        <w:tc>
          <w:tcPr>
            <w:tcW w:type="dxa" w:w="5100"/>
            <w:vAlign w:val="center"/>
          </w:tcPr>
          <w:p>
            <w:r/>
            <w:r>
              <w:rPr>
                <w:b w:val="0"/>
                <w:sz w:val="17"/>
              </w:rPr>
              <w:t>记录结果、纠正和修复</w:t>
            </w:r>
          </w:p>
        </w:tc>
      </w:tr>
      <w:tr>
        <w:tc>
          <w:tcPr>
            <w:tcW w:type="dxa" w:w="5100"/>
            <w:shd w:fill="F4F7F5"/>
            <w:vAlign w:val="center"/>
          </w:tcPr>
          <w:p>
            <w:r/>
            <w:r>
              <w:rPr>
                <w:b w:val="0"/>
                <w:sz w:val="17"/>
              </w:rPr>
              <w:t>导出</w:t>
            </w:r>
          </w:p>
        </w:tc>
        <w:tc>
          <w:tcPr>
            <w:tcW w:type="dxa" w:w="5100"/>
            <w:shd w:fill="F4F7F5"/>
            <w:vAlign w:val="center"/>
          </w:tcPr>
          <w:p>
            <w:r/>
            <w:r>
              <w:rPr>
                <w:b w:val="0"/>
                <w:sz w:val="17"/>
              </w:rPr>
              <w:t>个人持有的认知免疫包</w:t>
            </w:r>
          </w:p>
        </w:tc>
      </w:tr>
    </w:tbl>
    <w:p>
      <w:r>
        <w:br w:type="page"/>
      </w:r>
    </w:p>
    <w:p>
      <w:pPr>
        <w:pStyle w:val="Heading1"/>
      </w:pPr>
      <w:r>
        <w:t>七、浏览器选择防护扩展</w:t>
      </w:r>
    </w:p>
    <w:p>
      <w:pPr>
        <w:keepLines w:val="0"/>
      </w:pPr>
      <w:r>
        <w:t>QINGYUAN Selection Guard是一个用户触发的Manifest V3扩展。它不需要全站历史权限，只有在用户点击扩展或右键选中文字时，才在当前活动页面运行本地分析。</w:t>
      </w:r>
    </w:p>
    <w:p>
      <w:pPr>
        <w:keepLines w:val="0"/>
      </w:pPr>
      <w:r>
        <w:t>扩展能够对选中文字显示操纵、售卖、伪知识和零和关系信号；暂停当前页面媒体；按用户选择弱化推荐区域；插入30秒注意力休息。它没有远程端点，不保存GitHub或网站令牌，也不把选择文本上传。</w:t>
      </w:r>
    </w:p>
    <w:p>
      <w:pPr>
        <w:keepLines w:val="0"/>
      </w:pPr>
      <w:r>
        <w:t>扩展的目标不是替代平台治理，而是让个人在平台激励尚未改变时先获得一层自主保护。生产发布前仍需进行各浏览器商店的权限、可访问性和供应链审查。</w:t>
      </w:r>
    </w:p>
    <w:p>
      <w:pPr>
        <w:pStyle w:val="ListBullet"/>
      </w:pPr>
      <w:r>
        <w:t>权限：activeTab、scripting、storage、contextMenus。</w:t>
      </w:r>
    </w:p>
    <w:p>
      <w:pPr>
        <w:pStyle w:val="ListBullet"/>
      </w:pPr>
      <w:r>
        <w:t>无host permissions。</w:t>
      </w:r>
    </w:p>
    <w:p>
      <w:pPr>
        <w:pStyle w:val="ListBullet"/>
      </w:pPr>
      <w:r>
        <w:t>无fetch、XMLHttpRequest或WebSocket。</w:t>
      </w:r>
    </w:p>
    <w:p>
      <w:pPr>
        <w:pStyle w:val="ListBullet"/>
      </w:pPr>
      <w:r>
        <w:t>无自动举报、删帖、屏蔽账号或公开点名。</w:t>
      </w:r>
    </w:p>
    <w:p>
      <w:r>
        <w:br w:type="page"/>
      </w:r>
    </w:p>
    <w:p>
      <w:pPr>
        <w:pStyle w:val="Heading1"/>
      </w:pPr>
      <w:r>
        <w:t>八、伪知识售卖与利益漏斗审计</w:t>
      </w:r>
    </w:p>
    <w:p>
      <w:pPr>
        <w:keepLines w:val="0"/>
      </w:pPr>
      <w:r>
        <w:t>伪知识并不等于所有付费知识。合理收费可以覆盖研究、教学、服务和责任；问题在于用科学术语、精选见证、身份焦虑和虚假稀缺替代可检验的内容与结果。</w:t>
      </w:r>
    </w:p>
    <w:p>
      <w:pPr>
        <w:keepLines w:val="0"/>
      </w:pPr>
      <w:r>
        <w:t>系统要求卖方披露主体、价格、退款、升级销售、佣金、赞助、数据用途、样例、课程大纲、独立结果、失败边界和不适合人群。若高价、无退款、无资质、无独立证据同时出现，客户端建议暂停购买或分享。</w:t>
      </w:r>
    </w:p>
    <w:p>
      <w:pPr>
        <w:keepLines w:val="0"/>
      </w:pPr>
      <w:r>
        <w:t>知识售卖审计不自动认定欺诈，也不替代消费者保护、合同和法律程序。它的作用是把冲动交易前最容易被隐藏的问题强制显示出来。</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0281F"/>
            <w:vAlign w:val="center"/>
          </w:tcPr>
          <w:p>
            <w:r/>
            <w:r>
              <w:rPr>
                <w:b/>
                <w:color w:val="FFFFFF"/>
                <w:sz w:val="18"/>
              </w:rPr>
              <w:t>审计问题</w:t>
            </w:r>
          </w:p>
        </w:tc>
        <w:tc>
          <w:tcPr>
            <w:tcW w:type="dxa" w:w="5100"/>
            <w:shd w:fill="10281F"/>
            <w:vAlign w:val="center"/>
          </w:tcPr>
          <w:p>
            <w:r/>
            <w:r>
              <w:rPr>
                <w:b/>
                <w:color w:val="FFFFFF"/>
                <w:sz w:val="18"/>
              </w:rPr>
              <w:t>为什么重要</w:t>
            </w:r>
          </w:p>
        </w:tc>
      </w:tr>
      <w:tr>
        <w:tc>
          <w:tcPr>
            <w:tcW w:type="dxa" w:w="5100"/>
            <w:vAlign w:val="center"/>
          </w:tcPr>
          <w:p>
            <w:r/>
            <w:r>
              <w:rPr>
                <w:b w:val="0"/>
                <w:sz w:val="17"/>
              </w:rPr>
              <w:t>谁出售并承担责任</w:t>
            </w:r>
          </w:p>
        </w:tc>
        <w:tc>
          <w:tcPr>
            <w:tcW w:type="dxa" w:w="5100"/>
            <w:vAlign w:val="center"/>
          </w:tcPr>
          <w:p>
            <w:r/>
            <w:r>
              <w:rPr>
                <w:b w:val="0"/>
                <w:sz w:val="17"/>
              </w:rPr>
              <w:t>防止匿名权威与主体漂移</w:t>
            </w:r>
          </w:p>
        </w:tc>
      </w:tr>
      <w:tr>
        <w:tc>
          <w:tcPr>
            <w:tcW w:type="dxa" w:w="5100"/>
            <w:shd w:fill="F4F7F5"/>
            <w:vAlign w:val="center"/>
          </w:tcPr>
          <w:p>
            <w:r/>
            <w:r>
              <w:rPr>
                <w:b w:val="0"/>
                <w:sz w:val="17"/>
              </w:rPr>
              <w:t>证据来自哪里</w:t>
            </w:r>
          </w:p>
        </w:tc>
        <w:tc>
          <w:tcPr>
            <w:tcW w:type="dxa" w:w="5100"/>
            <w:shd w:fill="F4F7F5"/>
            <w:vAlign w:val="center"/>
          </w:tcPr>
          <w:p>
            <w:r/>
            <w:r>
              <w:rPr>
                <w:b w:val="0"/>
                <w:sz w:val="17"/>
              </w:rPr>
              <w:t>区分独立结果与精选见证</w:t>
            </w:r>
          </w:p>
        </w:tc>
      </w:tr>
      <w:tr>
        <w:tc>
          <w:tcPr>
            <w:tcW w:type="dxa" w:w="5100"/>
            <w:vAlign w:val="center"/>
          </w:tcPr>
          <w:p>
            <w:r/>
            <w:r>
              <w:rPr>
                <w:b w:val="0"/>
                <w:sz w:val="17"/>
              </w:rPr>
              <w:t>失败和边界是什么</w:t>
            </w:r>
          </w:p>
        </w:tc>
        <w:tc>
          <w:tcPr>
            <w:tcW w:type="dxa" w:w="5100"/>
            <w:vAlign w:val="center"/>
          </w:tcPr>
          <w:p>
            <w:r/>
            <w:r>
              <w:rPr>
                <w:b w:val="0"/>
                <w:sz w:val="17"/>
              </w:rPr>
              <w:t>防止一例成功升级成普遍承诺</w:t>
            </w:r>
          </w:p>
        </w:tc>
      </w:tr>
      <w:tr>
        <w:tc>
          <w:tcPr>
            <w:tcW w:type="dxa" w:w="5100"/>
            <w:shd w:fill="F4F7F5"/>
            <w:vAlign w:val="center"/>
          </w:tcPr>
          <w:p>
            <w:r/>
            <w:r>
              <w:rPr>
                <w:b w:val="0"/>
                <w:sz w:val="17"/>
              </w:rPr>
              <w:t>退款和退出是否可执行</w:t>
            </w:r>
          </w:p>
        </w:tc>
        <w:tc>
          <w:tcPr>
            <w:tcW w:type="dxa" w:w="5100"/>
            <w:shd w:fill="F4F7F5"/>
            <w:vAlign w:val="center"/>
          </w:tcPr>
          <w:p>
            <w:r/>
            <w:r>
              <w:rPr>
                <w:b w:val="0"/>
                <w:sz w:val="17"/>
              </w:rPr>
              <w:t>保留纠错和选择权</w:t>
            </w:r>
          </w:p>
        </w:tc>
      </w:tr>
      <w:tr>
        <w:tc>
          <w:tcPr>
            <w:tcW w:type="dxa" w:w="5100"/>
            <w:vAlign w:val="center"/>
          </w:tcPr>
          <w:p>
            <w:r/>
            <w:r>
              <w:rPr>
                <w:b w:val="0"/>
                <w:sz w:val="17"/>
              </w:rPr>
              <w:t>是否存在升级销售和佣金</w:t>
            </w:r>
          </w:p>
        </w:tc>
        <w:tc>
          <w:tcPr>
            <w:tcW w:type="dxa" w:w="5100"/>
            <w:vAlign w:val="center"/>
          </w:tcPr>
          <w:p>
            <w:r/>
            <w:r>
              <w:rPr>
                <w:b w:val="0"/>
                <w:sz w:val="17"/>
              </w:rPr>
              <w:t>暴露真实利益链</w:t>
            </w:r>
          </w:p>
        </w:tc>
      </w:tr>
      <w:tr>
        <w:tc>
          <w:tcPr>
            <w:tcW w:type="dxa" w:w="5100"/>
            <w:shd w:fill="F4F7F5"/>
            <w:vAlign w:val="center"/>
          </w:tcPr>
          <w:p>
            <w:r/>
            <w:r>
              <w:rPr>
                <w:b w:val="0"/>
                <w:sz w:val="17"/>
              </w:rPr>
              <w:t>受众是否处于高压状态</w:t>
            </w:r>
          </w:p>
        </w:tc>
        <w:tc>
          <w:tcPr>
            <w:tcW w:type="dxa" w:w="5100"/>
            <w:shd w:fill="F4F7F5"/>
            <w:vAlign w:val="center"/>
          </w:tcPr>
          <w:p>
            <w:r/>
            <w:r>
              <w:rPr>
                <w:b w:val="0"/>
                <w:sz w:val="17"/>
              </w:rPr>
              <w:t>防止利用脆弱性</w:t>
            </w:r>
          </w:p>
        </w:tc>
      </w:tr>
    </w:tbl>
    <w:p>
      <w:r>
        <w:br w:type="page"/>
      </w:r>
    </w:p>
    <w:p>
      <w:pPr>
        <w:pStyle w:val="Heading1"/>
      </w:pPr>
      <w:r>
        <w:t>九、家庭照护案例：从毒鸡汤到可执行协作</w:t>
      </w:r>
    </w:p>
    <w:p>
      <w:pPr>
        <w:keepLines w:val="0"/>
      </w:pPr>
      <w:r>
        <w:t>“女性要先好好照顾自己才能照顾孩子”包含一个合理核心：照护者的健康、休息和安全不可被无限透支。但这句话若被绝对化并定向投放给长期高压的照护者，可能省略孩子的即时需要、伴侣的真实劳动、收入与时间约束、替代照护资源以及暴力例外。</w:t>
      </w:r>
    </w:p>
    <w:p>
      <w:pPr>
        <w:keepLines w:val="0"/>
      </w:pPr>
      <w:r>
        <w:t>当内容进一步加入“真正觉醒的女人绝不妥协”“所有人都在消耗你”“立即购买训练营”等线索时，它已经不只是自我照顾建议，而是在制造身份战争、单边负担转移和商业转换。系统会保留照护者保护的合理核心，同时拒绝零和扩展。</w:t>
      </w:r>
    </w:p>
    <w:p>
      <w:pPr>
        <w:keepLines w:val="0"/>
      </w:pPr>
      <w:r>
        <w:t>修复后的行动规则应同时包含孩子安全、照护者健康、双方劳动、预算、休息、替代资源、试行期限和复盘日期。存在暴力或强迫控制时，应切换为安全优先，不要求受害者用普通妥协解决。</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0281F"/>
            <w:vAlign w:val="center"/>
          </w:tcPr>
          <w:p>
            <w:r/>
            <w:r>
              <w:rPr>
                <w:b/>
                <w:color w:val="FFFFFF"/>
                <w:sz w:val="18"/>
              </w:rPr>
              <w:t>层次</w:t>
            </w:r>
          </w:p>
        </w:tc>
        <w:tc>
          <w:tcPr>
            <w:tcW w:type="dxa" w:w="5100"/>
            <w:shd w:fill="10281F"/>
            <w:vAlign w:val="center"/>
          </w:tcPr>
          <w:p>
            <w:r/>
            <w:r>
              <w:rPr>
                <w:b/>
                <w:color w:val="FFFFFF"/>
                <w:sz w:val="18"/>
              </w:rPr>
              <w:t>内容</w:t>
            </w:r>
          </w:p>
        </w:tc>
      </w:tr>
      <w:tr>
        <w:tc>
          <w:tcPr>
            <w:tcW w:type="dxa" w:w="5100"/>
            <w:vAlign w:val="center"/>
          </w:tcPr>
          <w:p>
            <w:r/>
            <w:r>
              <w:rPr>
                <w:b w:val="0"/>
                <w:sz w:val="17"/>
              </w:rPr>
              <w:t>合理核心</w:t>
            </w:r>
          </w:p>
        </w:tc>
        <w:tc>
          <w:tcPr>
            <w:tcW w:type="dxa" w:w="5100"/>
            <w:vAlign w:val="center"/>
          </w:tcPr>
          <w:p>
            <w:r/>
            <w:r>
              <w:rPr>
                <w:b w:val="0"/>
                <w:sz w:val="17"/>
              </w:rPr>
              <w:t>照护者需要健康、休息和安全</w:t>
            </w:r>
          </w:p>
        </w:tc>
      </w:tr>
      <w:tr>
        <w:tc>
          <w:tcPr>
            <w:tcW w:type="dxa" w:w="5100"/>
            <w:shd w:fill="F4F7F5"/>
            <w:vAlign w:val="center"/>
          </w:tcPr>
          <w:p>
            <w:r/>
            <w:r>
              <w:rPr>
                <w:b w:val="0"/>
                <w:sz w:val="17"/>
              </w:rPr>
              <w:t>遗漏主体</w:t>
            </w:r>
          </w:p>
        </w:tc>
        <w:tc>
          <w:tcPr>
            <w:tcW w:type="dxa" w:w="5100"/>
            <w:shd w:fill="F4F7F5"/>
            <w:vAlign w:val="center"/>
          </w:tcPr>
          <w:p>
            <w:r/>
            <w:r>
              <w:rPr>
                <w:b w:val="0"/>
                <w:sz w:val="17"/>
              </w:rPr>
              <w:t>孩子、伴侣、其他照护者和公共支持</w:t>
            </w:r>
          </w:p>
        </w:tc>
      </w:tr>
      <w:tr>
        <w:tc>
          <w:tcPr>
            <w:tcW w:type="dxa" w:w="5100"/>
            <w:vAlign w:val="center"/>
          </w:tcPr>
          <w:p>
            <w:r/>
            <w:r>
              <w:rPr>
                <w:b w:val="0"/>
                <w:sz w:val="17"/>
              </w:rPr>
              <w:t>遗漏约束</w:t>
            </w:r>
          </w:p>
        </w:tc>
        <w:tc>
          <w:tcPr>
            <w:tcW w:type="dxa" w:w="5100"/>
            <w:vAlign w:val="center"/>
          </w:tcPr>
          <w:p>
            <w:r/>
            <w:r>
              <w:rPr>
                <w:b w:val="0"/>
                <w:sz w:val="17"/>
              </w:rPr>
              <w:t>时间、收入、健康、住房与替代照护</w:t>
            </w:r>
          </w:p>
        </w:tc>
      </w:tr>
      <w:tr>
        <w:tc>
          <w:tcPr>
            <w:tcW w:type="dxa" w:w="5100"/>
            <w:shd w:fill="F4F7F5"/>
            <w:vAlign w:val="center"/>
          </w:tcPr>
          <w:p>
            <w:r/>
            <w:r>
              <w:rPr>
                <w:b w:val="0"/>
                <w:sz w:val="17"/>
              </w:rPr>
              <w:t>零和漂移</w:t>
            </w:r>
          </w:p>
        </w:tc>
        <w:tc>
          <w:tcPr>
            <w:tcW w:type="dxa" w:w="5100"/>
            <w:shd w:fill="F4F7F5"/>
            <w:vAlign w:val="center"/>
          </w:tcPr>
          <w:p>
            <w:r/>
            <w:r>
              <w:rPr>
                <w:b w:val="0"/>
                <w:sz w:val="17"/>
              </w:rPr>
              <w:t>把协商写成男女输赢或身份背叛</w:t>
            </w:r>
          </w:p>
        </w:tc>
      </w:tr>
      <w:tr>
        <w:tc>
          <w:tcPr>
            <w:tcW w:type="dxa" w:w="5100"/>
            <w:vAlign w:val="center"/>
          </w:tcPr>
          <w:p>
            <w:r/>
            <w:r>
              <w:rPr>
                <w:b w:val="0"/>
                <w:sz w:val="17"/>
              </w:rPr>
              <w:t>商业转化</w:t>
            </w:r>
          </w:p>
        </w:tc>
        <w:tc>
          <w:tcPr>
            <w:tcW w:type="dxa" w:w="5100"/>
            <w:vAlign w:val="center"/>
          </w:tcPr>
          <w:p>
            <w:r/>
            <w:r>
              <w:rPr>
                <w:b w:val="0"/>
                <w:sz w:val="17"/>
              </w:rPr>
              <w:t>用觉醒焦虑引导课程和私域</w:t>
            </w:r>
          </w:p>
        </w:tc>
      </w:tr>
      <w:tr>
        <w:tc>
          <w:tcPr>
            <w:tcW w:type="dxa" w:w="5100"/>
            <w:shd w:fill="F4F7F5"/>
            <w:vAlign w:val="center"/>
          </w:tcPr>
          <w:p>
            <w:r/>
            <w:r>
              <w:rPr>
                <w:b w:val="0"/>
                <w:sz w:val="17"/>
              </w:rPr>
              <w:t>修复机制</w:t>
            </w:r>
          </w:p>
        </w:tc>
        <w:tc>
          <w:tcPr>
            <w:tcW w:type="dxa" w:w="5100"/>
            <w:shd w:fill="F4F7F5"/>
            <w:vAlign w:val="center"/>
          </w:tcPr>
          <w:p>
            <w:r/>
            <w:r>
              <w:rPr>
                <w:b w:val="0"/>
                <w:sz w:val="17"/>
              </w:rPr>
              <w:t>可逆试行、明确分工、复盘与安全例外</w:t>
            </w:r>
          </w:p>
        </w:tc>
      </w:tr>
    </w:tbl>
    <w:p>
      <w:r>
        <w:br w:type="page"/>
      </w:r>
    </w:p>
    <w:p>
      <w:pPr>
        <w:pStyle w:val="Heading1"/>
      </w:pPr>
      <w:r>
        <w:t>十、注意力与成瘾回路治理</w:t>
      </w:r>
    </w:p>
    <w:p>
      <w:pPr>
        <w:keepLines w:val="0"/>
      </w:pPr>
      <w:r>
        <w:t>成瘾风险不只存在于内容文字，而存在于内容与界面共同构成的系统：无限滚动减少自然停止点，自动播放替用户继续选择，连续打卡把中断变成损失，随机奖励强化反复检查，高频推送在夜间和脆弱时刻劫持注意。</w:t>
      </w:r>
    </w:p>
    <w:p>
      <w:pPr>
        <w:keepLines w:val="0"/>
      </w:pPr>
      <w:r>
        <w:t>个人客户端基于每日时长、夜间打断、计划外打开和使用后焦虑生成7天断路计划。浏览器扩展可暂停媒体、弱化推荐和插入注意力休息。机构端应进一步测量非自愿停留、睡眠破坏、退出困难和情绪后果，而不是只优化时长。</w:t>
      </w:r>
    </w:p>
    <w:p>
      <w:pPr>
        <w:keepLines w:val="0"/>
      </w:pPr>
      <w:r>
        <w:t>系统不要求永远禁止娱乐或社交使用，而是恢复明确Purpose、自然结束、可撤销通知和现实生活节律。</w:t>
      </w:r>
    </w:p>
    <w:p>
      <w:pPr>
        <w:pStyle w:val="ListBullet"/>
      </w:pPr>
      <w:r>
        <w:t>关闭自动播放和非必要推送。</w:t>
      </w:r>
    </w:p>
    <w:p>
      <w:pPr>
        <w:pStyle w:val="ListBullet"/>
      </w:pPr>
      <w:r>
        <w:t>把应用从主屏移除并在打开前写下目的。</w:t>
      </w:r>
    </w:p>
    <w:p>
      <w:pPr>
        <w:pStyle w:val="ListBullet"/>
      </w:pPr>
      <w:r>
        <w:t>每20—35分钟离屏休息。</w:t>
      </w:r>
    </w:p>
    <w:p>
      <w:pPr>
        <w:pStyle w:val="ListBullet"/>
      </w:pPr>
      <w:r>
        <w:t>睡前90分钟停止推荐流。</w:t>
      </w:r>
    </w:p>
    <w:p>
      <w:pPr>
        <w:pStyle w:val="ListBullet"/>
      </w:pPr>
      <w:r>
        <w:t>隐藏连胜、点赞和随机奖励。</w:t>
      </w:r>
    </w:p>
    <w:p>
      <w:pPr>
        <w:pStyle w:val="ListBullet"/>
      </w:pPr>
      <w:r>
        <w:t>记录使用前后状态，以现实结果调整。</w:t>
      </w:r>
    </w:p>
    <w:p>
      <w:r>
        <w:br w:type="page"/>
      </w:r>
    </w:p>
    <w:p>
      <w:pPr>
        <w:pStyle w:val="Heading1"/>
      </w:pPr>
      <w:r>
        <w:t>十一、现实生活中的主动修复</w:t>
      </w:r>
    </w:p>
    <w:p>
      <w:pPr>
        <w:keepLines w:val="0"/>
      </w:pPr>
      <w:r>
        <w:t>数字空间的操纵如果已经引发现实购买、家庭冲突、医疗延误、骚扰或儿童照护风险，单纯给内容加标签已经不够。系统要求记录实际结果，分离本人陈述、相关方确认和独立核验，并选择停止、纠正、退出、返还或进一步调查。</w:t>
      </w:r>
    </w:p>
    <w:p>
      <w:pPr>
        <w:keepLines w:val="0"/>
      </w:pPr>
      <w:r>
        <w:t>修复优先序是：停止继续放大或售卖；让更正尽可能到达原受众；恢复退款、删除、退出和申诉；修复直接损害；改变推荐、广告和销售激励；将误报和漏报写回模型。</w:t>
      </w:r>
    </w:p>
    <w:p>
      <w:pPr>
        <w:keepLines w:val="0"/>
      </w:pPr>
      <w:r>
        <w:t>任何现实赔偿、处罚或强制措施仍需适格主体和正当程序。QINGYUAN只生成结构化修复草案和回执，不自行扣款或对外制裁。</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0281F"/>
            <w:vAlign w:val="center"/>
          </w:tcPr>
          <w:p>
            <w:r/>
            <w:r>
              <w:rPr>
                <w:b/>
                <w:color w:val="FFFFFF"/>
                <w:sz w:val="18"/>
              </w:rPr>
              <w:t>现实情景</w:t>
            </w:r>
          </w:p>
        </w:tc>
        <w:tc>
          <w:tcPr>
            <w:tcW w:type="dxa" w:w="5100"/>
            <w:shd w:fill="10281F"/>
            <w:vAlign w:val="center"/>
          </w:tcPr>
          <w:p>
            <w:r/>
            <w:r>
              <w:rPr>
                <w:b/>
                <w:color w:val="FFFFFF"/>
                <w:sz w:val="18"/>
              </w:rPr>
              <w:t>主动措施</w:t>
            </w:r>
          </w:p>
        </w:tc>
      </w:tr>
      <w:tr>
        <w:tc>
          <w:tcPr>
            <w:tcW w:type="dxa" w:w="5100"/>
            <w:vAlign w:val="center"/>
          </w:tcPr>
          <w:p>
            <w:r/>
            <w:r>
              <w:rPr>
                <w:b w:val="0"/>
                <w:sz w:val="17"/>
              </w:rPr>
              <w:t>冲动购买伪课程</w:t>
            </w:r>
          </w:p>
        </w:tc>
        <w:tc>
          <w:tcPr>
            <w:tcW w:type="dxa" w:w="5100"/>
            <w:vAlign w:val="center"/>
          </w:tcPr>
          <w:p>
            <w:r/>
            <w:r>
              <w:rPr>
                <w:b w:val="0"/>
                <w:sz w:val="17"/>
              </w:rPr>
              <w:t>冷却、保全页面、核验退款、停止升级销售</w:t>
            </w:r>
          </w:p>
        </w:tc>
      </w:tr>
      <w:tr>
        <w:tc>
          <w:tcPr>
            <w:tcW w:type="dxa" w:w="5100"/>
            <w:shd w:fill="F4F7F5"/>
            <w:vAlign w:val="center"/>
          </w:tcPr>
          <w:p>
            <w:r/>
            <w:r>
              <w:rPr>
                <w:b w:val="0"/>
                <w:sz w:val="17"/>
              </w:rPr>
              <w:t>家庭零和冲突</w:t>
            </w:r>
          </w:p>
        </w:tc>
        <w:tc>
          <w:tcPr>
            <w:tcW w:type="dxa" w:w="5100"/>
            <w:shd w:fill="F4F7F5"/>
            <w:vAlign w:val="center"/>
          </w:tcPr>
          <w:p>
            <w:r/>
            <w:r>
              <w:rPr>
                <w:b w:val="0"/>
                <w:sz w:val="17"/>
              </w:rPr>
              <w:t>负担地图、可逆分工试行、复盘；暴力例外</w:t>
            </w:r>
          </w:p>
        </w:tc>
      </w:tr>
      <w:tr>
        <w:tc>
          <w:tcPr>
            <w:tcW w:type="dxa" w:w="5100"/>
            <w:vAlign w:val="center"/>
          </w:tcPr>
          <w:p>
            <w:r/>
            <w:r>
              <w:rPr>
                <w:b w:val="0"/>
                <w:sz w:val="17"/>
              </w:rPr>
              <w:t>医疗或心理伪知识</w:t>
            </w:r>
          </w:p>
        </w:tc>
        <w:tc>
          <w:tcPr>
            <w:tcW w:type="dxa" w:w="5100"/>
            <w:vAlign w:val="center"/>
          </w:tcPr>
          <w:p>
            <w:r/>
            <w:r>
              <w:rPr>
                <w:b w:val="0"/>
                <w:sz w:val="17"/>
              </w:rPr>
              <w:t>停止替代正规治疗、保存证据、专业核验</w:t>
            </w:r>
          </w:p>
        </w:tc>
      </w:tr>
      <w:tr>
        <w:tc>
          <w:tcPr>
            <w:tcW w:type="dxa" w:w="5100"/>
            <w:shd w:fill="F4F7F5"/>
            <w:vAlign w:val="center"/>
          </w:tcPr>
          <w:p>
            <w:r/>
            <w:r>
              <w:rPr>
                <w:b w:val="0"/>
                <w:sz w:val="17"/>
              </w:rPr>
              <w:t>内容更正</w:t>
            </w:r>
          </w:p>
        </w:tc>
        <w:tc>
          <w:tcPr>
            <w:tcW w:type="dxa" w:w="5100"/>
            <w:shd w:fill="F4F7F5"/>
            <w:vAlign w:val="center"/>
          </w:tcPr>
          <w:p>
            <w:r/>
            <w:r>
              <w:rPr>
                <w:b w:val="0"/>
                <w:sz w:val="17"/>
              </w:rPr>
              <w:t>向原受众提供可理解更正并标明变化</w:t>
            </w:r>
          </w:p>
        </w:tc>
      </w:tr>
      <w:tr>
        <w:tc>
          <w:tcPr>
            <w:tcW w:type="dxa" w:w="5100"/>
            <w:vAlign w:val="center"/>
          </w:tcPr>
          <w:p>
            <w:r/>
            <w:r>
              <w:rPr>
                <w:b w:val="0"/>
                <w:sz w:val="17"/>
              </w:rPr>
              <w:t>重复放大</w:t>
            </w:r>
          </w:p>
        </w:tc>
        <w:tc>
          <w:tcPr>
            <w:tcW w:type="dxa" w:w="5100"/>
            <w:vAlign w:val="center"/>
          </w:tcPr>
          <w:p>
            <w:r/>
            <w:r>
              <w:rPr>
                <w:b w:val="0"/>
                <w:sz w:val="17"/>
              </w:rPr>
              <w:t>检查推荐与商业激励，降低机制收益</w:t>
            </w:r>
          </w:p>
        </w:tc>
      </w:tr>
      <w:tr>
        <w:tc>
          <w:tcPr>
            <w:tcW w:type="dxa" w:w="5100"/>
            <w:shd w:fill="F4F7F5"/>
            <w:vAlign w:val="center"/>
          </w:tcPr>
          <w:p>
            <w:r/>
            <w:r>
              <w:rPr>
                <w:b w:val="0"/>
                <w:sz w:val="17"/>
              </w:rPr>
              <w:t>错误判定</w:t>
            </w:r>
          </w:p>
        </w:tc>
        <w:tc>
          <w:tcPr>
            <w:tcW w:type="dxa" w:w="5100"/>
            <w:shd w:fill="F4F7F5"/>
            <w:vAlign w:val="center"/>
          </w:tcPr>
          <w:p>
            <w:r/>
            <w:r>
              <w:rPr>
                <w:b w:val="0"/>
                <w:sz w:val="17"/>
              </w:rPr>
              <w:t>撤销措施、通知受影响者、补偿并修订模型</w:t>
            </w:r>
          </w:p>
        </w:tc>
      </w:tr>
    </w:tbl>
    <w:p>
      <w:r>
        <w:br w:type="page"/>
      </w:r>
    </w:p>
    <w:p>
      <w:pPr>
        <w:pStyle w:val="Heading1"/>
      </w:pPr>
      <w:r>
        <w:t>十二、治理、申诉与反滥用设计</w:t>
      </w:r>
    </w:p>
    <w:p>
      <w:pPr>
        <w:keepLines w:val="0"/>
      </w:pPr>
      <w:r>
        <w:t>主动系统若没有反滥用结构，可能成为新的操纵工具。QINGYUAN固定禁止人的总价值排名、政治观点处罚、负面情绪压制、人格善恶标签、自动外部删帖、自动处罚和自动价值转移。</w:t>
      </w:r>
    </w:p>
    <w:p>
      <w:pPr>
        <w:keepLines w:val="0"/>
      </w:pPr>
      <w:r>
        <w:t>机构部署必须分离证据收集、决定、申诉和受益角色；平台不能因为把更多内容判为有害而直接获利。每项措施都要有范围、理由、到期、停止条件、申诉和纠正记录。</w:t>
      </w:r>
    </w:p>
    <w:p>
      <w:pPr>
        <w:keepLines w:val="0"/>
      </w:pPr>
      <w:r>
        <w:t>系统还必须公开自己的失败：假阳性、假阴性、受保护表达受损、受影响群体差异、纠正到达率、退出成功率和现实修复结果。</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0281F"/>
            <w:vAlign w:val="center"/>
          </w:tcPr>
          <w:p>
            <w:r/>
            <w:r>
              <w:rPr>
                <w:b/>
                <w:color w:val="FFFFFF"/>
                <w:sz w:val="18"/>
              </w:rPr>
              <w:t>硬不变量</w:t>
            </w:r>
          </w:p>
        </w:tc>
        <w:tc>
          <w:tcPr>
            <w:tcW w:type="dxa" w:w="5100"/>
            <w:shd w:fill="10281F"/>
            <w:vAlign w:val="center"/>
          </w:tcPr>
          <w:p>
            <w:r/>
            <w:r>
              <w:rPr>
                <w:b/>
                <w:color w:val="FFFFFF"/>
                <w:sz w:val="18"/>
              </w:rPr>
              <w:t>值</w:t>
            </w:r>
          </w:p>
        </w:tc>
      </w:tr>
      <w:tr>
        <w:tc>
          <w:tcPr>
            <w:tcW w:type="dxa" w:w="5100"/>
            <w:vAlign w:val="center"/>
          </w:tcPr>
          <w:p>
            <w:r/>
            <w:r>
              <w:rPr>
                <w:b w:val="0"/>
                <w:sz w:val="17"/>
              </w:rPr>
              <w:t>人的总价值排名权限</w:t>
            </w:r>
          </w:p>
        </w:tc>
        <w:tc>
          <w:tcPr>
            <w:tcW w:type="dxa" w:w="5100"/>
            <w:vAlign w:val="center"/>
          </w:tcPr>
          <w:p>
            <w:r/>
            <w:r>
              <w:rPr>
                <w:b w:val="0"/>
                <w:sz w:val="17"/>
              </w:rPr>
              <w:t>0</w:t>
            </w:r>
          </w:p>
        </w:tc>
      </w:tr>
      <w:tr>
        <w:tc>
          <w:tcPr>
            <w:tcW w:type="dxa" w:w="5100"/>
            <w:shd w:fill="F4F7F5"/>
            <w:vAlign w:val="center"/>
          </w:tcPr>
          <w:p>
            <w:r/>
            <w:r>
              <w:rPr>
                <w:b w:val="0"/>
                <w:sz w:val="17"/>
              </w:rPr>
              <w:t>政治观点处罚权限</w:t>
            </w:r>
          </w:p>
        </w:tc>
        <w:tc>
          <w:tcPr>
            <w:tcW w:type="dxa" w:w="5100"/>
            <w:shd w:fill="F4F7F5"/>
            <w:vAlign w:val="center"/>
          </w:tcPr>
          <w:p>
            <w:r/>
            <w:r>
              <w:rPr>
                <w:b w:val="0"/>
                <w:sz w:val="17"/>
              </w:rPr>
              <w:t>0</w:t>
            </w:r>
          </w:p>
        </w:tc>
      </w:tr>
      <w:tr>
        <w:tc>
          <w:tcPr>
            <w:tcW w:type="dxa" w:w="5100"/>
            <w:vAlign w:val="center"/>
          </w:tcPr>
          <w:p>
            <w:r/>
            <w:r>
              <w:rPr>
                <w:b w:val="0"/>
                <w:sz w:val="17"/>
              </w:rPr>
              <w:t>负面情绪压制权限</w:t>
            </w:r>
          </w:p>
        </w:tc>
        <w:tc>
          <w:tcPr>
            <w:tcW w:type="dxa" w:w="5100"/>
            <w:vAlign w:val="center"/>
          </w:tcPr>
          <w:p>
            <w:r/>
            <w:r>
              <w:rPr>
                <w:b w:val="0"/>
                <w:sz w:val="17"/>
              </w:rPr>
              <w:t>0</w:t>
            </w:r>
          </w:p>
        </w:tc>
      </w:tr>
      <w:tr>
        <w:tc>
          <w:tcPr>
            <w:tcW w:type="dxa" w:w="5100"/>
            <w:shd w:fill="F4F7F5"/>
            <w:vAlign w:val="center"/>
          </w:tcPr>
          <w:p>
            <w:r/>
            <w:r>
              <w:rPr>
                <w:b w:val="0"/>
                <w:sz w:val="17"/>
              </w:rPr>
              <w:t>人格善恶标签</w:t>
            </w:r>
          </w:p>
        </w:tc>
        <w:tc>
          <w:tcPr>
            <w:tcW w:type="dxa" w:w="5100"/>
            <w:shd w:fill="F4F7F5"/>
            <w:vAlign w:val="center"/>
          </w:tcPr>
          <w:p>
            <w:r/>
            <w:r>
              <w:rPr>
                <w:b w:val="0"/>
                <w:sz w:val="17"/>
              </w:rPr>
              <w:t>0</w:t>
            </w:r>
          </w:p>
        </w:tc>
      </w:tr>
      <w:tr>
        <w:tc>
          <w:tcPr>
            <w:tcW w:type="dxa" w:w="5100"/>
            <w:vAlign w:val="center"/>
          </w:tcPr>
          <w:p>
            <w:r/>
            <w:r>
              <w:rPr>
                <w:b w:val="0"/>
                <w:sz w:val="17"/>
              </w:rPr>
              <w:t>自动外部删帖或制裁</w:t>
            </w:r>
          </w:p>
        </w:tc>
        <w:tc>
          <w:tcPr>
            <w:tcW w:type="dxa" w:w="5100"/>
            <w:vAlign w:val="center"/>
          </w:tcPr>
          <w:p>
            <w:r/>
            <w:r>
              <w:rPr>
                <w:b w:val="0"/>
                <w:sz w:val="17"/>
              </w:rPr>
              <w:t>0</w:t>
            </w:r>
          </w:p>
        </w:tc>
      </w:tr>
      <w:tr>
        <w:tc>
          <w:tcPr>
            <w:tcW w:type="dxa" w:w="5100"/>
            <w:shd w:fill="F4F7F5"/>
            <w:vAlign w:val="center"/>
          </w:tcPr>
          <w:p>
            <w:r/>
            <w:r>
              <w:rPr>
                <w:b w:val="0"/>
                <w:sz w:val="17"/>
              </w:rPr>
              <w:t>自动扣款或价值转移</w:t>
            </w:r>
          </w:p>
        </w:tc>
        <w:tc>
          <w:tcPr>
            <w:tcW w:type="dxa" w:w="5100"/>
            <w:shd w:fill="F4F7F5"/>
            <w:vAlign w:val="center"/>
          </w:tcPr>
          <w:p>
            <w:r/>
            <w:r>
              <w:rPr>
                <w:b w:val="0"/>
                <w:sz w:val="17"/>
              </w:rPr>
              <w:t>0</w:t>
            </w:r>
          </w:p>
        </w:tc>
      </w:tr>
      <w:tr>
        <w:tc>
          <w:tcPr>
            <w:tcW w:type="dxa" w:w="5100"/>
            <w:vAlign w:val="center"/>
          </w:tcPr>
          <w:p>
            <w:r/>
            <w:r>
              <w:rPr>
                <w:b w:val="0"/>
                <w:sz w:val="17"/>
              </w:rPr>
              <w:t>申诉与纠正</w:t>
            </w:r>
          </w:p>
        </w:tc>
        <w:tc>
          <w:tcPr>
            <w:tcW w:type="dxa" w:w="5100"/>
            <w:vAlign w:val="center"/>
          </w:tcPr>
          <w:p>
            <w:r/>
            <w:r>
              <w:rPr>
                <w:b w:val="0"/>
                <w:sz w:val="17"/>
              </w:rPr>
              <w:t>必须</w:t>
            </w:r>
          </w:p>
        </w:tc>
      </w:tr>
      <w:tr>
        <w:tc>
          <w:tcPr>
            <w:tcW w:type="dxa" w:w="5100"/>
            <w:shd w:fill="F4F7F5"/>
            <w:vAlign w:val="center"/>
          </w:tcPr>
          <w:p>
            <w:r/>
            <w:r>
              <w:rPr>
                <w:b w:val="0"/>
                <w:sz w:val="17"/>
              </w:rPr>
              <w:t>现实结果回执</w:t>
            </w:r>
          </w:p>
        </w:tc>
        <w:tc>
          <w:tcPr>
            <w:tcW w:type="dxa" w:w="5100"/>
            <w:shd w:fill="F4F7F5"/>
            <w:vAlign w:val="center"/>
          </w:tcPr>
          <w:p>
            <w:r/>
            <w:r>
              <w:rPr>
                <w:b w:val="0"/>
                <w:sz w:val="17"/>
              </w:rPr>
              <w:t>必须</w:t>
            </w:r>
          </w:p>
        </w:tc>
      </w:tr>
    </w:tbl>
    <w:p>
      <w:r>
        <w:br w:type="page"/>
      </w:r>
    </w:p>
    <w:p>
      <w:pPr>
        <w:pStyle w:val="Heading1"/>
      </w:pPr>
      <w:r>
        <w:t>十三、系统架构与开放源代码交付</w:t>
      </w:r>
    </w:p>
    <w:p>
      <w:pPr>
        <w:keepLines w:val="0"/>
      </w:pPr>
      <w:r>
        <w:t>完整交付由四个可独立运行的前端与内核组成：离线单文件个人客户端、普通HTML/CSS/JavaScript源码树、Manifest V3浏览器选择防护扩展，以及零第三方运行依赖的Python分析内核。</w:t>
      </w:r>
    </w:p>
    <w:p>
      <w:pPr>
        <w:keepLines w:val="0"/>
      </w:pPr>
      <w:r>
        <w:t>Python包提供内容分析、语境修复、知识售卖审计、关系模拟、干预计划和追加式哈希回执。命令行支持分析文件或标准输入、运行合成案例、生成工作区和验证回执链。</w:t>
      </w:r>
    </w:p>
    <w:p>
      <w:pPr>
        <w:keepLines w:val="0"/>
      </w:pPr>
      <w:r>
        <w:t>开放源代码包还包括JSON Schema、结构化Issue模板、持续集成、双语规范、测试、SBOM、校验值和发布回执。大交付ZIP不是唯一源码入口，普通目录结构可以直接在GitHub中逐行审阅。</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0281F"/>
            <w:vAlign w:val="center"/>
          </w:tcPr>
          <w:p>
            <w:r/>
            <w:r>
              <w:rPr>
                <w:b/>
                <w:color w:val="FFFFFF"/>
                <w:sz w:val="18"/>
              </w:rPr>
              <w:t>组件</w:t>
            </w:r>
          </w:p>
        </w:tc>
        <w:tc>
          <w:tcPr>
            <w:tcW w:type="dxa" w:w="5100"/>
            <w:shd w:fill="10281F"/>
            <w:vAlign w:val="center"/>
          </w:tcPr>
          <w:p>
            <w:r/>
            <w:r>
              <w:rPr>
                <w:b/>
                <w:color w:val="FFFFFF"/>
                <w:sz w:val="18"/>
              </w:rPr>
              <w:t>运行方式</w:t>
            </w:r>
          </w:p>
        </w:tc>
      </w:tr>
      <w:tr>
        <w:tc>
          <w:tcPr>
            <w:tcW w:type="dxa" w:w="5100"/>
            <w:vAlign w:val="center"/>
          </w:tcPr>
          <w:p>
            <w:r/>
            <w:r>
              <w:rPr>
                <w:b w:val="0"/>
                <w:sz w:val="17"/>
              </w:rPr>
              <w:t>个人客户端</w:t>
            </w:r>
          </w:p>
        </w:tc>
        <w:tc>
          <w:tcPr>
            <w:tcW w:type="dxa" w:w="5100"/>
            <w:vAlign w:val="center"/>
          </w:tcPr>
          <w:p>
            <w:r/>
            <w:r>
              <w:rPr>
                <w:b w:val="0"/>
                <w:sz w:val="17"/>
              </w:rPr>
              <w:t>下载后浏览器直接打开</w:t>
            </w:r>
          </w:p>
        </w:tc>
      </w:tr>
      <w:tr>
        <w:tc>
          <w:tcPr>
            <w:tcW w:type="dxa" w:w="5100"/>
            <w:shd w:fill="F4F7F5"/>
            <w:vAlign w:val="center"/>
          </w:tcPr>
          <w:p>
            <w:r/>
            <w:r>
              <w:rPr>
                <w:b w:val="0"/>
                <w:sz w:val="17"/>
              </w:rPr>
              <w:t>浏览器扩展</w:t>
            </w:r>
          </w:p>
        </w:tc>
        <w:tc>
          <w:tcPr>
            <w:tcW w:type="dxa" w:w="5100"/>
            <w:shd w:fill="F4F7F5"/>
            <w:vAlign w:val="center"/>
          </w:tcPr>
          <w:p>
            <w:r/>
            <w:r>
              <w:rPr>
                <w:b w:val="0"/>
                <w:sz w:val="17"/>
              </w:rPr>
              <w:t>开发者模式加载extension目录</w:t>
            </w:r>
          </w:p>
        </w:tc>
      </w:tr>
      <w:tr>
        <w:tc>
          <w:tcPr>
            <w:tcW w:type="dxa" w:w="5100"/>
            <w:vAlign w:val="center"/>
          </w:tcPr>
          <w:p>
            <w:r/>
            <w:r>
              <w:rPr>
                <w:b w:val="0"/>
                <w:sz w:val="17"/>
              </w:rPr>
              <w:t>Python CLI</w:t>
            </w:r>
          </w:p>
        </w:tc>
        <w:tc>
          <w:tcPr>
            <w:tcW w:type="dxa" w:w="5100"/>
            <w:vAlign w:val="center"/>
          </w:tcPr>
          <w:p>
            <w:r/>
            <w:r>
              <w:rPr>
                <w:b w:val="0"/>
                <w:sz w:val="17"/>
              </w:rPr>
              <w:t>pip install或PYZ单文件运行</w:t>
            </w:r>
          </w:p>
        </w:tc>
      </w:tr>
      <w:tr>
        <w:tc>
          <w:tcPr>
            <w:tcW w:type="dxa" w:w="5100"/>
            <w:shd w:fill="F4F7F5"/>
            <w:vAlign w:val="center"/>
          </w:tcPr>
          <w:p>
            <w:r/>
            <w:r>
              <w:rPr>
                <w:b w:val="0"/>
                <w:sz w:val="17"/>
              </w:rPr>
              <w:t>Schema与协议</w:t>
            </w:r>
          </w:p>
        </w:tc>
        <w:tc>
          <w:tcPr>
            <w:tcW w:type="dxa" w:w="5100"/>
            <w:shd w:fill="F4F7F5"/>
            <w:vAlign w:val="center"/>
          </w:tcPr>
          <w:p>
            <w:r/>
            <w:r>
              <w:rPr>
                <w:b w:val="0"/>
                <w:sz w:val="17"/>
              </w:rPr>
              <w:t>用于机构适配和互操作</w:t>
            </w:r>
          </w:p>
        </w:tc>
      </w:tr>
      <w:tr>
        <w:tc>
          <w:tcPr>
            <w:tcW w:type="dxa" w:w="5100"/>
            <w:vAlign w:val="center"/>
          </w:tcPr>
          <w:p>
            <w:r/>
            <w:r>
              <w:rPr>
                <w:b w:val="0"/>
                <w:sz w:val="17"/>
              </w:rPr>
              <w:t>回执链</w:t>
            </w:r>
          </w:p>
        </w:tc>
        <w:tc>
          <w:tcPr>
            <w:tcW w:type="dxa" w:w="5100"/>
            <w:vAlign w:val="center"/>
          </w:tcPr>
          <w:p>
            <w:r/>
            <w:r>
              <w:rPr>
                <w:b w:val="0"/>
                <w:sz w:val="17"/>
              </w:rPr>
              <w:t>证明记录连续，不证明结论天然正确</w:t>
            </w:r>
          </w:p>
        </w:tc>
      </w:tr>
      <w:tr>
        <w:tc>
          <w:tcPr>
            <w:tcW w:type="dxa" w:w="5100"/>
            <w:shd w:fill="F4F7F5"/>
            <w:vAlign w:val="center"/>
          </w:tcPr>
          <w:p>
            <w:r/>
            <w:r>
              <w:rPr>
                <w:b w:val="0"/>
                <w:sz w:val="17"/>
              </w:rPr>
              <w:t>测试与SBOM</w:t>
            </w:r>
          </w:p>
        </w:tc>
        <w:tc>
          <w:tcPr>
            <w:tcW w:type="dxa" w:w="5100"/>
            <w:shd w:fill="F4F7F5"/>
            <w:vAlign w:val="center"/>
          </w:tcPr>
          <w:p>
            <w:r/>
            <w:r>
              <w:rPr>
                <w:b w:val="0"/>
                <w:sz w:val="17"/>
              </w:rPr>
              <w:t>支持复现、审阅和供应链检查</w:t>
            </w:r>
          </w:p>
        </w:tc>
      </w:tr>
    </w:tbl>
    <w:p>
      <w:r>
        <w:br w:type="page"/>
      </w:r>
    </w:p>
    <w:p>
      <w:pPr>
        <w:pStyle w:val="Heading1"/>
      </w:pPr>
      <w:r>
        <w:t>十四、部署路线与效果指标</w:t>
      </w:r>
    </w:p>
    <w:p>
      <w:pPr>
        <w:keepLines w:val="0"/>
      </w:pPr>
      <w:r>
        <w:t>个人试用可以立即开始；学校、社区、媒体、平台和公共机构应从有限场景进入。第一阶段只做影子分析和用户自愿工具，不改变内容可见性。第二阶段测试语境卡、分享摩擦和成瘾断路器。第三阶段才接入可申诉的推荐降放大和商业披露。</w:t>
      </w:r>
    </w:p>
    <w:p>
      <w:pPr>
        <w:keepLines w:val="0"/>
      </w:pPr>
      <w:r>
        <w:t>效果不能只用“删除了多少负面内容”衡量。更有意义的指标包括：错误主张纠正率、受保护表达保存率、语境卡阅读与理解、冲动分享下降、成瘾使用下降、伪知识退款和退出成功率、关系冲突是否缓解、现实伤害是否修复。</w:t>
      </w:r>
    </w:p>
    <w:p>
      <w:pPr>
        <w:keepLines w:val="0"/>
      </w:pPr>
      <w:r>
        <w:t>任何扩大部署必须以预先声明的停止条件为前提：受保护表达受损、误报持续升高、弱势群体申诉困难、平台通过分类获利、纠正无法触达或现实伤害增加时，应暂停并重构。</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0281F"/>
            <w:vAlign w:val="center"/>
          </w:tcPr>
          <w:p>
            <w:r/>
            <w:r>
              <w:rPr>
                <w:b/>
                <w:color w:val="FFFFFF"/>
                <w:sz w:val="18"/>
              </w:rPr>
              <w:t>阶段</w:t>
            </w:r>
          </w:p>
        </w:tc>
        <w:tc>
          <w:tcPr>
            <w:tcW w:type="dxa" w:w="3400"/>
            <w:shd w:fill="10281F"/>
            <w:vAlign w:val="center"/>
          </w:tcPr>
          <w:p>
            <w:r/>
            <w:r>
              <w:rPr>
                <w:b/>
                <w:color w:val="FFFFFF"/>
                <w:sz w:val="18"/>
              </w:rPr>
              <w:t>范围</w:t>
            </w:r>
          </w:p>
        </w:tc>
        <w:tc>
          <w:tcPr>
            <w:tcW w:type="dxa" w:w="3400"/>
            <w:shd w:fill="10281F"/>
            <w:vAlign w:val="center"/>
          </w:tcPr>
          <w:p>
            <w:r/>
            <w:r>
              <w:rPr>
                <w:b/>
                <w:color w:val="FFFFFF"/>
                <w:sz w:val="18"/>
              </w:rPr>
              <w:t>升级条件</w:t>
            </w:r>
          </w:p>
        </w:tc>
      </w:tr>
      <w:tr>
        <w:tc>
          <w:tcPr>
            <w:tcW w:type="dxa" w:w="3400"/>
            <w:vAlign w:val="center"/>
          </w:tcPr>
          <w:p>
            <w:r/>
            <w:r>
              <w:rPr>
                <w:b w:val="0"/>
                <w:sz w:val="17"/>
              </w:rPr>
              <w:t>0 个人本地</w:t>
            </w:r>
          </w:p>
        </w:tc>
        <w:tc>
          <w:tcPr>
            <w:tcW w:type="dxa" w:w="3400"/>
            <w:vAlign w:val="center"/>
          </w:tcPr>
          <w:p>
            <w:r/>
            <w:r>
              <w:rPr>
                <w:b w:val="0"/>
                <w:sz w:val="17"/>
              </w:rPr>
              <w:t>分析、语境、分享、断路</w:t>
            </w:r>
          </w:p>
        </w:tc>
        <w:tc>
          <w:tcPr>
            <w:tcW w:type="dxa" w:w="3400"/>
            <w:vAlign w:val="center"/>
          </w:tcPr>
          <w:p>
            <w:r/>
            <w:r>
              <w:rPr>
                <w:b w:val="0"/>
                <w:sz w:val="17"/>
              </w:rPr>
              <w:t>完全由本人控制</w:t>
            </w:r>
          </w:p>
        </w:tc>
      </w:tr>
      <w:tr>
        <w:tc>
          <w:tcPr>
            <w:tcW w:type="dxa" w:w="3400"/>
            <w:shd w:fill="F4F7F5"/>
            <w:vAlign w:val="center"/>
          </w:tcPr>
          <w:p>
            <w:r/>
            <w:r>
              <w:rPr>
                <w:b w:val="0"/>
                <w:sz w:val="17"/>
              </w:rPr>
              <w:t>1 影子试点</w:t>
            </w:r>
          </w:p>
        </w:tc>
        <w:tc>
          <w:tcPr>
            <w:tcW w:type="dxa" w:w="3400"/>
            <w:shd w:fill="F4F7F5"/>
            <w:vAlign w:val="center"/>
          </w:tcPr>
          <w:p>
            <w:r/>
            <w:r>
              <w:rPr>
                <w:b w:val="0"/>
                <w:sz w:val="17"/>
              </w:rPr>
              <w:t>不改变可见性的机构分析</w:t>
            </w:r>
          </w:p>
        </w:tc>
        <w:tc>
          <w:tcPr>
            <w:tcW w:type="dxa" w:w="3400"/>
            <w:shd w:fill="F4F7F5"/>
            <w:vAlign w:val="center"/>
          </w:tcPr>
          <w:p>
            <w:r/>
            <w:r>
              <w:rPr>
                <w:b w:val="0"/>
                <w:sz w:val="17"/>
              </w:rPr>
              <w:t>误报和保护边界可测</w:t>
            </w:r>
          </w:p>
        </w:tc>
      </w:tr>
      <w:tr>
        <w:tc>
          <w:tcPr>
            <w:tcW w:type="dxa" w:w="3400"/>
            <w:vAlign w:val="center"/>
          </w:tcPr>
          <w:p>
            <w:r/>
            <w:r>
              <w:rPr>
                <w:b w:val="0"/>
                <w:sz w:val="17"/>
              </w:rPr>
              <w:t>2 可逆干预</w:t>
            </w:r>
          </w:p>
        </w:tc>
        <w:tc>
          <w:tcPr>
            <w:tcW w:type="dxa" w:w="3400"/>
            <w:vAlign w:val="center"/>
          </w:tcPr>
          <w:p>
            <w:r/>
            <w:r>
              <w:rPr>
                <w:b w:val="0"/>
                <w:sz w:val="17"/>
              </w:rPr>
              <w:t>语境卡、摩擦、用户降放大</w:t>
            </w:r>
          </w:p>
        </w:tc>
        <w:tc>
          <w:tcPr>
            <w:tcW w:type="dxa" w:w="3400"/>
            <w:vAlign w:val="center"/>
          </w:tcPr>
          <w:p>
            <w:r/>
            <w:r>
              <w:rPr>
                <w:b w:val="0"/>
                <w:sz w:val="17"/>
              </w:rPr>
              <w:t>申诉与到期有效</w:t>
            </w:r>
          </w:p>
        </w:tc>
      </w:tr>
      <w:tr>
        <w:tc>
          <w:tcPr>
            <w:tcW w:type="dxa" w:w="3400"/>
            <w:shd w:fill="F4F7F5"/>
            <w:vAlign w:val="center"/>
          </w:tcPr>
          <w:p>
            <w:r/>
            <w:r>
              <w:rPr>
                <w:b w:val="0"/>
                <w:sz w:val="17"/>
              </w:rPr>
              <w:t>3 商业治理</w:t>
            </w:r>
          </w:p>
        </w:tc>
        <w:tc>
          <w:tcPr>
            <w:tcW w:type="dxa" w:w="3400"/>
            <w:shd w:fill="F4F7F5"/>
            <w:vAlign w:val="center"/>
          </w:tcPr>
          <w:p>
            <w:r/>
            <w:r>
              <w:rPr>
                <w:b w:val="0"/>
                <w:sz w:val="17"/>
              </w:rPr>
              <w:t>披露、购买暂停和退款路径</w:t>
            </w:r>
          </w:p>
        </w:tc>
        <w:tc>
          <w:tcPr>
            <w:tcW w:type="dxa" w:w="3400"/>
            <w:shd w:fill="F4F7F5"/>
            <w:vAlign w:val="center"/>
          </w:tcPr>
          <w:p>
            <w:r/>
            <w:r>
              <w:rPr>
                <w:b w:val="0"/>
                <w:sz w:val="17"/>
              </w:rPr>
              <w:t>独立复核可用</w:t>
            </w:r>
          </w:p>
        </w:tc>
      </w:tr>
      <w:tr>
        <w:tc>
          <w:tcPr>
            <w:tcW w:type="dxa" w:w="3400"/>
            <w:vAlign w:val="center"/>
          </w:tcPr>
          <w:p>
            <w:r/>
            <w:r>
              <w:rPr>
                <w:b w:val="0"/>
                <w:sz w:val="17"/>
              </w:rPr>
              <w:t>4 修复闭环</w:t>
            </w:r>
          </w:p>
        </w:tc>
        <w:tc>
          <w:tcPr>
            <w:tcW w:type="dxa" w:w="3400"/>
            <w:vAlign w:val="center"/>
          </w:tcPr>
          <w:p>
            <w:r/>
            <w:r>
              <w:rPr>
                <w:b w:val="0"/>
                <w:sz w:val="17"/>
              </w:rPr>
              <w:t>纠正触达、返还和机制整改</w:t>
            </w:r>
          </w:p>
        </w:tc>
        <w:tc>
          <w:tcPr>
            <w:tcW w:type="dxa" w:w="3400"/>
            <w:vAlign w:val="center"/>
          </w:tcPr>
          <w:p>
            <w:r/>
            <w:r>
              <w:rPr>
                <w:b w:val="0"/>
                <w:sz w:val="17"/>
              </w:rPr>
              <w:t>现实结果支持</w:t>
            </w:r>
          </w:p>
        </w:tc>
      </w:tr>
      <w:tr>
        <w:tc>
          <w:tcPr>
            <w:tcW w:type="dxa" w:w="3400"/>
            <w:shd w:fill="F4F7F5"/>
            <w:vAlign w:val="center"/>
          </w:tcPr>
          <w:p>
            <w:r/>
            <w:r>
              <w:rPr>
                <w:b w:val="0"/>
                <w:sz w:val="17"/>
              </w:rPr>
              <w:t>5 扩展或退役</w:t>
            </w:r>
          </w:p>
        </w:tc>
        <w:tc>
          <w:tcPr>
            <w:tcW w:type="dxa" w:w="3400"/>
            <w:shd w:fill="F4F7F5"/>
            <w:vAlign w:val="center"/>
          </w:tcPr>
          <w:p>
            <w:r/>
            <w:r>
              <w:rPr>
                <w:b w:val="0"/>
                <w:sz w:val="17"/>
              </w:rPr>
              <w:t>扩大、修订或停止</w:t>
            </w:r>
          </w:p>
        </w:tc>
        <w:tc>
          <w:tcPr>
            <w:tcW w:type="dxa" w:w="3400"/>
            <w:shd w:fill="F4F7F5"/>
            <w:vAlign w:val="center"/>
          </w:tcPr>
          <w:p>
            <w:r/>
            <w:r>
              <w:rPr>
                <w:b w:val="0"/>
                <w:sz w:val="17"/>
              </w:rPr>
              <w:t>按结果而非声望决定</w:t>
            </w:r>
          </w:p>
        </w:tc>
      </w:tr>
    </w:tbl>
    <w:p>
      <w:r>
        <w:br w:type="page"/>
      </w:r>
    </w:p>
    <w:p>
      <w:pPr>
        <w:pStyle w:val="Heading1"/>
      </w:pPr>
      <w:r>
        <w:t>十五、研究边界与下一阶段</w:t>
      </w:r>
    </w:p>
    <w:p>
      <w:pPr>
        <w:keepLines w:val="0"/>
      </w:pPr>
      <w:r>
        <w:t>当前版本采用透明规则和合成案例，能够验证软件流程，但不能证明现实分类准确率、因果干预效果或跨文化公平性。文本启发式尤其不能可靠识别讽刺、隐喻、复杂引用、方言和隐蔽组织化操纵。</w:t>
      </w:r>
    </w:p>
    <w:p>
      <w:pPr>
        <w:keepLines w:val="0"/>
      </w:pPr>
      <w:r>
        <w:t>下一阶段应建立由受影响群体、独立研究者、照护专业人员、事实核查者、平台工程师和申诉代表共同设计的封存评测集；分别测量内容、界面、商业漏斗和现实结果，避免只在文本上追求一个漂亮准确率。</w:t>
      </w:r>
    </w:p>
    <w:p>
      <w:pPr>
        <w:keepLines w:val="0"/>
      </w:pPr>
      <w:r>
        <w:t>最重要的研究问题不是怎样让系统更敢删除，而是怎样让操纵机制失去收益、让真实坏消息继续可见、让被遗漏的主体重新进入语境、让错误决定可撤销，并让现实结果持续迫使系统认错。</w:t>
      </w:r>
    </w:p>
    <w:p>
      <w:pPr>
        <w:pStyle w:val="ListBullet"/>
      </w:pPr>
      <w:r>
        <w:t>本报告不构成医疗、心理、法律或平台执法意见。</w:t>
      </w:r>
    </w:p>
    <w:p>
      <w:pPr>
        <w:pStyle w:val="ListBullet"/>
      </w:pPr>
      <w:r>
        <w:t>合成演示不代表真实用户效果。</w:t>
      </w:r>
    </w:p>
    <w:p>
      <w:pPr>
        <w:pStyle w:val="ListBullet"/>
      </w:pPr>
      <w:r>
        <w:t>任何国家和机构部署都需要本地权利与程序适配。</w:t>
      </w:r>
    </w:p>
    <w:p>
      <w:pPr>
        <w:pStyle w:val="ListBullet"/>
      </w:pPr>
      <w:r>
        <w:t>规则、阈值和世界模型必须允许公开反例和退役。</w:t>
      </w:r>
    </w:p>
    <w:sectPr w:rsidR="00FC693F" w:rsidRPr="0006063C" w:rsidSect="00034616">
      <w:footerReference w:type="default" r:id="rId9"/>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DIKWP QINGYUAN 27.0 · Alpha Research Prototype · 2026-09-06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Microsoft YaHei"/>
      <w:b/>
      <w:bCs/>
      <w:color w:val="10281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Microsoft YaHei"/>
      <w:b/>
      <w:bCs/>
      <w:color w:val="1C6B5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Microsoft YaHei"/>
      <w:b/>
      <w:bCs/>
      <w:color w:val="1028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Microsoft YaHei"/>
      <w:color w:val="10281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