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6B50"/>
          <w:sz w:val="40"/>
        </w:rPr>
        <w:t>DIKWP</w:t>
      </w:r>
    </w:p>
    <w:p/>
    <w:p/>
    <w:p/>
    <w:p>
      <w:pPr>
        <w:jc w:val="center"/>
      </w:pPr>
      <w:r>
        <w:rPr>
          <w:b/>
          <w:color w:val="10281F"/>
          <w:sz w:val="60"/>
        </w:rPr>
        <w:t>Active Cognitive Immunity and Reality Repair</w:t>
      </w:r>
    </w:p>
    <w:p>
      <w:pPr>
        <w:jc w:val="center"/>
      </w:pPr>
      <w:r>
        <w:rPr>
          <w:color w:val="607069"/>
          <w:sz w:val="32"/>
        </w:rPr>
        <w:t>QINGYUAN 27.0: A System for Manipulation, Addiction, Pseudo-Knowledge and Relational Harm in Digital and Physical Life</w:t>
      </w:r>
    </w:p>
    <w:p/>
    <w:tbl>
      <w:tblPr>
        <w:tblStyle w:val="TableGrid"/>
        <w:tblW w:type="auto" w:w="0"/>
        <w:jc w:val="center"/>
        <w:tblLook w:firstColumn="1" w:firstRow="1" w:lastColumn="0" w:lastRow="0" w:noHBand="0" w:noVBand="1" w:val="04A0"/>
      </w:tblPr>
      <w:tblGrid>
        <w:gridCol w:w="5100"/>
        <w:gridCol w:w="5100"/>
      </w:tblGrid>
      <w:tr>
        <w:tc>
          <w:tcPr>
            <w:tcW w:type="dxa" w:w="5100"/>
            <w:shd w:fill="E9F4EE"/>
            <w:vAlign w:val="center"/>
          </w:tcPr>
          <w:p>
            <w:r/>
            <w:r>
              <w:rPr>
                <w:b/>
                <w:color w:val="10281F"/>
                <w:sz w:val="20"/>
              </w:rPr>
              <w:t>System</w:t>
            </w:r>
          </w:p>
        </w:tc>
        <w:tc>
          <w:tcPr>
            <w:tcW w:type="dxa" w:w="5100"/>
            <w:vAlign w:val="center"/>
          </w:tcPr>
          <w:p>
            <w:r/>
            <w:r>
              <w:rPr>
                <w:b w:val="0"/>
                <w:sz w:val="20"/>
              </w:rPr>
              <w:t>QINGYUAN 27.0.0</w:t>
            </w:r>
          </w:p>
        </w:tc>
      </w:tr>
      <w:tr>
        <w:tc>
          <w:tcPr>
            <w:tcW w:type="dxa" w:w="5100"/>
            <w:shd w:fill="E9F4EE"/>
            <w:vAlign w:val="center"/>
          </w:tcPr>
          <w:p>
            <w:r/>
            <w:r>
              <w:rPr>
                <w:b/>
                <w:color w:val="10281F"/>
                <w:sz w:val="20"/>
              </w:rPr>
              <w:t>Mode</w:t>
            </w:r>
          </w:p>
        </w:tc>
        <w:tc>
          <w:tcPr>
            <w:tcW w:type="dxa" w:w="5100"/>
            <w:vAlign w:val="center"/>
          </w:tcPr>
          <w:p>
            <w:r/>
            <w:r>
              <w:rPr>
                <w:b w:val="0"/>
                <w:sz w:val="20"/>
              </w:rPr>
              <w:t>Evidence · Context · Manipulation · Addiction · Vulnerability · Relation · Repair</w:t>
            </w:r>
          </w:p>
        </w:tc>
      </w:tr>
      <w:tr>
        <w:tc>
          <w:tcPr>
            <w:tcW w:type="dxa" w:w="5100"/>
            <w:shd w:fill="E9F4EE"/>
            <w:vAlign w:val="center"/>
          </w:tcPr>
          <w:p>
            <w:r/>
            <w:r>
              <w:rPr>
                <w:b/>
                <w:color w:val="10281F"/>
                <w:sz w:val="20"/>
              </w:rPr>
              <w:t>Author</w:t>
            </w:r>
          </w:p>
        </w:tc>
        <w:tc>
          <w:tcPr>
            <w:tcW w:type="dxa" w:w="5100"/>
            <w:vAlign w:val="center"/>
          </w:tcPr>
          <w:p>
            <w:r/>
            <w:r>
              <w:rPr>
                <w:b w:val="0"/>
                <w:sz w:val="20"/>
              </w:rPr>
              <w:t>Yucong Duan / 段玉聪</w:t>
            </w:r>
          </w:p>
        </w:tc>
      </w:tr>
      <w:tr>
        <w:tc>
          <w:tcPr>
            <w:tcW w:type="dxa" w:w="5100"/>
            <w:shd w:fill="E9F4EE"/>
            <w:vAlign w:val="center"/>
          </w:tcPr>
          <w:p>
            <w:r/>
            <w:r>
              <w:rPr>
                <w:b/>
                <w:color w:val="10281F"/>
                <w:sz w:val="20"/>
              </w:rPr>
              <w:t>Status</w:t>
            </w:r>
          </w:p>
        </w:tc>
        <w:tc>
          <w:tcPr>
            <w:tcW w:type="dxa" w:w="5100"/>
            <w:vAlign w:val="center"/>
          </w:tcPr>
          <w:p>
            <w:r/>
            <w:r>
              <w:rPr>
                <w:b w:val="0"/>
                <w:sz w:val="20"/>
              </w:rPr>
              <w:t>Open-source Alpha reference implementation and protocol candidate</w:t>
            </w:r>
          </w:p>
        </w:tc>
      </w:tr>
    </w:tbl>
    <w:p/>
    <w:p>
      <w:pPr>
        <w:jc w:val="center"/>
      </w:pPr>
      <w:r>
        <w:rPr>
          <w:i/>
          <w:sz w:val="26"/>
        </w:rPr>
        <w:t>“Do not suppress negative emotion; suppress mechanisms that exploit emotion.”</w:t>
      </w:r>
    </w:p>
    <w:p/>
    <w:p>
      <w:pPr>
        <w:jc w:val="center"/>
      </w:pPr>
      <w:r>
        <w:rPr>
          <w:sz w:val="20"/>
        </w:rPr>
        <w:t>6 September 2026</w:t>
      </w:r>
    </w:p>
    <w:p>
      <w:r>
        <w:br w:type="page"/>
      </w:r>
    </w:p>
    <w:p>
      <w:pPr>
        <w:pStyle w:val="Heading1"/>
      </w:pPr>
      <w:r>
        <w:t>Executive Summary</w:t>
      </w:r>
    </w:p>
    <w:p>
      <w:pPr>
        <w:keepLines w:val="0"/>
      </w:pPr>
      <w:r>
        <w:t>A system that “removes negative energy” by emotional tone will eventually suppress bad news, whistleblowing, criticism, grief and requests for help. QINGYUAN 27.0 begins with the opposite premise: discomfort is not harm, optimism is not truth, and a person is not reducible to a content label. The object of governance is an observable content, interface, commercial or relational mechanism.</w:t>
      </w:r>
    </w:p>
    <w:p>
      <w:pPr>
        <w:keepLines w:val="0"/>
      </w:pPr>
      <w:r>
        <w:t>The system separates ten dimensions: evidence integrity, context completeness, manipulation pressure, addiction pressure, interest opacity, vulnerability exploitation, relational externality, pseudo-knowledge risk, corrigibility and observed harm. It maintains plural world hypotheses instead of treating a classifier output as knowledge of a speaker’s inner intent.</w:t>
      </w:r>
    </w:p>
    <w:p>
      <w:pPr>
        <w:keepLines w:val="0"/>
      </w:pPr>
      <w:r>
        <w:t>Its active intervention model has three principal functions. It introduces friction and de-amplification against manipulative, addictive and concealed commercial mechanisms; it reconstructs omitted parties, conditions, exceptions and burdens; and it creates correction, appeal, exit, restitution and mechanism-repair receipts when real harm is observed. The personal client, browser guard, Python engine and protocol can all run offline.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0281F"/>
            <w:vAlign w:val="center"/>
          </w:tcPr>
          <w:p>
            <w:r/>
            <w:r>
              <w:rPr>
                <w:b/>
                <w:color w:val="FFFFFF"/>
                <w:sz w:val="18"/>
              </w:rPr>
              <w:t>Object</w:t>
            </w:r>
          </w:p>
        </w:tc>
        <w:tc>
          <w:tcPr>
            <w:tcW w:type="dxa" w:w="5100"/>
            <w:shd w:fill="10281F"/>
            <w:vAlign w:val="center"/>
          </w:tcPr>
          <w:p>
            <w:r/>
            <w:r>
              <w:rPr>
                <w:b/>
                <w:color w:val="FFFFFF"/>
                <w:sz w:val="18"/>
              </w:rPr>
              <w:t>System response</w:t>
            </w:r>
          </w:p>
        </w:tc>
      </w:tr>
      <w:tr>
        <w:tc>
          <w:tcPr>
            <w:tcW w:type="dxa" w:w="5100"/>
            <w:vAlign w:val="center"/>
          </w:tcPr>
          <w:p>
            <w:r/>
            <w:r>
              <w:rPr>
                <w:b w:val="0"/>
                <w:sz w:val="17"/>
              </w:rPr>
              <w:t>Truthful bad news, criticism, whistleblowing, grief and help-seeking</w:t>
            </w:r>
          </w:p>
        </w:tc>
        <w:tc>
          <w:tcPr>
            <w:tcW w:type="dxa" w:w="5100"/>
            <w:vAlign w:val="center"/>
          </w:tcPr>
          <w:p>
            <w:r/>
            <w:r>
              <w:rPr>
                <w:b w:val="0"/>
                <w:sz w:val="17"/>
              </w:rPr>
              <w:t>Protect expression and preserve source context</w:t>
            </w:r>
          </w:p>
        </w:tc>
      </w:tr>
      <w:tr>
        <w:tc>
          <w:tcPr>
            <w:tcW w:type="dxa" w:w="5100"/>
            <w:shd w:fill="F4F7F5"/>
            <w:vAlign w:val="center"/>
          </w:tcPr>
          <w:p>
            <w:r/>
            <w:r>
              <w:rPr>
                <w:b w:val="0"/>
                <w:sz w:val="17"/>
              </w:rPr>
              <w:t>Context stripping and partial advice</w:t>
            </w:r>
          </w:p>
        </w:tc>
        <w:tc>
          <w:tcPr>
            <w:tcW w:type="dxa" w:w="5100"/>
            <w:shd w:fill="F4F7F5"/>
            <w:vAlign w:val="center"/>
          </w:tcPr>
          <w:p>
            <w:r/>
            <w:r>
              <w:rPr>
                <w:b w:val="0"/>
                <w:sz w:val="17"/>
              </w:rPr>
              <w:t>Generate a context-completion overlay</w:t>
            </w:r>
          </w:p>
        </w:tc>
      </w:tr>
      <w:tr>
        <w:tc>
          <w:tcPr>
            <w:tcW w:type="dxa" w:w="5100"/>
            <w:vAlign w:val="center"/>
          </w:tcPr>
          <w:p>
            <w:r/>
            <w:r>
              <w:rPr>
                <w:b w:val="0"/>
                <w:sz w:val="17"/>
              </w:rPr>
              <w:t>Manipulation and identity pressure</w:t>
            </w:r>
          </w:p>
        </w:tc>
        <w:tc>
          <w:tcPr>
            <w:tcW w:type="dxa" w:w="5100"/>
            <w:vAlign w:val="center"/>
          </w:tcPr>
          <w:p>
            <w:r/>
            <w:r>
              <w:rPr>
                <w:b w:val="0"/>
                <w:sz w:val="17"/>
              </w:rPr>
              <w:t>Cooling-off and share friction</w:t>
            </w:r>
          </w:p>
        </w:tc>
      </w:tr>
      <w:tr>
        <w:tc>
          <w:tcPr>
            <w:tcW w:type="dxa" w:w="5100"/>
            <w:shd w:fill="F4F7F5"/>
            <w:vAlign w:val="center"/>
          </w:tcPr>
          <w:p>
            <w:r/>
            <w:r>
              <w:rPr>
                <w:b w:val="0"/>
                <w:sz w:val="17"/>
              </w:rPr>
              <w:t>Autoplay, infinite scroll and variable reward</w:t>
            </w:r>
          </w:p>
        </w:tc>
        <w:tc>
          <w:tcPr>
            <w:tcW w:type="dxa" w:w="5100"/>
            <w:shd w:fill="F4F7F5"/>
            <w:vAlign w:val="center"/>
          </w:tcPr>
          <w:p>
            <w:r/>
            <w:r>
              <w:rPr>
                <w:b w:val="0"/>
                <w:sz w:val="17"/>
              </w:rPr>
              <w:t>User-controlled circuit breaker</w:t>
            </w:r>
          </w:p>
        </w:tc>
      </w:tr>
      <w:tr>
        <w:tc>
          <w:tcPr>
            <w:tcW w:type="dxa" w:w="5100"/>
            <w:vAlign w:val="center"/>
          </w:tcPr>
          <w:p>
            <w:r/>
            <w:r>
              <w:rPr>
                <w:b w:val="0"/>
                <w:sz w:val="17"/>
              </w:rPr>
              <w:t>Pseudo-knowledge sales</w:t>
            </w:r>
          </w:p>
        </w:tc>
        <w:tc>
          <w:tcPr>
            <w:tcW w:type="dxa" w:w="5100"/>
            <w:vAlign w:val="center"/>
          </w:tcPr>
          <w:p>
            <w:r/>
            <w:r>
              <w:rPr>
                <w:b w:val="0"/>
                <w:sz w:val="17"/>
              </w:rPr>
              <w:t>Disclosure, evidence and refund gate</w:t>
            </w:r>
          </w:p>
        </w:tc>
      </w:tr>
      <w:tr>
        <w:tc>
          <w:tcPr>
            <w:tcW w:type="dxa" w:w="5100"/>
            <w:shd w:fill="F4F7F5"/>
            <w:vAlign w:val="center"/>
          </w:tcPr>
          <w:p>
            <w:r/>
            <w:r>
              <w:rPr>
                <w:b w:val="0"/>
                <w:sz w:val="17"/>
              </w:rPr>
              <w:t>Verified real-world harm</w:t>
            </w:r>
          </w:p>
        </w:tc>
        <w:tc>
          <w:tcPr>
            <w:tcW w:type="dxa" w:w="5100"/>
            <w:shd w:fill="F4F7F5"/>
            <w:vAlign w:val="center"/>
          </w:tcPr>
          <w:p>
            <w:r/>
            <w:r>
              <w:rPr>
                <w:b w:val="0"/>
                <w:sz w:val="17"/>
              </w:rPr>
              <w:t>Due process, correction reach and repair receipt</w:t>
            </w:r>
          </w:p>
        </w:tc>
      </w:tr>
    </w:tbl>
    <w:p>
      <w:r>
        <w:br w:type="page"/>
      </w:r>
    </w:p>
    <w:p>
      <w:pPr>
        <w:pStyle w:val="Heading1"/>
      </w:pPr>
      <w:r>
        <w:t>1. Why “Positive-Energy Governance” Fails</w:t>
      </w:r>
    </w:p>
    <w:p>
      <w:pPr>
        <w:keepLines w:val="0"/>
      </w:pPr>
      <w:r>
        <w:t>Conventional moderation often relies on sentiment, viewpoint agreement or complaint volume. That creates two inverse failures. Manipulative inspiration, pseudo-science and addictive design are tolerated as personal choice, while accident reports, distress and institutional criticism are treated as socially negative.</w:t>
      </w:r>
    </w:p>
    <w:p>
      <w:pPr>
        <w:keepLines w:val="0"/>
      </w:pPr>
      <w:r>
        <w:t>Harmful content is frequently cheerful. It promises rapid transformation, guaranteed healing, wealth freedom, a perfect relationship or cognitive awakening. It compresses a complex problem into a slogan and then converts shame, fear and urgency into a purchase. Socially valuable content may be deeply negative because it exposes pollution, violence, unemployment, illness or institutional failure.</w:t>
      </w:r>
    </w:p>
    <w:p>
      <w:pPr>
        <w:keepLines w:val="0"/>
      </w:pPr>
      <w:r>
        <w:t>QINGYUAN therefore governs mechanisms: whether a claim is verifiable, whether context is complete, whether interests are disclosed, whether the interface captures attention, whether vulnerable states are exploited, whether burdens are shifted, and whether errors can be corrected.</w:t>
      </w:r>
    </w:p>
    <w:p>
      <w:pPr>
        <w:pStyle w:val="ListBullet"/>
      </w:pPr>
      <w:r>
        <w:t>Negative emotion is not a harmful mechanism.</w:t>
      </w:r>
    </w:p>
    <w:p>
      <w:pPr>
        <w:pStyle w:val="ListBullet"/>
      </w:pPr>
      <w:r>
        <w:t>Positive language is not evidence of public value.</w:t>
      </w:r>
    </w:p>
    <w:p>
      <w:pPr>
        <w:pStyle w:val="ListBullet"/>
      </w:pPr>
      <w:r>
        <w:t>Virality is not evidence of truth.</w:t>
      </w:r>
    </w:p>
    <w:p>
      <w:pPr>
        <w:pStyle w:val="ListBullet"/>
      </w:pPr>
      <w:r>
        <w:t>A click is not necessarily informed and unpressured consent.</w:t>
      </w:r>
    </w:p>
    <w:p>
      <w:pPr>
        <w:pStyle w:val="ListBullet"/>
      </w:pPr>
      <w:r>
        <w:t>One correct outcome does not prove that long-term externalities are absent.</w:t>
      </w:r>
    </w:p>
    <w:p>
      <w:r>
        <w:br w:type="page"/>
      </w:r>
    </w:p>
    <w:p>
      <w:pPr>
        <w:pStyle w:val="Heading1"/>
      </w:pPr>
      <w:r>
        <w:t>2. Threat Taxonomy and Protected Expression</w:t>
      </w:r>
    </w:p>
    <w:p>
      <w:pPr>
        <w:keepLines w:val="0"/>
      </w:pPr>
      <w:r>
        <w:t>The system distinguishes false factual claims, unverifiable certainty, context stripping, emotional manipulation, addictive architecture, vulnerable-audience exploitation, pseudo-knowledge commerce, relational zero-sum drift, coordinated amplification and observed real-world harm.</w:t>
      </w:r>
    </w:p>
    <w:p>
      <w:pPr>
        <w:keepLines w:val="0"/>
      </w:pPr>
      <w:r>
        <w:t>Protected expression includes criticism, whistleblowing, scientific counterevidence, factual bad news, victim testimony, grief, distress and help-seeking. Protection does not immunise threats, harassment, fabricated evidence or exposure of a private identity; it requires the system to address conduct rather than punish an unpopular viewpoint.</w:t>
      </w:r>
    </w:p>
    <w:p>
      <w:pPr>
        <w:keepLines w:val="0"/>
      </w:pPr>
      <w:r>
        <w:t>The implementation avoids “low cognition” as a permanent personal category. It uses changeable and observable conditions: high cognitive load, information asymmetry, care burden, illness, debt, unemployment, grief, resource scarcity and social isolation.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0281F"/>
            <w:vAlign w:val="center"/>
          </w:tcPr>
          <w:p>
            <w:r/>
            <w:r>
              <w:rPr>
                <w:b/>
                <w:color w:val="FFFFFF"/>
                <w:sz w:val="18"/>
              </w:rPr>
              <w:t>Risk</w:t>
            </w:r>
          </w:p>
        </w:tc>
        <w:tc>
          <w:tcPr>
            <w:tcW w:type="dxa" w:w="3400"/>
            <w:shd w:fill="10281F"/>
            <w:vAlign w:val="center"/>
          </w:tcPr>
          <w:p>
            <w:r/>
            <w:r>
              <w:rPr>
                <w:b/>
                <w:color w:val="FFFFFF"/>
                <w:sz w:val="18"/>
              </w:rPr>
              <w:t>Observable signal</w:t>
            </w:r>
          </w:p>
        </w:tc>
        <w:tc>
          <w:tcPr>
            <w:tcW w:type="dxa" w:w="3400"/>
            <w:shd w:fill="10281F"/>
            <w:vAlign w:val="center"/>
          </w:tcPr>
          <w:p>
            <w:r/>
            <w:r>
              <w:rPr>
                <w:b/>
                <w:color w:val="FFFFFF"/>
                <w:sz w:val="18"/>
              </w:rPr>
              <w:t>Primary response</w:t>
            </w:r>
          </w:p>
        </w:tc>
      </w:tr>
      <w:tr>
        <w:tc>
          <w:tcPr>
            <w:tcW w:type="dxa" w:w="3400"/>
            <w:vAlign w:val="center"/>
          </w:tcPr>
          <w:p>
            <w:r/>
            <w:r>
              <w:rPr>
                <w:b w:val="0"/>
                <w:sz w:val="17"/>
              </w:rPr>
              <w:t>False or unverifiable certainty</w:t>
            </w:r>
          </w:p>
        </w:tc>
        <w:tc>
          <w:tcPr>
            <w:tcW w:type="dxa" w:w="3400"/>
            <w:vAlign w:val="center"/>
          </w:tcPr>
          <w:p>
            <w:r/>
            <w:r>
              <w:rPr>
                <w:b w:val="0"/>
                <w:sz w:val="17"/>
              </w:rPr>
              <w:t>Absolute claims with no source or falsifier</w:t>
            </w:r>
          </w:p>
        </w:tc>
        <w:tc>
          <w:tcPr>
            <w:tcW w:type="dxa" w:w="3400"/>
            <w:vAlign w:val="center"/>
          </w:tcPr>
          <w:p>
            <w:r/>
            <w:r>
              <w:rPr>
                <w:b w:val="0"/>
                <w:sz w:val="17"/>
              </w:rPr>
              <w:t>Evidence label and verification</w:t>
            </w:r>
          </w:p>
        </w:tc>
      </w:tr>
      <w:tr>
        <w:tc>
          <w:tcPr>
            <w:tcW w:type="dxa" w:w="3400"/>
            <w:shd w:fill="F4F7F5"/>
            <w:vAlign w:val="center"/>
          </w:tcPr>
          <w:p>
            <w:r/>
            <w:r>
              <w:rPr>
                <w:b w:val="0"/>
                <w:sz w:val="17"/>
              </w:rPr>
              <w:t>Context stripping</w:t>
            </w:r>
          </w:p>
        </w:tc>
        <w:tc>
          <w:tcPr>
            <w:tcW w:type="dxa" w:w="3400"/>
            <w:shd w:fill="F4F7F5"/>
            <w:vAlign w:val="center"/>
          </w:tcPr>
          <w:p>
            <w:r/>
            <w:r>
              <w:rPr>
                <w:b w:val="0"/>
                <w:sz w:val="17"/>
              </w:rPr>
              <w:t>Omitted actors, conditions, exceptions and costs</w:t>
            </w:r>
          </w:p>
        </w:tc>
        <w:tc>
          <w:tcPr>
            <w:tcW w:type="dxa" w:w="3400"/>
            <w:shd w:fill="F4F7F5"/>
            <w:vAlign w:val="center"/>
          </w:tcPr>
          <w:p>
            <w:r/>
            <w:r>
              <w:rPr>
                <w:b w:val="0"/>
                <w:sz w:val="17"/>
              </w:rPr>
              <w:t>Context restoration</w:t>
            </w:r>
          </w:p>
        </w:tc>
      </w:tr>
      <w:tr>
        <w:tc>
          <w:tcPr>
            <w:tcW w:type="dxa" w:w="3400"/>
            <w:vAlign w:val="center"/>
          </w:tcPr>
          <w:p>
            <w:r/>
            <w:r>
              <w:rPr>
                <w:b w:val="0"/>
                <w:sz w:val="17"/>
              </w:rPr>
              <w:t>Manipulation</w:t>
            </w:r>
          </w:p>
        </w:tc>
        <w:tc>
          <w:tcPr>
            <w:tcW w:type="dxa" w:w="3400"/>
            <w:vAlign w:val="center"/>
          </w:tcPr>
          <w:p>
            <w:r/>
            <w:r>
              <w:rPr>
                <w:b w:val="0"/>
                <w:sz w:val="17"/>
              </w:rPr>
              <w:t>Shame, fear, identity proof and urgency</w:t>
            </w:r>
          </w:p>
        </w:tc>
        <w:tc>
          <w:tcPr>
            <w:tcW w:type="dxa" w:w="3400"/>
            <w:vAlign w:val="center"/>
          </w:tcPr>
          <w:p>
            <w:r/>
            <w:r>
              <w:rPr>
                <w:b w:val="0"/>
                <w:sz w:val="17"/>
              </w:rPr>
              <w:t>Cooling-off and sharing friction</w:t>
            </w:r>
          </w:p>
        </w:tc>
      </w:tr>
      <w:tr>
        <w:tc>
          <w:tcPr>
            <w:tcW w:type="dxa" w:w="3400"/>
            <w:shd w:fill="F4F7F5"/>
            <w:vAlign w:val="center"/>
          </w:tcPr>
          <w:p>
            <w:r/>
            <w:r>
              <w:rPr>
                <w:b w:val="0"/>
                <w:sz w:val="17"/>
              </w:rPr>
              <w:t>Addiction</w:t>
            </w:r>
          </w:p>
        </w:tc>
        <w:tc>
          <w:tcPr>
            <w:tcW w:type="dxa" w:w="3400"/>
            <w:shd w:fill="F4F7F5"/>
            <w:vAlign w:val="center"/>
          </w:tcPr>
          <w:p>
            <w:r/>
            <w:r>
              <w:rPr>
                <w:b w:val="0"/>
                <w:sz w:val="17"/>
              </w:rPr>
              <w:t>Infinite scroll, autoplay, streaks and variable reward</w:t>
            </w:r>
          </w:p>
        </w:tc>
        <w:tc>
          <w:tcPr>
            <w:tcW w:type="dxa" w:w="3400"/>
            <w:shd w:fill="F4F7F5"/>
            <w:vAlign w:val="center"/>
          </w:tcPr>
          <w:p>
            <w:r/>
            <w:r>
              <w:rPr>
                <w:b w:val="0"/>
                <w:sz w:val="17"/>
              </w:rPr>
              <w:t>Circuit interruption</w:t>
            </w:r>
          </w:p>
        </w:tc>
      </w:tr>
      <w:tr>
        <w:tc>
          <w:tcPr>
            <w:tcW w:type="dxa" w:w="3400"/>
            <w:vAlign w:val="center"/>
          </w:tcPr>
          <w:p>
            <w:r/>
            <w:r>
              <w:rPr>
                <w:b w:val="0"/>
                <w:sz w:val="17"/>
              </w:rPr>
              <w:t>Pseudo-knowledge commerce</w:t>
            </w:r>
          </w:p>
        </w:tc>
        <w:tc>
          <w:tcPr>
            <w:tcW w:type="dxa" w:w="3400"/>
            <w:vAlign w:val="center"/>
          </w:tcPr>
          <w:p>
            <w:r/>
            <w:r>
              <w:rPr>
                <w:b w:val="0"/>
                <w:sz w:val="17"/>
              </w:rPr>
              <w:t>Testimonials replacing evidence and hidden upsells</w:t>
            </w:r>
          </w:p>
        </w:tc>
        <w:tc>
          <w:tcPr>
            <w:tcW w:type="dxa" w:w="3400"/>
            <w:vAlign w:val="center"/>
          </w:tcPr>
          <w:p>
            <w:r/>
            <w:r>
              <w:rPr>
                <w:b w:val="0"/>
                <w:sz w:val="17"/>
              </w:rPr>
              <w:t>Purchase hold and disclosure</w:t>
            </w:r>
          </w:p>
        </w:tc>
      </w:tr>
      <w:tr>
        <w:tc>
          <w:tcPr>
            <w:tcW w:type="dxa" w:w="3400"/>
            <w:shd w:fill="F4F7F5"/>
            <w:vAlign w:val="center"/>
          </w:tcPr>
          <w:p>
            <w:r/>
            <w:r>
              <w:rPr>
                <w:b w:val="0"/>
                <w:sz w:val="17"/>
              </w:rPr>
              <w:t>Relational externality</w:t>
            </w:r>
          </w:p>
        </w:tc>
        <w:tc>
          <w:tcPr>
            <w:tcW w:type="dxa" w:w="3400"/>
            <w:shd w:fill="F4F7F5"/>
            <w:vAlign w:val="center"/>
          </w:tcPr>
          <w:p>
            <w:r/>
            <w:r>
              <w:rPr>
                <w:b w:val="0"/>
                <w:sz w:val="17"/>
              </w:rPr>
              <w:t>Care or gender reframed as a zero-sum battle</w:t>
            </w:r>
          </w:p>
        </w:tc>
        <w:tc>
          <w:tcPr>
            <w:tcW w:type="dxa" w:w="3400"/>
            <w:shd w:fill="F4F7F5"/>
            <w:vAlign w:val="center"/>
          </w:tcPr>
          <w:p>
            <w:r/>
            <w:r>
              <w:rPr>
                <w:b w:val="0"/>
                <w:sz w:val="17"/>
              </w:rPr>
              <w:t>Burden map and reversible trial</w:t>
            </w:r>
          </w:p>
        </w:tc>
      </w:tr>
    </w:tbl>
    <w:p>
      <w:r>
        <w:br w:type="page"/>
      </w:r>
    </w:p>
    <w:p>
      <w:pPr>
        <w:pStyle w:val="Heading1"/>
      </w:pPr>
      <w:r>
        <w:t>3. A Ten-Dimensional, Non-Compensatory Model</w:t>
      </w:r>
    </w:p>
    <w:p>
      <w:pPr>
        <w:keepLines w:val="0"/>
      </w:pPr>
      <w:r>
        <w:t>For a content or interface event x, QINGYUAN retains Q(x)=(E,C,M,A,I,V,R,K,Qc,H). E, C and Qc are evidence integrity, context completeness and corrigibility. M, A, I, V, R, K and H are manipulation, addiction, interest opacity, vulnerability exploitation, relational externality, pseudo-knowledge risk and observed harm.</w:t>
      </w:r>
    </w:p>
    <w:p>
      <w:pPr>
        <w:keepLines w:val="0"/>
      </w:pPr>
      <w:r>
        <w:t>The dimensions are not collapsed into an authoritative moral score. High factual accuracy cannot purchase permission for addictive delivery. Claimed benevolence cannot erase unconsented data use. High average benefit cannot erase severe harm to a child, patient or overloaded caregiver.</w:t>
      </w:r>
    </w:p>
    <w:p>
      <w:pPr>
        <w:keepLines w:val="0"/>
      </w:pPr>
      <w:r>
        <w:t>Interventions first pass hard gates: controlled scope, reversibility, stop conditions, correction, no political-viewpoint penalty and no human-worth ranking. Only then may the system compare intervention intensity and operational cost.</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0281F"/>
            <w:vAlign w:val="center"/>
          </w:tcPr>
          <w:p>
            <w:r/>
            <w:r>
              <w:rPr>
                <w:b/>
                <w:color w:val="FFFFFF"/>
                <w:sz w:val="18"/>
              </w:rPr>
              <w:t>Dimension</w:t>
            </w:r>
          </w:p>
        </w:tc>
        <w:tc>
          <w:tcPr>
            <w:tcW w:type="dxa" w:w="3400"/>
            <w:shd w:fill="10281F"/>
            <w:vAlign w:val="center"/>
          </w:tcPr>
          <w:p>
            <w:r/>
            <w:r>
              <w:rPr>
                <w:b/>
                <w:color w:val="FFFFFF"/>
                <w:sz w:val="18"/>
              </w:rPr>
              <w:t>Direction</w:t>
            </w:r>
          </w:p>
        </w:tc>
        <w:tc>
          <w:tcPr>
            <w:tcW w:type="dxa" w:w="3400"/>
            <w:shd w:fill="10281F"/>
            <w:vAlign w:val="center"/>
          </w:tcPr>
          <w:p>
            <w:r/>
            <w:r>
              <w:rPr>
                <w:b/>
                <w:color w:val="FFFFFF"/>
                <w:sz w:val="18"/>
              </w:rPr>
              <w:t>Question</w:t>
            </w:r>
          </w:p>
        </w:tc>
      </w:tr>
      <w:tr>
        <w:tc>
          <w:tcPr>
            <w:tcW w:type="dxa" w:w="3400"/>
            <w:vAlign w:val="center"/>
          </w:tcPr>
          <w:p>
            <w:r/>
            <w:r>
              <w:rPr>
                <w:b w:val="0"/>
                <w:sz w:val="17"/>
              </w:rPr>
              <w:t>Evidence integrity</w:t>
            </w:r>
          </w:p>
        </w:tc>
        <w:tc>
          <w:tcPr>
            <w:tcW w:type="dxa" w:w="3400"/>
            <w:vAlign w:val="center"/>
          </w:tcPr>
          <w:p>
            <w:r/>
            <w:r>
              <w:rPr>
                <w:b w:val="0"/>
                <w:sz w:val="17"/>
              </w:rPr>
              <w:t>Protective</w:t>
            </w:r>
          </w:p>
        </w:tc>
        <w:tc>
          <w:tcPr>
            <w:tcW w:type="dxa" w:w="3400"/>
            <w:vAlign w:val="center"/>
          </w:tcPr>
          <w:p>
            <w:r/>
            <w:r>
              <w:rPr>
                <w:b w:val="0"/>
                <w:sz w:val="17"/>
              </w:rPr>
              <w:t>Are sources, claim levels and falsifiers visible?</w:t>
            </w:r>
          </w:p>
        </w:tc>
      </w:tr>
      <w:tr>
        <w:tc>
          <w:tcPr>
            <w:tcW w:type="dxa" w:w="3400"/>
            <w:shd w:fill="F4F7F5"/>
            <w:vAlign w:val="center"/>
          </w:tcPr>
          <w:p>
            <w:r/>
            <w:r>
              <w:rPr>
                <w:b w:val="0"/>
                <w:sz w:val="17"/>
              </w:rPr>
              <w:t>Context completeness</w:t>
            </w:r>
          </w:p>
        </w:tc>
        <w:tc>
          <w:tcPr>
            <w:tcW w:type="dxa" w:w="3400"/>
            <w:shd w:fill="F4F7F5"/>
            <w:vAlign w:val="center"/>
          </w:tcPr>
          <w:p>
            <w:r/>
            <w:r>
              <w:rPr>
                <w:b w:val="0"/>
                <w:sz w:val="17"/>
              </w:rPr>
              <w:t>Protective</w:t>
            </w:r>
          </w:p>
        </w:tc>
        <w:tc>
          <w:tcPr>
            <w:tcW w:type="dxa" w:w="3400"/>
            <w:shd w:fill="F4F7F5"/>
            <w:vAlign w:val="center"/>
          </w:tcPr>
          <w:p>
            <w:r/>
            <w:r>
              <w:rPr>
                <w:b w:val="0"/>
                <w:sz w:val="17"/>
              </w:rPr>
              <w:t>Are actors, conditions, exceptions and burdens included?</w:t>
            </w:r>
          </w:p>
        </w:tc>
      </w:tr>
      <w:tr>
        <w:tc>
          <w:tcPr>
            <w:tcW w:type="dxa" w:w="3400"/>
            <w:vAlign w:val="center"/>
          </w:tcPr>
          <w:p>
            <w:r/>
            <w:r>
              <w:rPr>
                <w:b w:val="0"/>
                <w:sz w:val="17"/>
              </w:rPr>
              <w:t>Manipulation pressure</w:t>
            </w:r>
          </w:p>
        </w:tc>
        <w:tc>
          <w:tcPr>
            <w:tcW w:type="dxa" w:w="3400"/>
            <w:vAlign w:val="center"/>
          </w:tcPr>
          <w:p>
            <w:r/>
            <w:r>
              <w:rPr>
                <w:b w:val="0"/>
                <w:sz w:val="17"/>
              </w:rPr>
              <w:t>Risk</w:t>
            </w:r>
          </w:p>
        </w:tc>
        <w:tc>
          <w:tcPr>
            <w:tcW w:type="dxa" w:w="3400"/>
            <w:vAlign w:val="center"/>
          </w:tcPr>
          <w:p>
            <w:r/>
            <w:r>
              <w:rPr>
                <w:b w:val="0"/>
                <w:sz w:val="17"/>
              </w:rPr>
              <w:t>Are shame, fear, identity and urgency being exploited?</w:t>
            </w:r>
          </w:p>
        </w:tc>
      </w:tr>
      <w:tr>
        <w:tc>
          <w:tcPr>
            <w:tcW w:type="dxa" w:w="3400"/>
            <w:shd w:fill="F4F7F5"/>
            <w:vAlign w:val="center"/>
          </w:tcPr>
          <w:p>
            <w:r/>
            <w:r>
              <w:rPr>
                <w:b w:val="0"/>
                <w:sz w:val="17"/>
              </w:rPr>
              <w:t>Addiction pressure</w:t>
            </w:r>
          </w:p>
        </w:tc>
        <w:tc>
          <w:tcPr>
            <w:tcW w:type="dxa" w:w="3400"/>
            <w:shd w:fill="F4F7F5"/>
            <w:vAlign w:val="center"/>
          </w:tcPr>
          <w:p>
            <w:r/>
            <w:r>
              <w:rPr>
                <w:b w:val="0"/>
                <w:sz w:val="17"/>
              </w:rPr>
              <w:t>Risk</w:t>
            </w:r>
          </w:p>
        </w:tc>
        <w:tc>
          <w:tcPr>
            <w:tcW w:type="dxa" w:w="3400"/>
            <w:shd w:fill="F4F7F5"/>
            <w:vAlign w:val="center"/>
          </w:tcPr>
          <w:p>
            <w:r/>
            <w:r>
              <w:rPr>
                <w:b w:val="0"/>
                <w:sz w:val="17"/>
              </w:rPr>
              <w:t>Does the interface extend attention without renewed intent?</w:t>
            </w:r>
          </w:p>
        </w:tc>
      </w:tr>
      <w:tr>
        <w:tc>
          <w:tcPr>
            <w:tcW w:type="dxa" w:w="3400"/>
            <w:vAlign w:val="center"/>
          </w:tcPr>
          <w:p>
            <w:r/>
            <w:r>
              <w:rPr>
                <w:b w:val="0"/>
                <w:sz w:val="17"/>
              </w:rPr>
              <w:t>Interest opacity</w:t>
            </w:r>
          </w:p>
        </w:tc>
        <w:tc>
          <w:tcPr>
            <w:tcW w:type="dxa" w:w="3400"/>
            <w:vAlign w:val="center"/>
          </w:tcPr>
          <w:p>
            <w:r/>
            <w:r>
              <w:rPr>
                <w:b w:val="0"/>
                <w:sz w:val="17"/>
              </w:rPr>
              <w:t>Risk</w:t>
            </w:r>
          </w:p>
        </w:tc>
        <w:tc>
          <w:tcPr>
            <w:tcW w:type="dxa" w:w="3400"/>
            <w:vAlign w:val="center"/>
          </w:tcPr>
          <w:p>
            <w:r/>
            <w:r>
              <w:rPr>
                <w:b w:val="0"/>
                <w:sz w:val="17"/>
              </w:rPr>
              <w:t>Who profits from sharing, purchase or dependence?</w:t>
            </w:r>
          </w:p>
        </w:tc>
      </w:tr>
      <w:tr>
        <w:tc>
          <w:tcPr>
            <w:tcW w:type="dxa" w:w="3400"/>
            <w:shd w:fill="F4F7F5"/>
            <w:vAlign w:val="center"/>
          </w:tcPr>
          <w:p>
            <w:r/>
            <w:r>
              <w:rPr>
                <w:b w:val="0"/>
                <w:sz w:val="17"/>
              </w:rPr>
              <w:t>Vulnerability exploitation</w:t>
            </w:r>
          </w:p>
        </w:tc>
        <w:tc>
          <w:tcPr>
            <w:tcW w:type="dxa" w:w="3400"/>
            <w:shd w:fill="F4F7F5"/>
            <w:vAlign w:val="center"/>
          </w:tcPr>
          <w:p>
            <w:r/>
            <w:r>
              <w:rPr>
                <w:b w:val="0"/>
                <w:sz w:val="17"/>
              </w:rPr>
              <w:t>Risk</w:t>
            </w:r>
          </w:p>
        </w:tc>
        <w:tc>
          <w:tcPr>
            <w:tcW w:type="dxa" w:w="3400"/>
            <w:shd w:fill="F4F7F5"/>
            <w:vAlign w:val="center"/>
          </w:tcPr>
          <w:p>
            <w:r/>
            <w:r>
              <w:rPr>
                <w:b w:val="0"/>
                <w:sz w:val="17"/>
              </w:rPr>
              <w:t>Is a high-stress or low-information state being targeted?</w:t>
            </w:r>
          </w:p>
        </w:tc>
      </w:tr>
      <w:tr>
        <w:tc>
          <w:tcPr>
            <w:tcW w:type="dxa" w:w="3400"/>
            <w:vAlign w:val="center"/>
          </w:tcPr>
          <w:p>
            <w:r/>
            <w:r>
              <w:rPr>
                <w:b w:val="0"/>
                <w:sz w:val="17"/>
              </w:rPr>
              <w:t>Relational externality</w:t>
            </w:r>
          </w:p>
        </w:tc>
        <w:tc>
          <w:tcPr>
            <w:tcW w:type="dxa" w:w="3400"/>
            <w:vAlign w:val="center"/>
          </w:tcPr>
          <w:p>
            <w:r/>
            <w:r>
              <w:rPr>
                <w:b w:val="0"/>
                <w:sz w:val="17"/>
              </w:rPr>
              <w:t>Risk</w:t>
            </w:r>
          </w:p>
        </w:tc>
        <w:tc>
          <w:tcPr>
            <w:tcW w:type="dxa" w:w="3400"/>
            <w:vAlign w:val="center"/>
          </w:tcPr>
          <w:p>
            <w:r/>
            <w:r>
              <w:rPr>
                <w:b w:val="0"/>
                <w:sz w:val="17"/>
              </w:rPr>
              <w:t>Are burdens shifted or relationships made zero-sum?</w:t>
            </w:r>
          </w:p>
        </w:tc>
      </w:tr>
      <w:tr>
        <w:tc>
          <w:tcPr>
            <w:tcW w:type="dxa" w:w="3400"/>
            <w:shd w:fill="F4F7F5"/>
            <w:vAlign w:val="center"/>
          </w:tcPr>
          <w:p>
            <w:r/>
            <w:r>
              <w:rPr>
                <w:b w:val="0"/>
                <w:sz w:val="17"/>
              </w:rPr>
              <w:t>Pseudo-knowledge risk</w:t>
            </w:r>
          </w:p>
        </w:tc>
        <w:tc>
          <w:tcPr>
            <w:tcW w:type="dxa" w:w="3400"/>
            <w:shd w:fill="F4F7F5"/>
            <w:vAlign w:val="center"/>
          </w:tcPr>
          <w:p>
            <w:r/>
            <w:r>
              <w:rPr>
                <w:b w:val="0"/>
                <w:sz w:val="17"/>
              </w:rPr>
              <w:t>Risk</w:t>
            </w:r>
          </w:p>
        </w:tc>
        <w:tc>
          <w:tcPr>
            <w:tcW w:type="dxa" w:w="3400"/>
            <w:shd w:fill="F4F7F5"/>
            <w:vAlign w:val="center"/>
          </w:tcPr>
          <w:p>
            <w:r/>
            <w:r>
              <w:rPr>
                <w:b w:val="0"/>
                <w:sz w:val="17"/>
              </w:rPr>
              <w:t>Are slogans and testimonials presented as knowledge?</w:t>
            </w:r>
          </w:p>
        </w:tc>
      </w:tr>
      <w:tr>
        <w:tc>
          <w:tcPr>
            <w:tcW w:type="dxa" w:w="3400"/>
            <w:vAlign w:val="center"/>
          </w:tcPr>
          <w:p>
            <w:r/>
            <w:r>
              <w:rPr>
                <w:b w:val="0"/>
                <w:sz w:val="17"/>
              </w:rPr>
              <w:t>Corrigibility</w:t>
            </w:r>
          </w:p>
        </w:tc>
        <w:tc>
          <w:tcPr>
            <w:tcW w:type="dxa" w:w="3400"/>
            <w:vAlign w:val="center"/>
          </w:tcPr>
          <w:p>
            <w:r/>
            <w:r>
              <w:rPr>
                <w:b w:val="0"/>
                <w:sz w:val="17"/>
              </w:rPr>
              <w:t>Protective</w:t>
            </w:r>
          </w:p>
        </w:tc>
        <w:tc>
          <w:tcPr>
            <w:tcW w:type="dxa" w:w="3400"/>
            <w:vAlign w:val="center"/>
          </w:tcPr>
          <w:p>
            <w:r/>
            <w:r>
              <w:rPr>
                <w:b w:val="0"/>
                <w:sz w:val="17"/>
              </w:rPr>
              <w:t>Can the claim be corrected, appealed and withdrawn?</w:t>
            </w:r>
          </w:p>
        </w:tc>
      </w:tr>
      <w:tr>
        <w:tc>
          <w:tcPr>
            <w:tcW w:type="dxa" w:w="3400"/>
            <w:shd w:fill="F4F7F5"/>
            <w:vAlign w:val="center"/>
          </w:tcPr>
          <w:p>
            <w:r/>
            <w:r>
              <w:rPr>
                <w:b w:val="0"/>
                <w:sz w:val="17"/>
              </w:rPr>
              <w:t>Observed harm</w:t>
            </w:r>
          </w:p>
        </w:tc>
        <w:tc>
          <w:tcPr>
            <w:tcW w:type="dxa" w:w="3400"/>
            <w:shd w:fill="F4F7F5"/>
            <w:vAlign w:val="center"/>
          </w:tcPr>
          <w:p>
            <w:r/>
            <w:r>
              <w:rPr>
                <w:b w:val="0"/>
                <w:sz w:val="17"/>
              </w:rPr>
              <w:t>Risk</w:t>
            </w:r>
          </w:p>
        </w:tc>
        <w:tc>
          <w:tcPr>
            <w:tcW w:type="dxa" w:w="3400"/>
            <w:shd w:fill="F4F7F5"/>
            <w:vAlign w:val="center"/>
          </w:tcPr>
          <w:p>
            <w:r/>
            <w:r>
              <w:rPr>
                <w:b w:val="0"/>
                <w:sz w:val="17"/>
              </w:rPr>
              <w:t>What verifiable outcome occurred?</w:t>
            </w:r>
          </w:p>
        </w:tc>
      </w:tr>
    </w:tbl>
    <w:p>
      <w:r>
        <w:br w:type="page"/>
      </w:r>
    </w:p>
    <w:p>
      <w:pPr>
        <w:pStyle w:val="Heading1"/>
      </w:pPr>
      <w:r>
        <w:t>4. Plural Worlds and Evidence Updating</w:t>
      </w:r>
    </w:p>
    <w:p>
      <w:pPr>
        <w:keepLines w:val="0"/>
      </w:pPr>
      <w:r>
        <w:t>The same sentence can belong to different causal worlds: truthful but uncomfortable reporting, sincere but incomplete advice, commercial persuasion, manipulative or addictive content, distress, satire or quotation. The system keeps these worlds separate instead of claiming access to inner intent.</w:t>
      </w:r>
    </w:p>
    <w:p>
      <w:pPr>
        <w:keepLines w:val="0"/>
      </w:pPr>
      <w:r>
        <w:t>Each world requires a distinguishing observation. A sincere author generally accepts conditions and exceptions. A manipulative sales message loses conversion power when urgency and identity pressure are removed. Truthful bad news should survive independent source and record checks.</w:t>
      </w:r>
    </w:p>
    <w:p>
      <w:pPr>
        <w:keepLines w:val="0"/>
      </w:pPr>
      <w:r>
        <w:t>World support is an auditable engineering signal, not a calibrated probability. New evidence, correction, affected-person outcomes and independent review can change it. A repeatedly contradicted model must be down-weighted or retired.</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0281F"/>
            <w:vAlign w:val="center"/>
          </w:tcPr>
          <w:p>
            <w:r/>
            <w:r>
              <w:rPr>
                <w:b/>
                <w:color w:val="FFFFFF"/>
                <w:sz w:val="18"/>
              </w:rPr>
              <w:t>World</w:t>
            </w:r>
          </w:p>
        </w:tc>
        <w:tc>
          <w:tcPr>
            <w:tcW w:type="dxa" w:w="5100"/>
            <w:shd w:fill="10281F"/>
            <w:vAlign w:val="center"/>
          </w:tcPr>
          <w:p>
            <w:r/>
            <w:r>
              <w:rPr>
                <w:b/>
                <w:color w:val="FFFFFF"/>
                <w:sz w:val="18"/>
              </w:rPr>
              <w:t>Distinguishing observation</w:t>
            </w:r>
          </w:p>
        </w:tc>
      </w:tr>
      <w:tr>
        <w:tc>
          <w:tcPr>
            <w:tcW w:type="dxa" w:w="5100"/>
            <w:vAlign w:val="center"/>
          </w:tcPr>
          <w:p>
            <w:r/>
            <w:r>
              <w:rPr>
                <w:b w:val="0"/>
                <w:sz w:val="17"/>
              </w:rPr>
              <w:t>Truthful but uncomfortable</w:t>
            </w:r>
          </w:p>
        </w:tc>
        <w:tc>
          <w:tcPr>
            <w:tcW w:type="dxa" w:w="5100"/>
            <w:vAlign w:val="center"/>
          </w:tcPr>
          <w:p>
            <w:r/>
            <w:r>
              <w:rPr>
                <w:b w:val="0"/>
                <w:sz w:val="17"/>
              </w:rPr>
              <w:t>Independent sources support the core claim</w:t>
            </w:r>
          </w:p>
        </w:tc>
      </w:tr>
      <w:tr>
        <w:tc>
          <w:tcPr>
            <w:tcW w:type="dxa" w:w="5100"/>
            <w:shd w:fill="F4F7F5"/>
            <w:vAlign w:val="center"/>
          </w:tcPr>
          <w:p>
            <w:r/>
            <w:r>
              <w:rPr>
                <w:b w:val="0"/>
                <w:sz w:val="17"/>
              </w:rPr>
              <w:t>Sincere but incomplete</w:t>
            </w:r>
          </w:p>
        </w:tc>
        <w:tc>
          <w:tcPr>
            <w:tcW w:type="dxa" w:w="5100"/>
            <w:shd w:fill="F4F7F5"/>
            <w:vAlign w:val="center"/>
          </w:tcPr>
          <w:p>
            <w:r/>
            <w:r>
              <w:rPr>
                <w:b w:val="0"/>
                <w:sz w:val="17"/>
              </w:rPr>
              <w:t>Adding conditions narrows rather than radicalises the claim</w:t>
            </w:r>
          </w:p>
        </w:tc>
      </w:tr>
      <w:tr>
        <w:tc>
          <w:tcPr>
            <w:tcW w:type="dxa" w:w="5100"/>
            <w:vAlign w:val="center"/>
          </w:tcPr>
          <w:p>
            <w:r/>
            <w:r>
              <w:rPr>
                <w:b w:val="0"/>
                <w:sz w:val="17"/>
              </w:rPr>
              <w:t>Commercial persuasion</w:t>
            </w:r>
          </w:p>
        </w:tc>
        <w:tc>
          <w:tcPr>
            <w:tcW w:type="dxa" w:w="5100"/>
            <w:vAlign w:val="center"/>
          </w:tcPr>
          <w:p>
            <w:r/>
            <w:r>
              <w:rPr>
                <w:b w:val="0"/>
                <w:sz w:val="17"/>
              </w:rPr>
              <w:t>Price, refunds, conflicts and independent outcomes are disclosed</w:t>
            </w:r>
          </w:p>
        </w:tc>
      </w:tr>
      <w:tr>
        <w:tc>
          <w:tcPr>
            <w:tcW w:type="dxa" w:w="5100"/>
            <w:shd w:fill="F4F7F5"/>
            <w:vAlign w:val="center"/>
          </w:tcPr>
          <w:p>
            <w:r/>
            <w:r>
              <w:rPr>
                <w:b w:val="0"/>
                <w:sz w:val="17"/>
              </w:rPr>
              <w:t>Manipulative or addictive</w:t>
            </w:r>
          </w:p>
        </w:tc>
        <w:tc>
          <w:tcPr>
            <w:tcW w:type="dxa" w:w="5100"/>
            <w:shd w:fill="F4F7F5"/>
            <w:vAlign w:val="center"/>
          </w:tcPr>
          <w:p>
            <w:r/>
            <w:r>
              <w:rPr>
                <w:b w:val="0"/>
                <w:sz w:val="17"/>
              </w:rPr>
              <w:t>Conversion falls after pressure and reward cues are removed</w:t>
            </w:r>
          </w:p>
        </w:tc>
      </w:tr>
      <w:tr>
        <w:tc>
          <w:tcPr>
            <w:tcW w:type="dxa" w:w="5100"/>
            <w:vAlign w:val="center"/>
          </w:tcPr>
          <w:p>
            <w:r/>
            <w:r>
              <w:rPr>
                <w:b w:val="0"/>
                <w:sz w:val="17"/>
              </w:rPr>
              <w:t>Distress or help signal</w:t>
            </w:r>
          </w:p>
        </w:tc>
        <w:tc>
          <w:tcPr>
            <w:tcW w:type="dxa" w:w="5100"/>
            <w:vAlign w:val="center"/>
          </w:tcPr>
          <w:p>
            <w:r/>
            <w:r>
              <w:rPr>
                <w:b w:val="0"/>
                <w:sz w:val="17"/>
              </w:rPr>
              <w:t>The speaker seeks support rather than control</w:t>
            </w:r>
          </w:p>
        </w:tc>
      </w:tr>
      <w:tr>
        <w:tc>
          <w:tcPr>
            <w:tcW w:type="dxa" w:w="5100"/>
            <w:shd w:fill="F4F7F5"/>
            <w:vAlign w:val="center"/>
          </w:tcPr>
          <w:p>
            <w:r/>
            <w:r>
              <w:rPr>
                <w:b w:val="0"/>
                <w:sz w:val="17"/>
              </w:rPr>
              <w:t>Satire, fiction or quotation</w:t>
            </w:r>
          </w:p>
        </w:tc>
        <w:tc>
          <w:tcPr>
            <w:tcW w:type="dxa" w:w="5100"/>
            <w:shd w:fill="F4F7F5"/>
            <w:vAlign w:val="center"/>
          </w:tcPr>
          <w:p>
            <w:r/>
            <w:r>
              <w:rPr>
                <w:b w:val="0"/>
                <w:sz w:val="17"/>
              </w:rPr>
              <w:t>Genre and source context are explicit</w:t>
            </w:r>
          </w:p>
        </w:tc>
      </w:tr>
    </w:tbl>
    <w:p>
      <w:r>
        <w:br w:type="page"/>
      </w:r>
    </w:p>
    <w:p>
      <w:pPr>
        <w:pStyle w:val="Heading1"/>
      </w:pPr>
      <w:r>
        <w:t>5. The Seven-Level Active Intervention Ladder</w:t>
      </w:r>
    </w:p>
    <w:p>
      <w:pPr>
        <w:keepLines w:val="0"/>
      </w:pPr>
      <w:r>
        <w:t>Active elimination is not synonymous with immediate takedown. A more robust order is to protect truthful expression, add evidence and context, introduce friction when manipulation or addiction is present, allow user-controlled de-amplification or quarantine, and open a due-process repair case when real harm is observed.</w:t>
      </w:r>
    </w:p>
    <w:p>
      <w:pPr>
        <w:keepLines w:val="0"/>
      </w:pPr>
      <w:r>
        <w:t>Individuals can execute local L0–L5 actions without waiting for platform reform. Institutions may hold recommendation, advertising or purchase pathways for review, but evidence, decision, appeal and financial benefit must not be concentrated in one actor.</w:t>
      </w:r>
    </w:p>
    <w:p>
      <w:pPr>
        <w:keepLines w:val="0"/>
      </w:pPr>
      <w:r>
        <w:t>L6 is not automatic punishment. It is notice, response, independent review, correction reach, exit and refund, direct repair, mechanism redesign, appeal and model revision.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0281F"/>
            <w:vAlign w:val="center"/>
          </w:tcPr>
          <w:p>
            <w:r/>
            <w:r>
              <w:rPr>
                <w:b/>
                <w:color w:val="FFFFFF"/>
                <w:sz w:val="18"/>
              </w:rPr>
              <w:t>Level</w:t>
            </w:r>
          </w:p>
        </w:tc>
        <w:tc>
          <w:tcPr>
            <w:tcW w:type="dxa" w:w="3400"/>
            <w:shd w:fill="10281F"/>
            <w:vAlign w:val="center"/>
          </w:tcPr>
          <w:p>
            <w:r/>
            <w:r>
              <w:rPr>
                <w:b/>
                <w:color w:val="FFFFFF"/>
                <w:sz w:val="18"/>
              </w:rPr>
              <w:t>Action</w:t>
            </w:r>
          </w:p>
        </w:tc>
        <w:tc>
          <w:tcPr>
            <w:tcW w:type="dxa" w:w="3400"/>
            <w:shd w:fill="10281F"/>
            <w:vAlign w:val="center"/>
          </w:tcPr>
          <w:p>
            <w:r/>
            <w:r>
              <w:rPr>
                <w:b/>
                <w:color w:val="FFFFFF"/>
                <w:sz w:val="18"/>
              </w:rPr>
              <w:t>Boundary</w:t>
            </w:r>
          </w:p>
        </w:tc>
      </w:tr>
      <w:tr>
        <w:tc>
          <w:tcPr>
            <w:tcW w:type="dxa" w:w="3400"/>
            <w:vAlign w:val="center"/>
          </w:tcPr>
          <w:p>
            <w:r/>
            <w:r>
              <w:rPr>
                <w:b w:val="0"/>
                <w:sz w:val="17"/>
              </w:rPr>
              <w:t>L0</w:t>
            </w:r>
          </w:p>
        </w:tc>
        <w:tc>
          <w:tcPr>
            <w:tcW w:type="dxa" w:w="3400"/>
            <w:vAlign w:val="center"/>
          </w:tcPr>
          <w:p>
            <w:r/>
            <w:r>
              <w:rPr>
                <w:b w:val="0"/>
                <w:sz w:val="17"/>
              </w:rPr>
              <w:t>Protect expression and preserve source</w:t>
            </w:r>
          </w:p>
        </w:tc>
        <w:tc>
          <w:tcPr>
            <w:tcW w:type="dxa" w:w="3400"/>
            <w:vAlign w:val="center"/>
          </w:tcPr>
          <w:p>
            <w:r/>
            <w:r>
              <w:rPr>
                <w:b w:val="0"/>
                <w:sz w:val="17"/>
              </w:rPr>
              <w:t>No sentiment-based suppression</w:t>
            </w:r>
          </w:p>
        </w:tc>
      </w:tr>
      <w:tr>
        <w:tc>
          <w:tcPr>
            <w:tcW w:type="dxa" w:w="3400"/>
            <w:shd w:fill="F4F7F5"/>
            <w:vAlign w:val="center"/>
          </w:tcPr>
          <w:p>
            <w:r/>
            <w:r>
              <w:rPr>
                <w:b w:val="0"/>
                <w:sz w:val="17"/>
              </w:rPr>
              <w:t>L1</w:t>
            </w:r>
          </w:p>
        </w:tc>
        <w:tc>
          <w:tcPr>
            <w:tcW w:type="dxa" w:w="3400"/>
            <w:shd w:fill="F4F7F5"/>
            <w:vAlign w:val="center"/>
          </w:tcPr>
          <w:p>
            <w:r/>
            <w:r>
              <w:rPr>
                <w:b w:val="0"/>
                <w:sz w:val="17"/>
              </w:rPr>
              <w:t>Evidence and uncertainty label</w:t>
            </w:r>
          </w:p>
        </w:tc>
        <w:tc>
          <w:tcPr>
            <w:tcW w:type="dxa" w:w="3400"/>
            <w:shd w:fill="F4F7F5"/>
            <w:vAlign w:val="center"/>
          </w:tcPr>
          <w:p>
            <w:r/>
            <w:r>
              <w:rPr>
                <w:b w:val="0"/>
                <w:sz w:val="17"/>
              </w:rPr>
              <w:t>A label is not a legal finding</w:t>
            </w:r>
          </w:p>
        </w:tc>
      </w:tr>
      <w:tr>
        <w:tc>
          <w:tcPr>
            <w:tcW w:type="dxa" w:w="3400"/>
            <w:vAlign w:val="center"/>
          </w:tcPr>
          <w:p>
            <w:r/>
            <w:r>
              <w:rPr>
                <w:b w:val="0"/>
                <w:sz w:val="17"/>
              </w:rPr>
              <w:t>L2</w:t>
            </w:r>
          </w:p>
        </w:tc>
        <w:tc>
          <w:tcPr>
            <w:tcW w:type="dxa" w:w="3400"/>
            <w:vAlign w:val="center"/>
          </w:tcPr>
          <w:p>
            <w:r/>
            <w:r>
              <w:rPr>
                <w:b w:val="0"/>
                <w:sz w:val="17"/>
              </w:rPr>
              <w:t>Restore actors, conditions, exceptions and burdens</w:t>
            </w:r>
          </w:p>
        </w:tc>
        <w:tc>
          <w:tcPr>
            <w:tcW w:type="dxa" w:w="3400"/>
            <w:vAlign w:val="center"/>
          </w:tcPr>
          <w:p>
            <w:r/>
            <w:r>
              <w:rPr>
                <w:b w:val="0"/>
                <w:sz w:val="17"/>
              </w:rPr>
              <w:t>Author may correct</w:t>
            </w:r>
          </w:p>
        </w:tc>
      </w:tr>
      <w:tr>
        <w:tc>
          <w:tcPr>
            <w:tcW w:type="dxa" w:w="3400"/>
            <w:shd w:fill="F4F7F5"/>
            <w:vAlign w:val="center"/>
          </w:tcPr>
          <w:p>
            <w:r/>
            <w:r>
              <w:rPr>
                <w:b w:val="0"/>
                <w:sz w:val="17"/>
              </w:rPr>
              <w:t>L3</w:t>
            </w:r>
          </w:p>
        </w:tc>
        <w:tc>
          <w:tcPr>
            <w:tcW w:type="dxa" w:w="3400"/>
            <w:shd w:fill="F4F7F5"/>
            <w:vAlign w:val="center"/>
          </w:tcPr>
          <w:p>
            <w:r/>
            <w:r>
              <w:rPr>
                <w:b w:val="0"/>
                <w:sz w:val="17"/>
              </w:rPr>
              <w:t>Share or purchase confirmation and cooling-off</w:t>
            </w:r>
          </w:p>
        </w:tc>
        <w:tc>
          <w:tcPr>
            <w:tcW w:type="dxa" w:w="3400"/>
            <w:shd w:fill="F4F7F5"/>
            <w:vAlign w:val="center"/>
          </w:tcPr>
          <w:p>
            <w:r/>
            <w:r>
              <w:rPr>
                <w:b w:val="0"/>
                <w:sz w:val="17"/>
              </w:rPr>
              <w:t>Friction is bounded</w:t>
            </w:r>
          </w:p>
        </w:tc>
      </w:tr>
      <w:tr>
        <w:tc>
          <w:tcPr>
            <w:tcW w:type="dxa" w:w="3400"/>
            <w:vAlign w:val="center"/>
          </w:tcPr>
          <w:p>
            <w:r/>
            <w:r>
              <w:rPr>
                <w:b w:val="0"/>
                <w:sz w:val="17"/>
              </w:rPr>
              <w:t>L4</w:t>
            </w:r>
          </w:p>
        </w:tc>
        <w:tc>
          <w:tcPr>
            <w:tcW w:type="dxa" w:w="3400"/>
            <w:vAlign w:val="center"/>
          </w:tcPr>
          <w:p>
            <w:r/>
            <w:r>
              <w:rPr>
                <w:b w:val="0"/>
                <w:sz w:val="17"/>
              </w:rPr>
              <w:t>Pause autoplay, scrolling, streaks and variable reward</w:t>
            </w:r>
          </w:p>
        </w:tc>
        <w:tc>
          <w:tcPr>
            <w:tcW w:type="dxa" w:w="3400"/>
            <w:vAlign w:val="center"/>
          </w:tcPr>
          <w:p>
            <w:r/>
            <w:r>
              <w:rPr>
                <w:b w:val="0"/>
                <w:sz w:val="17"/>
              </w:rPr>
              <w:t>User controlled</w:t>
            </w:r>
          </w:p>
        </w:tc>
      </w:tr>
      <w:tr>
        <w:tc>
          <w:tcPr>
            <w:tcW w:type="dxa" w:w="3400"/>
            <w:shd w:fill="F4F7F5"/>
            <w:vAlign w:val="center"/>
          </w:tcPr>
          <w:p>
            <w:r/>
            <w:r>
              <w:rPr>
                <w:b w:val="0"/>
                <w:sz w:val="17"/>
              </w:rPr>
              <w:t>L5</w:t>
            </w:r>
          </w:p>
        </w:tc>
        <w:tc>
          <w:tcPr>
            <w:tcW w:type="dxa" w:w="3400"/>
            <w:shd w:fill="F4F7F5"/>
            <w:vAlign w:val="center"/>
          </w:tcPr>
          <w:p>
            <w:r/>
            <w:r>
              <w:rPr>
                <w:b w:val="0"/>
                <w:sz w:val="17"/>
              </w:rPr>
              <w:t>Local quarantine, disclosure or amplification hold</w:t>
            </w:r>
          </w:p>
        </w:tc>
        <w:tc>
          <w:tcPr>
            <w:tcW w:type="dxa" w:w="3400"/>
            <w:shd w:fill="F4F7F5"/>
            <w:vAlign w:val="center"/>
          </w:tcPr>
          <w:p>
            <w:r/>
            <w:r>
              <w:rPr>
                <w:b w:val="0"/>
                <w:sz w:val="17"/>
              </w:rPr>
              <w:t>Reversible and expiring</w:t>
            </w:r>
          </w:p>
        </w:tc>
      </w:tr>
      <w:tr>
        <w:tc>
          <w:tcPr>
            <w:tcW w:type="dxa" w:w="3400"/>
            <w:vAlign w:val="center"/>
          </w:tcPr>
          <w:p>
            <w:r/>
            <w:r>
              <w:rPr>
                <w:b w:val="0"/>
                <w:sz w:val="17"/>
              </w:rPr>
              <w:t>L6</w:t>
            </w:r>
          </w:p>
        </w:tc>
        <w:tc>
          <w:tcPr>
            <w:tcW w:type="dxa" w:w="3400"/>
            <w:vAlign w:val="center"/>
          </w:tcPr>
          <w:p>
            <w:r/>
            <w:r>
              <w:rPr>
                <w:b w:val="0"/>
                <w:sz w:val="17"/>
              </w:rPr>
              <w:t>Due process, correction reach and repair</w:t>
            </w:r>
          </w:p>
        </w:tc>
        <w:tc>
          <w:tcPr>
            <w:tcW w:type="dxa" w:w="3400"/>
            <w:vAlign w:val="center"/>
          </w:tcPr>
          <w:p>
            <w:r/>
            <w:r>
              <w:rPr>
                <w:b w:val="0"/>
                <w:sz w:val="17"/>
              </w:rPr>
              <w:t>No automatic external sanction or debit</w:t>
            </w:r>
          </w:p>
        </w:tc>
      </w:tr>
    </w:tbl>
    <w:p>
      <w:r>
        <w:br w:type="page"/>
      </w:r>
    </w:p>
    <w:p>
      <w:pPr>
        <w:pStyle w:val="Heading1"/>
      </w:pPr>
      <w:r>
        <w:t>6. The Personal Client</w:t>
      </w:r>
    </w:p>
    <w:p>
      <w:pPr>
        <w:keepLines w:val="0"/>
      </w:pPr>
      <w:r>
        <w:t>The single-file client requires no account, server, database or model API. A user can paste a post, video script, conversation or course sales page, state its purpose and audience, add interface cues, and receive a ten-dimensional analysis, plural hypotheses and an intervention plan.</w:t>
      </w:r>
    </w:p>
    <w:p>
      <w:pPr>
        <w:keepLines w:val="0"/>
      </w:pPr>
      <w:r>
        <w:t>The client also includes context restoration, relationship simulation, pseudo-knowledge sales audit, addiction assessment, claim-evidence matrix, sharing gate, outcome registration, repair receipt, local hash chain and full export.</w:t>
      </w:r>
    </w:p>
    <w:p>
      <w:pPr>
        <w:keepLines w:val="0"/>
      </w:pPr>
      <w:r>
        <w:t>The user is not asked to trust one score. Every dimension, missing context and distinguishing observation remains visible and editable through new evidence.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0281F"/>
            <w:vAlign w:val="center"/>
          </w:tcPr>
          <w:p>
            <w:r/>
            <w:r>
              <w:rPr>
                <w:b/>
                <w:color w:val="FFFFFF"/>
                <w:sz w:val="18"/>
              </w:rPr>
              <w:t>Module</w:t>
            </w:r>
          </w:p>
        </w:tc>
        <w:tc>
          <w:tcPr>
            <w:tcW w:type="dxa" w:w="5100"/>
            <w:shd w:fill="10281F"/>
            <w:vAlign w:val="center"/>
          </w:tcPr>
          <w:p>
            <w:r/>
            <w:r>
              <w:rPr>
                <w:b/>
                <w:color w:val="FFFFFF"/>
                <w:sz w:val="18"/>
              </w:rPr>
              <w:t>User output</w:t>
            </w:r>
          </w:p>
        </w:tc>
      </w:tr>
      <w:tr>
        <w:tc>
          <w:tcPr>
            <w:tcW w:type="dxa" w:w="5100"/>
            <w:vAlign w:val="center"/>
          </w:tcPr>
          <w:p>
            <w:r/>
            <w:r>
              <w:rPr>
                <w:b w:val="0"/>
                <w:sz w:val="17"/>
              </w:rPr>
              <w:t>Content Clinic</w:t>
            </w:r>
          </w:p>
        </w:tc>
        <w:tc>
          <w:tcPr>
            <w:tcW w:type="dxa" w:w="5100"/>
            <w:vAlign w:val="center"/>
          </w:tcPr>
          <w:p>
            <w:r/>
            <w:r>
              <w:rPr>
                <w:b w:val="0"/>
                <w:sz w:val="17"/>
              </w:rPr>
              <w:t>Mechanism diagnosis and plural worlds</w:t>
            </w:r>
          </w:p>
        </w:tc>
      </w:tr>
      <w:tr>
        <w:tc>
          <w:tcPr>
            <w:tcW w:type="dxa" w:w="5100"/>
            <w:shd w:fill="F4F7F5"/>
            <w:vAlign w:val="center"/>
          </w:tcPr>
          <w:p>
            <w:r/>
            <w:r>
              <w:rPr>
                <w:b w:val="0"/>
                <w:sz w:val="17"/>
              </w:rPr>
              <w:t>Context Restore</w:t>
            </w:r>
          </w:p>
        </w:tc>
        <w:tc>
          <w:tcPr>
            <w:tcW w:type="dxa" w:w="5100"/>
            <w:shd w:fill="F4F7F5"/>
            <w:vAlign w:val="center"/>
          </w:tcPr>
          <w:p>
            <w:r/>
            <w:r>
              <w:rPr>
                <w:b w:val="0"/>
                <w:sz w:val="17"/>
              </w:rPr>
              <w:t>Omitted actors, conditions, exceptions and burdens</w:t>
            </w:r>
          </w:p>
        </w:tc>
      </w:tr>
      <w:tr>
        <w:tc>
          <w:tcPr>
            <w:tcW w:type="dxa" w:w="5100"/>
            <w:vAlign w:val="center"/>
          </w:tcPr>
          <w:p>
            <w:r/>
            <w:r>
              <w:rPr>
                <w:b w:val="0"/>
                <w:sz w:val="17"/>
              </w:rPr>
              <w:t>Relationship Simulator</w:t>
            </w:r>
          </w:p>
        </w:tc>
        <w:tc>
          <w:tcPr>
            <w:tcW w:type="dxa" w:w="5100"/>
            <w:vAlign w:val="center"/>
          </w:tcPr>
          <w:p>
            <w:r/>
            <w:r>
              <w:rPr>
                <w:b w:val="0"/>
                <w:sz w:val="17"/>
              </w:rPr>
              <w:t>Zero-sum drift and safety-first exception</w:t>
            </w:r>
          </w:p>
        </w:tc>
      </w:tr>
      <w:tr>
        <w:tc>
          <w:tcPr>
            <w:tcW w:type="dxa" w:w="5100"/>
            <w:shd w:fill="F4F7F5"/>
            <w:vAlign w:val="center"/>
          </w:tcPr>
          <w:p>
            <w:r/>
            <w:r>
              <w:rPr>
                <w:b w:val="0"/>
                <w:sz w:val="17"/>
              </w:rPr>
              <w:t>Knowledge Offer Audit</w:t>
            </w:r>
          </w:p>
        </w:tc>
        <w:tc>
          <w:tcPr>
            <w:tcW w:type="dxa" w:w="5100"/>
            <w:shd w:fill="F4F7F5"/>
            <w:vAlign w:val="center"/>
          </w:tcPr>
          <w:p>
            <w:r/>
            <w:r>
              <w:rPr>
                <w:b w:val="0"/>
                <w:sz w:val="17"/>
              </w:rPr>
              <w:t>Price, refund, evidence and interest checks</w:t>
            </w:r>
          </w:p>
        </w:tc>
      </w:tr>
      <w:tr>
        <w:tc>
          <w:tcPr>
            <w:tcW w:type="dxa" w:w="5100"/>
            <w:vAlign w:val="center"/>
          </w:tcPr>
          <w:p>
            <w:r/>
            <w:r>
              <w:rPr>
                <w:b w:val="0"/>
                <w:sz w:val="17"/>
              </w:rPr>
              <w:t>Addiction Guard</w:t>
            </w:r>
          </w:p>
        </w:tc>
        <w:tc>
          <w:tcPr>
            <w:tcW w:type="dxa" w:w="5100"/>
            <w:vAlign w:val="center"/>
          </w:tcPr>
          <w:p>
            <w:r/>
            <w:r>
              <w:rPr>
                <w:b w:val="0"/>
                <w:sz w:val="17"/>
              </w:rPr>
              <w:t>Seven-day circuit-break plan</w:t>
            </w:r>
          </w:p>
        </w:tc>
      </w:tr>
      <w:tr>
        <w:tc>
          <w:tcPr>
            <w:tcW w:type="dxa" w:w="5100"/>
            <w:shd w:fill="F4F7F5"/>
            <w:vAlign w:val="center"/>
          </w:tcPr>
          <w:p>
            <w:r/>
            <w:r>
              <w:rPr>
                <w:b w:val="0"/>
                <w:sz w:val="17"/>
              </w:rPr>
              <w:t>Share Gate</w:t>
            </w:r>
          </w:p>
        </w:tc>
        <w:tc>
          <w:tcPr>
            <w:tcW w:type="dxa" w:w="5100"/>
            <w:shd w:fill="F4F7F5"/>
            <w:vAlign w:val="center"/>
          </w:tcPr>
          <w:p>
            <w:r/>
            <w:r>
              <w:rPr>
                <w:b w:val="0"/>
                <w:sz w:val="17"/>
              </w:rPr>
              <w:t>Pause or share with context</w:t>
            </w:r>
          </w:p>
        </w:tc>
      </w:tr>
      <w:tr>
        <w:tc>
          <w:tcPr>
            <w:tcW w:type="dxa" w:w="5100"/>
            <w:vAlign w:val="center"/>
          </w:tcPr>
          <w:p>
            <w:r/>
            <w:r>
              <w:rPr>
                <w:b w:val="0"/>
                <w:sz w:val="17"/>
              </w:rPr>
              <w:t>Reality Repair</w:t>
            </w:r>
          </w:p>
        </w:tc>
        <w:tc>
          <w:tcPr>
            <w:tcW w:type="dxa" w:w="5100"/>
            <w:vAlign w:val="center"/>
          </w:tcPr>
          <w:p>
            <w:r/>
            <w:r>
              <w:rPr>
                <w:b w:val="0"/>
                <w:sz w:val="17"/>
              </w:rPr>
              <w:t>Outcome, correction and repair receipt</w:t>
            </w:r>
          </w:p>
        </w:tc>
      </w:tr>
      <w:tr>
        <w:tc>
          <w:tcPr>
            <w:tcW w:type="dxa" w:w="5100"/>
            <w:shd w:fill="F4F7F5"/>
            <w:vAlign w:val="center"/>
          </w:tcPr>
          <w:p>
            <w:r/>
            <w:r>
              <w:rPr>
                <w:b w:val="0"/>
                <w:sz w:val="17"/>
              </w:rPr>
              <w:t>Export</w:t>
            </w:r>
          </w:p>
        </w:tc>
        <w:tc>
          <w:tcPr>
            <w:tcW w:type="dxa" w:w="5100"/>
            <w:shd w:fill="F4F7F5"/>
            <w:vAlign w:val="center"/>
          </w:tcPr>
          <w:p>
            <w:r/>
            <w:r>
              <w:rPr>
                <w:b w:val="0"/>
                <w:sz w:val="17"/>
              </w:rPr>
              <w:t>User-held cognitive-immunity package</w:t>
            </w:r>
          </w:p>
        </w:tc>
      </w:tr>
    </w:tbl>
    <w:p>
      <w:r>
        <w:br w:type="page"/>
      </w:r>
    </w:p>
    <w:p>
      <w:pPr>
        <w:pStyle w:val="Heading1"/>
      </w:pPr>
      <w:r>
        <w:t>7. Browser Selection Guard</w:t>
      </w:r>
    </w:p>
    <w:p>
      <w:pPr>
        <w:keepLines w:val="0"/>
      </w:pPr>
      <w:r>
        <w:t>QINGYUAN Selection Guard is a user-triggered Manifest V3 extension. It has no standing access to every site. Analysis runs only when the user clicks the extension or selects text on the active page.</w:t>
      </w:r>
    </w:p>
    <w:p>
      <w:pPr>
        <w:keepLines w:val="0"/>
      </w:pPr>
      <w:r>
        <w:t>It can display manipulation, sales, pseudo-knowledge and zero-sum signals; pause media; dim likely recommendation regions by user choice; and insert a thirty-second attention break. It has no remote endpoint and does not upload selected text.</w:t>
      </w:r>
    </w:p>
    <w:p>
      <w:pPr>
        <w:keepLines w:val="0"/>
      </w:pPr>
      <w:r>
        <w:t>The extension gives individuals an immediate protective layer while platform incentives remain unchanged. Store publication still requires independent permission, accessibility and supply-chain review.</w:t>
      </w:r>
    </w:p>
    <w:p>
      <w:pPr>
        <w:pStyle w:val="ListBullet"/>
      </w:pPr>
      <w:r>
        <w:t>Permissions: activeTab, scripting, storage and contextMenus.</w:t>
      </w:r>
    </w:p>
    <w:p>
      <w:pPr>
        <w:pStyle w:val="ListBullet"/>
      </w:pPr>
      <w:r>
        <w:t>No host permissions.</w:t>
      </w:r>
    </w:p>
    <w:p>
      <w:pPr>
        <w:pStyle w:val="ListBullet"/>
      </w:pPr>
      <w:r>
        <w:t>No fetch, XMLHttpRequest or WebSocket.</w:t>
      </w:r>
    </w:p>
    <w:p>
      <w:pPr>
        <w:pStyle w:val="ListBullet"/>
      </w:pPr>
      <w:r>
        <w:t>No automatic report, takedown, account blocking or public accusation.</w:t>
      </w:r>
    </w:p>
    <w:p>
      <w:r>
        <w:br w:type="page"/>
      </w:r>
    </w:p>
    <w:p>
      <w:pPr>
        <w:pStyle w:val="Heading1"/>
      </w:pPr>
      <w:r>
        <w:t>8. Pseudo-Knowledge and Commercial Funnel Audit</w:t>
      </w:r>
    </w:p>
    <w:p>
      <w:pPr>
        <w:keepLines w:val="0"/>
      </w:pPr>
      <w:r>
        <w:t>Paid knowledge is not inherently pseudo-knowledge. Reasonable fees can support research, teaching, service and accountability. The risk arises when scientific language, selected testimonials, identity anxiety and artificial scarcity replace verifiable content and outcomes.</w:t>
      </w:r>
    </w:p>
    <w:p>
      <w:pPr>
        <w:keepLines w:val="0"/>
      </w:pPr>
      <w:r>
        <w:t>QINGYUAN asks for seller identity, price, refund, upsell chain, commission, sponsorship, data use, sample, syllabus, independent outcomes, failure boundaries and unsuitable audiences. A high-price offer with no refund, accountable instructor or independent evidence is held for review.</w:t>
      </w:r>
    </w:p>
    <w:p>
      <w:pPr>
        <w:keepLines w:val="0"/>
      </w:pPr>
      <w:r>
        <w:t>The audit does not automatically find fraud. It forces the most easily hidden pre-purchase questions into view.</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0281F"/>
            <w:vAlign w:val="center"/>
          </w:tcPr>
          <w:p>
            <w:r/>
            <w:r>
              <w:rPr>
                <w:b/>
                <w:color w:val="FFFFFF"/>
                <w:sz w:val="18"/>
              </w:rPr>
              <w:t>Audit question</w:t>
            </w:r>
          </w:p>
        </w:tc>
        <w:tc>
          <w:tcPr>
            <w:tcW w:type="dxa" w:w="5100"/>
            <w:shd w:fill="10281F"/>
            <w:vAlign w:val="center"/>
          </w:tcPr>
          <w:p>
            <w:r/>
            <w:r>
              <w:rPr>
                <w:b/>
                <w:color w:val="FFFFFF"/>
                <w:sz w:val="18"/>
              </w:rPr>
              <w:t>Why it matters</w:t>
            </w:r>
          </w:p>
        </w:tc>
      </w:tr>
      <w:tr>
        <w:tc>
          <w:tcPr>
            <w:tcW w:type="dxa" w:w="5100"/>
            <w:vAlign w:val="center"/>
          </w:tcPr>
          <w:p>
            <w:r/>
            <w:r>
              <w:rPr>
                <w:b w:val="0"/>
                <w:sz w:val="17"/>
              </w:rPr>
              <w:t>Who sells and accepts responsibility?</w:t>
            </w:r>
          </w:p>
        </w:tc>
        <w:tc>
          <w:tcPr>
            <w:tcW w:type="dxa" w:w="5100"/>
            <w:vAlign w:val="center"/>
          </w:tcPr>
          <w:p>
            <w:r/>
            <w:r>
              <w:rPr>
                <w:b w:val="0"/>
                <w:sz w:val="17"/>
              </w:rPr>
              <w:t>Prevents anonymous authority and actor drift</w:t>
            </w:r>
          </w:p>
        </w:tc>
      </w:tr>
      <w:tr>
        <w:tc>
          <w:tcPr>
            <w:tcW w:type="dxa" w:w="5100"/>
            <w:shd w:fill="F4F7F5"/>
            <w:vAlign w:val="center"/>
          </w:tcPr>
          <w:p>
            <w:r/>
            <w:r>
              <w:rPr>
                <w:b w:val="0"/>
                <w:sz w:val="17"/>
              </w:rPr>
              <w:t>Where is the evidence?</w:t>
            </w:r>
          </w:p>
        </w:tc>
        <w:tc>
          <w:tcPr>
            <w:tcW w:type="dxa" w:w="5100"/>
            <w:shd w:fill="F4F7F5"/>
            <w:vAlign w:val="center"/>
          </w:tcPr>
          <w:p>
            <w:r/>
            <w:r>
              <w:rPr>
                <w:b w:val="0"/>
                <w:sz w:val="17"/>
              </w:rPr>
              <w:t>Separates independent outcomes from testimonials</w:t>
            </w:r>
          </w:p>
        </w:tc>
      </w:tr>
      <w:tr>
        <w:tc>
          <w:tcPr>
            <w:tcW w:type="dxa" w:w="5100"/>
            <w:vAlign w:val="center"/>
          </w:tcPr>
          <w:p>
            <w:r/>
            <w:r>
              <w:rPr>
                <w:b w:val="0"/>
                <w:sz w:val="17"/>
              </w:rPr>
              <w:t>What failed and where are the limits?</w:t>
            </w:r>
          </w:p>
        </w:tc>
        <w:tc>
          <w:tcPr>
            <w:tcW w:type="dxa" w:w="5100"/>
            <w:vAlign w:val="center"/>
          </w:tcPr>
          <w:p>
            <w:r/>
            <w:r>
              <w:rPr>
                <w:b w:val="0"/>
                <w:sz w:val="17"/>
              </w:rPr>
              <w:t>Prevents one success from becoming a universal promise</w:t>
            </w:r>
          </w:p>
        </w:tc>
      </w:tr>
      <w:tr>
        <w:tc>
          <w:tcPr>
            <w:tcW w:type="dxa" w:w="5100"/>
            <w:shd w:fill="F4F7F5"/>
            <w:vAlign w:val="center"/>
          </w:tcPr>
          <w:p>
            <w:r/>
            <w:r>
              <w:rPr>
                <w:b w:val="0"/>
                <w:sz w:val="17"/>
              </w:rPr>
              <w:t>Can the user exit and obtain a refund?</w:t>
            </w:r>
          </w:p>
        </w:tc>
        <w:tc>
          <w:tcPr>
            <w:tcW w:type="dxa" w:w="5100"/>
            <w:shd w:fill="F4F7F5"/>
            <w:vAlign w:val="center"/>
          </w:tcPr>
          <w:p>
            <w:r/>
            <w:r>
              <w:rPr>
                <w:b w:val="0"/>
                <w:sz w:val="17"/>
              </w:rPr>
              <w:t>Preserves correction and agency</w:t>
            </w:r>
          </w:p>
        </w:tc>
      </w:tr>
      <w:tr>
        <w:tc>
          <w:tcPr>
            <w:tcW w:type="dxa" w:w="5100"/>
            <w:vAlign w:val="center"/>
          </w:tcPr>
          <w:p>
            <w:r/>
            <w:r>
              <w:rPr>
                <w:b w:val="0"/>
                <w:sz w:val="17"/>
              </w:rPr>
              <w:t>Are upsells and commissions disclosed?</w:t>
            </w:r>
          </w:p>
        </w:tc>
        <w:tc>
          <w:tcPr>
            <w:tcW w:type="dxa" w:w="5100"/>
            <w:vAlign w:val="center"/>
          </w:tcPr>
          <w:p>
            <w:r/>
            <w:r>
              <w:rPr>
                <w:b w:val="0"/>
                <w:sz w:val="17"/>
              </w:rPr>
              <w:t>Exposes the real interest chain</w:t>
            </w:r>
          </w:p>
        </w:tc>
      </w:tr>
      <w:tr>
        <w:tc>
          <w:tcPr>
            <w:tcW w:type="dxa" w:w="5100"/>
            <w:shd w:fill="F4F7F5"/>
            <w:vAlign w:val="center"/>
          </w:tcPr>
          <w:p>
            <w:r/>
            <w:r>
              <w:rPr>
                <w:b w:val="0"/>
                <w:sz w:val="17"/>
              </w:rPr>
              <w:t>Is the audience under exceptional pressure?</w:t>
            </w:r>
          </w:p>
        </w:tc>
        <w:tc>
          <w:tcPr>
            <w:tcW w:type="dxa" w:w="5100"/>
            <w:shd w:fill="F4F7F5"/>
            <w:vAlign w:val="center"/>
          </w:tcPr>
          <w:p>
            <w:r/>
            <w:r>
              <w:rPr>
                <w:b w:val="0"/>
                <w:sz w:val="17"/>
              </w:rPr>
              <w:t>Reduces exploitation of vulnerability</w:t>
            </w:r>
          </w:p>
        </w:tc>
      </w:tr>
    </w:tbl>
    <w:p>
      <w:r>
        <w:br w:type="page"/>
      </w:r>
    </w:p>
    <w:p>
      <w:pPr>
        <w:pStyle w:val="Heading1"/>
      </w:pPr>
      <w:r>
        <w:t>9. Family Care as a Context-Repair Case</w:t>
      </w:r>
    </w:p>
    <w:p>
      <w:pPr>
        <w:keepLines w:val="0"/>
      </w:pPr>
      <w:r>
        <w:t>“A woman should first take care of herself before she can take care of a child” contains a legitimate core: a caregiver’s health, rest and safety cannot be depleted indefinitely. The slogan becomes incomplete when it omits the child’s immediate needs, the partner’s actual labour, income and time constraints, substitute care and violence exceptions.</w:t>
      </w:r>
    </w:p>
    <w:p>
      <w:pPr>
        <w:keepLines w:val="0"/>
      </w:pPr>
      <w:r>
        <w:t>When the message adds “an awakened woman never compromises,” “everyone is draining you,” or “join the course now,” it is no longer merely self-care advice. It is identity conflict, unilateral burden transfer and commercial conversion. QINGYUAN preserves caregiver protection while rejecting the zero-sum extension.</w:t>
      </w:r>
    </w:p>
    <w:p>
      <w:pPr>
        <w:keepLines w:val="0"/>
      </w:pPr>
      <w:r>
        <w:t>A repaired decision rule includes child safety, caregiver health, actual labour distribution, budget, rest, substitute resources, a trial period and a review date. Violence or coercive control activates a safety-first exception rather than ordinary compromise.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0281F"/>
            <w:vAlign w:val="center"/>
          </w:tcPr>
          <w:p>
            <w:r/>
            <w:r>
              <w:rPr>
                <w:b/>
                <w:color w:val="FFFFFF"/>
                <w:sz w:val="18"/>
              </w:rPr>
              <w:t>Layer</w:t>
            </w:r>
          </w:p>
        </w:tc>
        <w:tc>
          <w:tcPr>
            <w:tcW w:type="dxa" w:w="5100"/>
            <w:shd w:fill="10281F"/>
            <w:vAlign w:val="center"/>
          </w:tcPr>
          <w:p>
            <w:r/>
            <w:r>
              <w:rPr>
                <w:b/>
                <w:color w:val="FFFFFF"/>
                <w:sz w:val="18"/>
              </w:rPr>
              <w:t>Content</w:t>
            </w:r>
          </w:p>
        </w:tc>
      </w:tr>
      <w:tr>
        <w:tc>
          <w:tcPr>
            <w:tcW w:type="dxa" w:w="5100"/>
            <w:vAlign w:val="center"/>
          </w:tcPr>
          <w:p>
            <w:r/>
            <w:r>
              <w:rPr>
                <w:b w:val="0"/>
                <w:sz w:val="17"/>
              </w:rPr>
              <w:t>Legitimate core</w:t>
            </w:r>
          </w:p>
        </w:tc>
        <w:tc>
          <w:tcPr>
            <w:tcW w:type="dxa" w:w="5100"/>
            <w:vAlign w:val="center"/>
          </w:tcPr>
          <w:p>
            <w:r/>
            <w:r>
              <w:rPr>
                <w:b w:val="0"/>
                <w:sz w:val="17"/>
              </w:rPr>
              <w:t>Caregivers need health, rest and safety</w:t>
            </w:r>
          </w:p>
        </w:tc>
      </w:tr>
      <w:tr>
        <w:tc>
          <w:tcPr>
            <w:tcW w:type="dxa" w:w="5100"/>
            <w:shd w:fill="F4F7F5"/>
            <w:vAlign w:val="center"/>
          </w:tcPr>
          <w:p>
            <w:r/>
            <w:r>
              <w:rPr>
                <w:b w:val="0"/>
                <w:sz w:val="17"/>
              </w:rPr>
              <w:t>Omitted actors</w:t>
            </w:r>
          </w:p>
        </w:tc>
        <w:tc>
          <w:tcPr>
            <w:tcW w:type="dxa" w:w="5100"/>
            <w:shd w:fill="F4F7F5"/>
            <w:vAlign w:val="center"/>
          </w:tcPr>
          <w:p>
            <w:r/>
            <w:r>
              <w:rPr>
                <w:b w:val="0"/>
                <w:sz w:val="17"/>
              </w:rPr>
              <w:t>Child, partner, other carers and public support</w:t>
            </w:r>
          </w:p>
        </w:tc>
      </w:tr>
      <w:tr>
        <w:tc>
          <w:tcPr>
            <w:tcW w:type="dxa" w:w="5100"/>
            <w:vAlign w:val="center"/>
          </w:tcPr>
          <w:p>
            <w:r/>
            <w:r>
              <w:rPr>
                <w:b w:val="0"/>
                <w:sz w:val="17"/>
              </w:rPr>
              <w:t>Omitted constraints</w:t>
            </w:r>
          </w:p>
        </w:tc>
        <w:tc>
          <w:tcPr>
            <w:tcW w:type="dxa" w:w="5100"/>
            <w:vAlign w:val="center"/>
          </w:tcPr>
          <w:p>
            <w:r/>
            <w:r>
              <w:rPr>
                <w:b w:val="0"/>
                <w:sz w:val="17"/>
              </w:rPr>
              <w:t>Time, income, health, housing and substitute care</w:t>
            </w:r>
          </w:p>
        </w:tc>
      </w:tr>
      <w:tr>
        <w:tc>
          <w:tcPr>
            <w:tcW w:type="dxa" w:w="5100"/>
            <w:shd w:fill="F4F7F5"/>
            <w:vAlign w:val="center"/>
          </w:tcPr>
          <w:p>
            <w:r/>
            <w:r>
              <w:rPr>
                <w:b w:val="0"/>
                <w:sz w:val="17"/>
              </w:rPr>
              <w:t>Zero-sum drift</w:t>
            </w:r>
          </w:p>
        </w:tc>
        <w:tc>
          <w:tcPr>
            <w:tcW w:type="dxa" w:w="5100"/>
            <w:shd w:fill="F4F7F5"/>
            <w:vAlign w:val="center"/>
          </w:tcPr>
          <w:p>
            <w:r/>
            <w:r>
              <w:rPr>
                <w:b w:val="0"/>
                <w:sz w:val="17"/>
              </w:rPr>
              <w:t>Negotiation reframed as gender victory or betrayal</w:t>
            </w:r>
          </w:p>
        </w:tc>
      </w:tr>
      <w:tr>
        <w:tc>
          <w:tcPr>
            <w:tcW w:type="dxa" w:w="5100"/>
            <w:vAlign w:val="center"/>
          </w:tcPr>
          <w:p>
            <w:r/>
            <w:r>
              <w:rPr>
                <w:b w:val="0"/>
                <w:sz w:val="17"/>
              </w:rPr>
              <w:t>Commercial conversion</w:t>
            </w:r>
          </w:p>
        </w:tc>
        <w:tc>
          <w:tcPr>
            <w:tcW w:type="dxa" w:w="5100"/>
            <w:vAlign w:val="center"/>
          </w:tcPr>
          <w:p>
            <w:r/>
            <w:r>
              <w:rPr>
                <w:b w:val="0"/>
                <w:sz w:val="17"/>
              </w:rPr>
              <w:t>Awakening anxiety used to sell a course or private group</w:t>
            </w:r>
          </w:p>
        </w:tc>
      </w:tr>
      <w:tr>
        <w:tc>
          <w:tcPr>
            <w:tcW w:type="dxa" w:w="5100"/>
            <w:shd w:fill="F4F7F5"/>
            <w:vAlign w:val="center"/>
          </w:tcPr>
          <w:p>
            <w:r/>
            <w:r>
              <w:rPr>
                <w:b w:val="0"/>
                <w:sz w:val="17"/>
              </w:rPr>
              <w:t>Repair</w:t>
            </w:r>
          </w:p>
        </w:tc>
        <w:tc>
          <w:tcPr>
            <w:tcW w:type="dxa" w:w="5100"/>
            <w:shd w:fill="F4F7F5"/>
            <w:vAlign w:val="center"/>
          </w:tcPr>
          <w:p>
            <w:r/>
            <w:r>
              <w:rPr>
                <w:b w:val="0"/>
                <w:sz w:val="17"/>
              </w:rPr>
              <w:t>Reversible trial, explicit workload, review and safety exception</w:t>
            </w:r>
          </w:p>
        </w:tc>
      </w:tr>
    </w:tbl>
    <w:p>
      <w:r>
        <w:br w:type="page"/>
      </w:r>
    </w:p>
    <w:p>
      <w:pPr>
        <w:pStyle w:val="Heading1"/>
      </w:pPr>
      <w:r>
        <w:t>10. Attention and Addiction Circuits</w:t>
      </w:r>
    </w:p>
    <w:p>
      <w:pPr>
        <w:keepLines w:val="0"/>
      </w:pPr>
      <w:r>
        <w:t>Addiction risk is not located only in words. It emerges from content and interface together: infinite scroll removes stopping cues, autoplay continues the choice, streaks make stopping feel like loss, variable reward reinforces repeated checking, and rapid push notifications capture vulnerable moments.</w:t>
      </w:r>
    </w:p>
    <w:p>
      <w:pPr>
        <w:keepLines w:val="0"/>
      </w:pPr>
      <w:r>
        <w:t>The client uses daily duration, night interruption, unplanned opening and post-use distress to generate a seven-day circuit-break plan. The extension can pause media, dim recommendations and insert an attention break. Institutions should measure involuntary continuation, sleep disruption, exit difficulty and post-use effects rather than optimise only duration.</w:t>
      </w:r>
    </w:p>
    <w:p>
      <w:pPr>
        <w:keepLines w:val="0"/>
      </w:pPr>
      <w:r>
        <w:t>The objective is not permanent prohibition of entertainment or social interaction. It is to restore explicit purpose, natural endings, revocable notifications and real-life rhythms.</w:t>
      </w:r>
    </w:p>
    <w:p>
      <w:pPr>
        <w:pStyle w:val="ListBullet"/>
      </w:pPr>
      <w:r>
        <w:t>Disable autoplay and nonessential push notifications.</w:t>
      </w:r>
    </w:p>
    <w:p>
      <w:pPr>
        <w:pStyle w:val="ListBullet"/>
      </w:pPr>
      <w:r>
        <w:t>Remove the application from the primary screen and state a purpose before opening.</w:t>
      </w:r>
    </w:p>
    <w:p>
      <w:pPr>
        <w:pStyle w:val="ListBullet"/>
      </w:pPr>
      <w:r>
        <w:t>Take an off-screen break every 20–35 minutes.</w:t>
      </w:r>
    </w:p>
    <w:p>
      <w:pPr>
        <w:pStyle w:val="ListBullet"/>
      </w:pPr>
      <w:r>
        <w:t>Stop recommendation feeds ninety minutes before sleep.</w:t>
      </w:r>
    </w:p>
    <w:p>
      <w:pPr>
        <w:pStyle w:val="ListBullet"/>
      </w:pPr>
      <w:r>
        <w:t>Hide streak, like and variable-reward cues.</w:t>
      </w:r>
    </w:p>
    <w:p>
      <w:pPr>
        <w:pStyle w:val="ListBullet"/>
      </w:pPr>
      <w:r>
        <w:t>Record before-and-after state and revise after seven days.</w:t>
      </w:r>
    </w:p>
    <w:p>
      <w:r>
        <w:br w:type="page"/>
      </w:r>
    </w:p>
    <w:p>
      <w:pPr>
        <w:pStyle w:val="Heading1"/>
      </w:pPr>
      <w:r>
        <w:t>11. Active Repair in Physical Life</w:t>
      </w:r>
    </w:p>
    <w:p>
      <w:pPr>
        <w:keepLines w:val="0"/>
      </w:pPr>
      <w:r>
        <w:t>When digital manipulation has produced a purchase, family conflict, medical delay, harassment or child-care risk, a label is insufficient. The system records the outcome, separates self-report, stakeholder confirmation and independent evidence, and recommends stop, correction, exit, restitution or further investigation.</w:t>
      </w:r>
    </w:p>
    <w:p>
      <w:pPr>
        <w:keepLines w:val="0"/>
      </w:pPr>
      <w:r>
        <w:t>The order is to stop continued amplification or sale, deliver correction to the original audience where possible, restore refund, deletion, exit and appeal, repair direct harm, change recommendation and sales incentives, and feed false positives and false negatives back into the model.</w:t>
      </w:r>
    </w:p>
    <w:p>
      <w:pPr>
        <w:keepLines w:val="0"/>
      </w:pPr>
      <w:r>
        <w:t>Compensation, sanctions and compulsory action still require a competent process. QINGYUAN produces a structured repair draft and receipt; it does not debit an account or punish a third party.</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0281F"/>
            <w:vAlign w:val="center"/>
          </w:tcPr>
          <w:p>
            <w:r/>
            <w:r>
              <w:rPr>
                <w:b/>
                <w:color w:val="FFFFFF"/>
                <w:sz w:val="18"/>
              </w:rPr>
              <w:t>Real-world case</w:t>
            </w:r>
          </w:p>
        </w:tc>
        <w:tc>
          <w:tcPr>
            <w:tcW w:type="dxa" w:w="5100"/>
            <w:shd w:fill="10281F"/>
            <w:vAlign w:val="center"/>
          </w:tcPr>
          <w:p>
            <w:r/>
            <w:r>
              <w:rPr>
                <w:b/>
                <w:color w:val="FFFFFF"/>
                <w:sz w:val="18"/>
              </w:rPr>
              <w:t>Active response</w:t>
            </w:r>
          </w:p>
        </w:tc>
      </w:tr>
      <w:tr>
        <w:tc>
          <w:tcPr>
            <w:tcW w:type="dxa" w:w="5100"/>
            <w:vAlign w:val="center"/>
          </w:tcPr>
          <w:p>
            <w:r/>
            <w:r>
              <w:rPr>
                <w:b w:val="0"/>
                <w:sz w:val="17"/>
              </w:rPr>
              <w:t>Impulsive pseudo-course purchase</w:t>
            </w:r>
          </w:p>
        </w:tc>
        <w:tc>
          <w:tcPr>
            <w:tcW w:type="dxa" w:w="5100"/>
            <w:vAlign w:val="center"/>
          </w:tcPr>
          <w:p>
            <w:r/>
            <w:r>
              <w:rPr>
                <w:b w:val="0"/>
                <w:sz w:val="17"/>
              </w:rPr>
              <w:t>Cooling-off, evidence preservation, refund check and upsell stop</w:t>
            </w:r>
          </w:p>
        </w:tc>
      </w:tr>
      <w:tr>
        <w:tc>
          <w:tcPr>
            <w:tcW w:type="dxa" w:w="5100"/>
            <w:shd w:fill="F4F7F5"/>
            <w:vAlign w:val="center"/>
          </w:tcPr>
          <w:p>
            <w:r/>
            <w:r>
              <w:rPr>
                <w:b w:val="0"/>
                <w:sz w:val="17"/>
              </w:rPr>
              <w:t>Family zero-sum conflict</w:t>
            </w:r>
          </w:p>
        </w:tc>
        <w:tc>
          <w:tcPr>
            <w:tcW w:type="dxa" w:w="5100"/>
            <w:shd w:fill="F4F7F5"/>
            <w:vAlign w:val="center"/>
          </w:tcPr>
          <w:p>
            <w:r/>
            <w:r>
              <w:rPr>
                <w:b w:val="0"/>
                <w:sz w:val="17"/>
              </w:rPr>
              <w:t>Burden map, reversible workload trial and violence exception</w:t>
            </w:r>
          </w:p>
        </w:tc>
      </w:tr>
      <w:tr>
        <w:tc>
          <w:tcPr>
            <w:tcW w:type="dxa" w:w="5100"/>
            <w:vAlign w:val="center"/>
          </w:tcPr>
          <w:p>
            <w:r/>
            <w:r>
              <w:rPr>
                <w:b w:val="0"/>
                <w:sz w:val="17"/>
              </w:rPr>
              <w:t>Medical pseudo-knowledge</w:t>
            </w:r>
          </w:p>
        </w:tc>
        <w:tc>
          <w:tcPr>
            <w:tcW w:type="dxa" w:w="5100"/>
            <w:vAlign w:val="center"/>
          </w:tcPr>
          <w:p>
            <w:r/>
            <w:r>
              <w:rPr>
                <w:b w:val="0"/>
                <w:sz w:val="17"/>
              </w:rPr>
              <w:t>Stop substituting for care, preserve evidence and obtain professional review</w:t>
            </w:r>
          </w:p>
        </w:tc>
      </w:tr>
      <w:tr>
        <w:tc>
          <w:tcPr>
            <w:tcW w:type="dxa" w:w="5100"/>
            <w:shd w:fill="F4F7F5"/>
            <w:vAlign w:val="center"/>
          </w:tcPr>
          <w:p>
            <w:r/>
            <w:r>
              <w:rPr>
                <w:b w:val="0"/>
                <w:sz w:val="17"/>
              </w:rPr>
              <w:t>Content correction</w:t>
            </w:r>
          </w:p>
        </w:tc>
        <w:tc>
          <w:tcPr>
            <w:tcW w:type="dxa" w:w="5100"/>
            <w:shd w:fill="F4F7F5"/>
            <w:vAlign w:val="center"/>
          </w:tcPr>
          <w:p>
            <w:r/>
            <w:r>
              <w:rPr>
                <w:b w:val="0"/>
                <w:sz w:val="17"/>
              </w:rPr>
              <w:t>Reach the exposed audience and mark what changed</w:t>
            </w:r>
          </w:p>
        </w:tc>
      </w:tr>
      <w:tr>
        <w:tc>
          <w:tcPr>
            <w:tcW w:type="dxa" w:w="5100"/>
            <w:vAlign w:val="center"/>
          </w:tcPr>
          <w:p>
            <w:r/>
            <w:r>
              <w:rPr>
                <w:b w:val="0"/>
                <w:sz w:val="17"/>
              </w:rPr>
              <w:t>Repeated amplification</w:t>
            </w:r>
          </w:p>
        </w:tc>
        <w:tc>
          <w:tcPr>
            <w:tcW w:type="dxa" w:w="5100"/>
            <w:vAlign w:val="center"/>
          </w:tcPr>
          <w:p>
            <w:r/>
            <w:r>
              <w:rPr>
                <w:b w:val="0"/>
                <w:sz w:val="17"/>
              </w:rPr>
              <w:t>Change recommendation and commercial incentives</w:t>
            </w:r>
          </w:p>
        </w:tc>
      </w:tr>
      <w:tr>
        <w:tc>
          <w:tcPr>
            <w:tcW w:type="dxa" w:w="5100"/>
            <w:shd w:fill="F4F7F5"/>
            <w:vAlign w:val="center"/>
          </w:tcPr>
          <w:p>
            <w:r/>
            <w:r>
              <w:rPr>
                <w:b w:val="0"/>
                <w:sz w:val="17"/>
              </w:rPr>
              <w:t>Wrong decision</w:t>
            </w:r>
          </w:p>
        </w:tc>
        <w:tc>
          <w:tcPr>
            <w:tcW w:type="dxa" w:w="5100"/>
            <w:shd w:fill="F4F7F5"/>
            <w:vAlign w:val="center"/>
          </w:tcPr>
          <w:p>
            <w:r/>
            <w:r>
              <w:rPr>
                <w:b w:val="0"/>
                <w:sz w:val="17"/>
              </w:rPr>
              <w:t>Reverse, notify, compensate and revise the model</w:t>
            </w:r>
          </w:p>
        </w:tc>
      </w:tr>
    </w:tbl>
    <w:p>
      <w:r>
        <w:br w:type="page"/>
      </w:r>
    </w:p>
    <w:p>
      <w:pPr>
        <w:pStyle w:val="Heading1"/>
      </w:pPr>
      <w:r>
        <w:t>12. Governance, Appeal and Anti-Abuse</w:t>
      </w:r>
    </w:p>
    <w:p>
      <w:pPr>
        <w:keepLines w:val="0"/>
      </w:pPr>
      <w:r>
        <w:t>An active system without anti-abuse structure can become a new manipulation instrument. QINGYUAN prohibits human-worth ranking, political-viewpoint penalties, negative-emotion suppression, person-level good/bad labels, automatic external takedown, automatic sanctions and automatic value transfer.</w:t>
      </w:r>
    </w:p>
    <w:p>
      <w:pPr>
        <w:keepLines w:val="0"/>
      </w:pPr>
      <w:r>
        <w:t>Institutional deployment must separate evidence collection, decision, appeal and benefit. A platform must not earn revenue by classifying more content as harmful. Every action needs scope, reason, expiry, stop condition, appeal and correction records.</w:t>
      </w:r>
    </w:p>
    <w:p>
      <w:pPr>
        <w:keepLines w:val="0"/>
      </w:pPr>
      <w:r>
        <w:t>The system must publish its own failures: false positives, false negatives, damage to protected expression, unequal effects, correction reach, exit success and real repair outcomes.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0281F"/>
            <w:vAlign w:val="center"/>
          </w:tcPr>
          <w:p>
            <w:r/>
            <w:r>
              <w:rPr>
                <w:b/>
                <w:color w:val="FFFFFF"/>
                <w:sz w:val="18"/>
              </w:rPr>
              <w:t>Hard invariant</w:t>
            </w:r>
          </w:p>
        </w:tc>
        <w:tc>
          <w:tcPr>
            <w:tcW w:type="dxa" w:w="5100"/>
            <w:shd w:fill="10281F"/>
            <w:vAlign w:val="center"/>
          </w:tcPr>
          <w:p>
            <w:r/>
            <w:r>
              <w:rPr>
                <w:b/>
                <w:color w:val="FFFFFF"/>
                <w:sz w:val="18"/>
              </w:rPr>
              <w:t>Value</w:t>
            </w:r>
          </w:p>
        </w:tc>
      </w:tr>
      <w:tr>
        <w:tc>
          <w:tcPr>
            <w:tcW w:type="dxa" w:w="5100"/>
            <w:vAlign w:val="center"/>
          </w:tcPr>
          <w:p>
            <w:r/>
            <w:r>
              <w:rPr>
                <w:b w:val="0"/>
                <w:sz w:val="17"/>
              </w:rPr>
              <w:t>Human-worth ranking authority</w:t>
            </w:r>
          </w:p>
        </w:tc>
        <w:tc>
          <w:tcPr>
            <w:tcW w:type="dxa" w:w="5100"/>
            <w:vAlign w:val="center"/>
          </w:tcPr>
          <w:p>
            <w:r/>
            <w:r>
              <w:rPr>
                <w:b w:val="0"/>
                <w:sz w:val="17"/>
              </w:rPr>
              <w:t>0</w:t>
            </w:r>
          </w:p>
        </w:tc>
      </w:tr>
      <w:tr>
        <w:tc>
          <w:tcPr>
            <w:tcW w:type="dxa" w:w="5100"/>
            <w:shd w:fill="F4F7F5"/>
            <w:vAlign w:val="center"/>
          </w:tcPr>
          <w:p>
            <w:r/>
            <w:r>
              <w:rPr>
                <w:b w:val="0"/>
                <w:sz w:val="17"/>
              </w:rPr>
              <w:t>Political-viewpoint penalty authority</w:t>
            </w:r>
          </w:p>
        </w:tc>
        <w:tc>
          <w:tcPr>
            <w:tcW w:type="dxa" w:w="5100"/>
            <w:shd w:fill="F4F7F5"/>
            <w:vAlign w:val="center"/>
          </w:tcPr>
          <w:p>
            <w:r/>
            <w:r>
              <w:rPr>
                <w:b w:val="0"/>
                <w:sz w:val="17"/>
              </w:rPr>
              <w:t>0</w:t>
            </w:r>
          </w:p>
        </w:tc>
      </w:tr>
      <w:tr>
        <w:tc>
          <w:tcPr>
            <w:tcW w:type="dxa" w:w="5100"/>
            <w:vAlign w:val="center"/>
          </w:tcPr>
          <w:p>
            <w:r/>
            <w:r>
              <w:rPr>
                <w:b w:val="0"/>
                <w:sz w:val="17"/>
              </w:rPr>
              <w:t>Negative-emotion suppression authority</w:t>
            </w:r>
          </w:p>
        </w:tc>
        <w:tc>
          <w:tcPr>
            <w:tcW w:type="dxa" w:w="5100"/>
            <w:vAlign w:val="center"/>
          </w:tcPr>
          <w:p>
            <w:r/>
            <w:r>
              <w:rPr>
                <w:b w:val="0"/>
                <w:sz w:val="17"/>
              </w:rPr>
              <w:t>0</w:t>
            </w:r>
          </w:p>
        </w:tc>
      </w:tr>
      <w:tr>
        <w:tc>
          <w:tcPr>
            <w:tcW w:type="dxa" w:w="5100"/>
            <w:shd w:fill="F4F7F5"/>
            <w:vAlign w:val="center"/>
          </w:tcPr>
          <w:p>
            <w:r/>
            <w:r>
              <w:rPr>
                <w:b w:val="0"/>
                <w:sz w:val="17"/>
              </w:rPr>
              <w:t>Person-level good/bad label</w:t>
            </w:r>
          </w:p>
        </w:tc>
        <w:tc>
          <w:tcPr>
            <w:tcW w:type="dxa" w:w="5100"/>
            <w:shd w:fill="F4F7F5"/>
            <w:vAlign w:val="center"/>
          </w:tcPr>
          <w:p>
            <w:r/>
            <w:r>
              <w:rPr>
                <w:b w:val="0"/>
                <w:sz w:val="17"/>
              </w:rPr>
              <w:t>0</w:t>
            </w:r>
          </w:p>
        </w:tc>
      </w:tr>
      <w:tr>
        <w:tc>
          <w:tcPr>
            <w:tcW w:type="dxa" w:w="5100"/>
            <w:vAlign w:val="center"/>
          </w:tcPr>
          <w:p>
            <w:r/>
            <w:r>
              <w:rPr>
                <w:b w:val="0"/>
                <w:sz w:val="17"/>
              </w:rPr>
              <w:t>Automatic external takedown or sanction</w:t>
            </w:r>
          </w:p>
        </w:tc>
        <w:tc>
          <w:tcPr>
            <w:tcW w:type="dxa" w:w="5100"/>
            <w:vAlign w:val="center"/>
          </w:tcPr>
          <w:p>
            <w:r/>
            <w:r>
              <w:rPr>
                <w:b w:val="0"/>
                <w:sz w:val="17"/>
              </w:rPr>
              <w:t>0</w:t>
            </w:r>
          </w:p>
        </w:tc>
      </w:tr>
      <w:tr>
        <w:tc>
          <w:tcPr>
            <w:tcW w:type="dxa" w:w="5100"/>
            <w:shd w:fill="F4F7F5"/>
            <w:vAlign w:val="center"/>
          </w:tcPr>
          <w:p>
            <w:r/>
            <w:r>
              <w:rPr>
                <w:b w:val="0"/>
                <w:sz w:val="17"/>
              </w:rPr>
              <w:t>Automatic debit or value transfer</w:t>
            </w:r>
          </w:p>
        </w:tc>
        <w:tc>
          <w:tcPr>
            <w:tcW w:type="dxa" w:w="5100"/>
            <w:shd w:fill="F4F7F5"/>
            <w:vAlign w:val="center"/>
          </w:tcPr>
          <w:p>
            <w:r/>
            <w:r>
              <w:rPr>
                <w:b w:val="0"/>
                <w:sz w:val="17"/>
              </w:rPr>
              <w:t>0</w:t>
            </w:r>
          </w:p>
        </w:tc>
      </w:tr>
      <w:tr>
        <w:tc>
          <w:tcPr>
            <w:tcW w:type="dxa" w:w="5100"/>
            <w:vAlign w:val="center"/>
          </w:tcPr>
          <w:p>
            <w:r/>
            <w:r>
              <w:rPr>
                <w:b w:val="0"/>
                <w:sz w:val="17"/>
              </w:rPr>
              <w:t>Appeal and correction</w:t>
            </w:r>
          </w:p>
        </w:tc>
        <w:tc>
          <w:tcPr>
            <w:tcW w:type="dxa" w:w="5100"/>
            <w:vAlign w:val="center"/>
          </w:tcPr>
          <w:p>
            <w:r/>
            <w:r>
              <w:rPr>
                <w:b w:val="0"/>
                <w:sz w:val="17"/>
              </w:rPr>
              <w:t>Required</w:t>
            </w:r>
          </w:p>
        </w:tc>
      </w:tr>
      <w:tr>
        <w:tc>
          <w:tcPr>
            <w:tcW w:type="dxa" w:w="5100"/>
            <w:shd w:fill="F4F7F5"/>
            <w:vAlign w:val="center"/>
          </w:tcPr>
          <w:p>
            <w:r/>
            <w:r>
              <w:rPr>
                <w:b w:val="0"/>
                <w:sz w:val="17"/>
              </w:rPr>
              <w:t>Reality-outcome receipt</w:t>
            </w:r>
          </w:p>
        </w:tc>
        <w:tc>
          <w:tcPr>
            <w:tcW w:type="dxa" w:w="5100"/>
            <w:shd w:fill="F4F7F5"/>
            <w:vAlign w:val="center"/>
          </w:tcPr>
          <w:p>
            <w:r/>
            <w:r>
              <w:rPr>
                <w:b w:val="0"/>
                <w:sz w:val="17"/>
              </w:rPr>
              <w:t>Required</w:t>
            </w:r>
          </w:p>
        </w:tc>
      </w:tr>
    </w:tbl>
    <w:p>
      <w:r>
        <w:br w:type="page"/>
      </w:r>
    </w:p>
    <w:p>
      <w:pPr>
        <w:pStyle w:val="Heading1"/>
      </w:pPr>
      <w:r>
        <w:t>13. Architecture and Open-Source Delivery</w:t>
      </w:r>
    </w:p>
    <w:p>
      <w:pPr>
        <w:keepLines w:val="0"/>
      </w:pPr>
      <w:r>
        <w:t>The delivery consists of four independently useful components: an offline single-file personal client, a normal HTML/CSS/JavaScript source tree, a Manifest V3 selection guard, and a zero-runtime-dependency Python analysis engine.</w:t>
      </w:r>
    </w:p>
    <w:p>
      <w:pPr>
        <w:keepLines w:val="0"/>
      </w:pPr>
      <w:r>
        <w:t>The Python package provides content analysis, context repair, knowledge-offer audit, relationship simulation, intervention planning and append-only hash receipts. The CLI analyses text or files, runs synthetic demonstrations and verifies the ledger.</w:t>
      </w:r>
    </w:p>
    <w:p>
      <w:pPr>
        <w:keepLines w:val="0"/>
      </w:pPr>
      <w:r>
        <w:t>The source package also includes JSON Schemas, structured issue forms, CI, bilingual specifications, tests, an SBOM, checksums and validation receipts. The complete ZIP is not the only source interface; the ordinary tree is ready for line-by-line review on GitHub.</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0281F"/>
            <w:vAlign w:val="center"/>
          </w:tcPr>
          <w:p>
            <w:r/>
            <w:r>
              <w:rPr>
                <w:b/>
                <w:color w:val="FFFFFF"/>
                <w:sz w:val="18"/>
              </w:rPr>
              <w:t>Component</w:t>
            </w:r>
          </w:p>
        </w:tc>
        <w:tc>
          <w:tcPr>
            <w:tcW w:type="dxa" w:w="5100"/>
            <w:shd w:fill="10281F"/>
            <w:vAlign w:val="center"/>
          </w:tcPr>
          <w:p>
            <w:r/>
            <w:r>
              <w:rPr>
                <w:b/>
                <w:color w:val="FFFFFF"/>
                <w:sz w:val="18"/>
              </w:rPr>
              <w:t>Operation</w:t>
            </w:r>
          </w:p>
        </w:tc>
      </w:tr>
      <w:tr>
        <w:tc>
          <w:tcPr>
            <w:tcW w:type="dxa" w:w="5100"/>
            <w:vAlign w:val="center"/>
          </w:tcPr>
          <w:p>
            <w:r/>
            <w:r>
              <w:rPr>
                <w:b w:val="0"/>
                <w:sz w:val="17"/>
              </w:rPr>
              <w:t>Personal client</w:t>
            </w:r>
          </w:p>
        </w:tc>
        <w:tc>
          <w:tcPr>
            <w:tcW w:type="dxa" w:w="5100"/>
            <w:vAlign w:val="center"/>
          </w:tcPr>
          <w:p>
            <w:r/>
            <w:r>
              <w:rPr>
                <w:b w:val="0"/>
                <w:sz w:val="17"/>
              </w:rPr>
              <w:t>Open directly in a browser</w:t>
            </w:r>
          </w:p>
        </w:tc>
      </w:tr>
      <w:tr>
        <w:tc>
          <w:tcPr>
            <w:tcW w:type="dxa" w:w="5100"/>
            <w:shd w:fill="F4F7F5"/>
            <w:vAlign w:val="center"/>
          </w:tcPr>
          <w:p>
            <w:r/>
            <w:r>
              <w:rPr>
                <w:b w:val="0"/>
                <w:sz w:val="17"/>
              </w:rPr>
              <w:t>Browser extension</w:t>
            </w:r>
          </w:p>
        </w:tc>
        <w:tc>
          <w:tcPr>
            <w:tcW w:type="dxa" w:w="5100"/>
            <w:shd w:fill="F4F7F5"/>
            <w:vAlign w:val="center"/>
          </w:tcPr>
          <w:p>
            <w:r/>
            <w:r>
              <w:rPr>
                <w:b w:val="0"/>
                <w:sz w:val="17"/>
              </w:rPr>
              <w:t>Load the extension directory in developer mode</w:t>
            </w:r>
          </w:p>
        </w:tc>
      </w:tr>
      <w:tr>
        <w:tc>
          <w:tcPr>
            <w:tcW w:type="dxa" w:w="5100"/>
            <w:vAlign w:val="center"/>
          </w:tcPr>
          <w:p>
            <w:r/>
            <w:r>
              <w:rPr>
                <w:b w:val="0"/>
                <w:sz w:val="17"/>
              </w:rPr>
              <w:t>Python CLI</w:t>
            </w:r>
          </w:p>
        </w:tc>
        <w:tc>
          <w:tcPr>
            <w:tcW w:type="dxa" w:w="5100"/>
            <w:vAlign w:val="center"/>
          </w:tcPr>
          <w:p>
            <w:r/>
            <w:r>
              <w:rPr>
                <w:b w:val="0"/>
                <w:sz w:val="17"/>
              </w:rPr>
              <w:t>Install with pip or run the PYZ</w:t>
            </w:r>
          </w:p>
        </w:tc>
      </w:tr>
      <w:tr>
        <w:tc>
          <w:tcPr>
            <w:tcW w:type="dxa" w:w="5100"/>
            <w:shd w:fill="F4F7F5"/>
            <w:vAlign w:val="center"/>
          </w:tcPr>
          <w:p>
            <w:r/>
            <w:r>
              <w:rPr>
                <w:b w:val="0"/>
                <w:sz w:val="17"/>
              </w:rPr>
              <w:t>Schemas and protocol</w:t>
            </w:r>
          </w:p>
        </w:tc>
        <w:tc>
          <w:tcPr>
            <w:tcW w:type="dxa" w:w="5100"/>
            <w:shd w:fill="F4F7F5"/>
            <w:vAlign w:val="center"/>
          </w:tcPr>
          <w:p>
            <w:r/>
            <w:r>
              <w:rPr>
                <w:b w:val="0"/>
                <w:sz w:val="17"/>
              </w:rPr>
              <w:t>Institutional adapters and interoperability</w:t>
            </w:r>
          </w:p>
        </w:tc>
      </w:tr>
      <w:tr>
        <w:tc>
          <w:tcPr>
            <w:tcW w:type="dxa" w:w="5100"/>
            <w:vAlign w:val="center"/>
          </w:tcPr>
          <w:p>
            <w:r/>
            <w:r>
              <w:rPr>
                <w:b w:val="0"/>
                <w:sz w:val="17"/>
              </w:rPr>
              <w:t>Receipt chain</w:t>
            </w:r>
          </w:p>
        </w:tc>
        <w:tc>
          <w:tcPr>
            <w:tcW w:type="dxa" w:w="5100"/>
            <w:vAlign w:val="center"/>
          </w:tcPr>
          <w:p>
            <w:r/>
            <w:r>
              <w:rPr>
                <w:b w:val="0"/>
                <w:sz w:val="17"/>
              </w:rPr>
              <w:t>Shows continuity, not inherent truth</w:t>
            </w:r>
          </w:p>
        </w:tc>
      </w:tr>
      <w:tr>
        <w:tc>
          <w:tcPr>
            <w:tcW w:type="dxa" w:w="5100"/>
            <w:shd w:fill="F4F7F5"/>
            <w:vAlign w:val="center"/>
          </w:tcPr>
          <w:p>
            <w:r/>
            <w:r>
              <w:rPr>
                <w:b w:val="0"/>
                <w:sz w:val="17"/>
              </w:rPr>
              <w:t>Tests and SBOM</w:t>
            </w:r>
          </w:p>
        </w:tc>
        <w:tc>
          <w:tcPr>
            <w:tcW w:type="dxa" w:w="5100"/>
            <w:shd w:fill="F4F7F5"/>
            <w:vAlign w:val="center"/>
          </w:tcPr>
          <w:p>
            <w:r/>
            <w:r>
              <w:rPr>
                <w:b w:val="0"/>
                <w:sz w:val="17"/>
              </w:rPr>
              <w:t>Reproduction and supply-chain review</w:t>
            </w:r>
          </w:p>
        </w:tc>
      </w:tr>
    </w:tbl>
    <w:p>
      <w:r>
        <w:br w:type="page"/>
      </w:r>
    </w:p>
    <w:p>
      <w:pPr>
        <w:pStyle w:val="Heading1"/>
      </w:pPr>
      <w:r>
        <w:t>14. Deployment Roadmap and Metrics</w:t>
      </w:r>
    </w:p>
    <w:p>
      <w:pPr>
        <w:keepLines w:val="0"/>
      </w:pPr>
      <w:r>
        <w:t>Individuals may begin immediately. Schools, communities, media, platforms and public agencies should begin with a bounded case. Phase one is shadow analysis with no visibility change. Phase two tests context cards, friction and circuit breakers. Phase three introduces appealable de-amplification and commercial disclosure.</w:t>
      </w:r>
    </w:p>
    <w:p>
      <w:pPr>
        <w:keepLines w:val="0"/>
      </w:pPr>
      <w:r>
        <w:t>Success should not be counted as “negative posts removed.” Better measures include correction rate, protected-expression retention, comprehension of context cards, reduction of impulsive sharing, lower compulsive use, refund and exit success, relational outcomes and verified harm repair.</w:t>
      </w:r>
    </w:p>
    <w:p>
      <w:pPr>
        <w:keepLines w:val="0"/>
      </w:pPr>
      <w:r>
        <w:t>Expansion requires predeclared stop conditions. Deployment should pause when protected expression is damaged, false positives remain high, vulnerable users cannot appeal, the platform profits from classification, corrections fail to reach the audience or real harm rises.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0281F"/>
            <w:vAlign w:val="center"/>
          </w:tcPr>
          <w:p>
            <w:r/>
            <w:r>
              <w:rPr>
                <w:b/>
                <w:color w:val="FFFFFF"/>
                <w:sz w:val="18"/>
              </w:rPr>
              <w:t>Phase</w:t>
            </w:r>
          </w:p>
        </w:tc>
        <w:tc>
          <w:tcPr>
            <w:tcW w:type="dxa" w:w="3400"/>
            <w:shd w:fill="10281F"/>
            <w:vAlign w:val="center"/>
          </w:tcPr>
          <w:p>
            <w:r/>
            <w:r>
              <w:rPr>
                <w:b/>
                <w:color w:val="FFFFFF"/>
                <w:sz w:val="18"/>
              </w:rPr>
              <w:t>Scope</w:t>
            </w:r>
          </w:p>
        </w:tc>
        <w:tc>
          <w:tcPr>
            <w:tcW w:type="dxa" w:w="3400"/>
            <w:shd w:fill="10281F"/>
            <w:vAlign w:val="center"/>
          </w:tcPr>
          <w:p>
            <w:r/>
            <w:r>
              <w:rPr>
                <w:b/>
                <w:color w:val="FFFFFF"/>
                <w:sz w:val="18"/>
              </w:rPr>
              <w:t>Condition for progression</w:t>
            </w:r>
          </w:p>
        </w:tc>
      </w:tr>
      <w:tr>
        <w:tc>
          <w:tcPr>
            <w:tcW w:type="dxa" w:w="3400"/>
            <w:vAlign w:val="center"/>
          </w:tcPr>
          <w:p>
            <w:r/>
            <w:r>
              <w:rPr>
                <w:b w:val="0"/>
                <w:sz w:val="17"/>
              </w:rPr>
              <w:t>0 Personal local</w:t>
            </w:r>
          </w:p>
        </w:tc>
        <w:tc>
          <w:tcPr>
            <w:tcW w:type="dxa" w:w="3400"/>
            <w:vAlign w:val="center"/>
          </w:tcPr>
          <w:p>
            <w:r/>
            <w:r>
              <w:rPr>
                <w:b w:val="0"/>
                <w:sz w:val="17"/>
              </w:rPr>
              <w:t>Analysis, context, sharing and circuit break</w:t>
            </w:r>
          </w:p>
        </w:tc>
        <w:tc>
          <w:tcPr>
            <w:tcW w:type="dxa" w:w="3400"/>
            <w:vAlign w:val="center"/>
          </w:tcPr>
          <w:p>
            <w:r/>
            <w:r>
              <w:rPr>
                <w:b w:val="0"/>
                <w:sz w:val="17"/>
              </w:rPr>
              <w:t>Full user control</w:t>
            </w:r>
          </w:p>
        </w:tc>
      </w:tr>
      <w:tr>
        <w:tc>
          <w:tcPr>
            <w:tcW w:type="dxa" w:w="3400"/>
            <w:shd w:fill="F4F7F5"/>
            <w:vAlign w:val="center"/>
          </w:tcPr>
          <w:p>
            <w:r/>
            <w:r>
              <w:rPr>
                <w:b w:val="0"/>
                <w:sz w:val="17"/>
              </w:rPr>
              <w:t>1 Shadow pilot</w:t>
            </w:r>
          </w:p>
        </w:tc>
        <w:tc>
          <w:tcPr>
            <w:tcW w:type="dxa" w:w="3400"/>
            <w:shd w:fill="F4F7F5"/>
            <w:vAlign w:val="center"/>
          </w:tcPr>
          <w:p>
            <w:r/>
            <w:r>
              <w:rPr>
                <w:b w:val="0"/>
                <w:sz w:val="17"/>
              </w:rPr>
              <w:t>Institutional analysis without visibility change</w:t>
            </w:r>
          </w:p>
        </w:tc>
        <w:tc>
          <w:tcPr>
            <w:tcW w:type="dxa" w:w="3400"/>
            <w:shd w:fill="F4F7F5"/>
            <w:vAlign w:val="center"/>
          </w:tcPr>
          <w:p>
            <w:r/>
            <w:r>
              <w:rPr>
                <w:b w:val="0"/>
                <w:sz w:val="17"/>
              </w:rPr>
              <w:t>Measurable false positive and protection boundary</w:t>
            </w:r>
          </w:p>
        </w:tc>
      </w:tr>
      <w:tr>
        <w:tc>
          <w:tcPr>
            <w:tcW w:type="dxa" w:w="3400"/>
            <w:vAlign w:val="center"/>
          </w:tcPr>
          <w:p>
            <w:r/>
            <w:r>
              <w:rPr>
                <w:b w:val="0"/>
                <w:sz w:val="17"/>
              </w:rPr>
              <w:t>2 Reversible intervention</w:t>
            </w:r>
          </w:p>
        </w:tc>
        <w:tc>
          <w:tcPr>
            <w:tcW w:type="dxa" w:w="3400"/>
            <w:vAlign w:val="center"/>
          </w:tcPr>
          <w:p>
            <w:r/>
            <w:r>
              <w:rPr>
                <w:b w:val="0"/>
                <w:sz w:val="17"/>
              </w:rPr>
              <w:t>Context, friction and user de-amplification</w:t>
            </w:r>
          </w:p>
        </w:tc>
        <w:tc>
          <w:tcPr>
            <w:tcW w:type="dxa" w:w="3400"/>
            <w:vAlign w:val="center"/>
          </w:tcPr>
          <w:p>
            <w:r/>
            <w:r>
              <w:rPr>
                <w:b w:val="0"/>
                <w:sz w:val="17"/>
              </w:rPr>
              <w:t>Working appeal and expiry</w:t>
            </w:r>
          </w:p>
        </w:tc>
      </w:tr>
      <w:tr>
        <w:tc>
          <w:tcPr>
            <w:tcW w:type="dxa" w:w="3400"/>
            <w:shd w:fill="F4F7F5"/>
            <w:vAlign w:val="center"/>
          </w:tcPr>
          <w:p>
            <w:r/>
            <w:r>
              <w:rPr>
                <w:b w:val="0"/>
                <w:sz w:val="17"/>
              </w:rPr>
              <w:t>3 Commercial governance</w:t>
            </w:r>
          </w:p>
        </w:tc>
        <w:tc>
          <w:tcPr>
            <w:tcW w:type="dxa" w:w="3400"/>
            <w:shd w:fill="F4F7F5"/>
            <w:vAlign w:val="center"/>
          </w:tcPr>
          <w:p>
            <w:r/>
            <w:r>
              <w:rPr>
                <w:b w:val="0"/>
                <w:sz w:val="17"/>
              </w:rPr>
              <w:t>Disclosure, purchase hold and refund route</w:t>
            </w:r>
          </w:p>
        </w:tc>
        <w:tc>
          <w:tcPr>
            <w:tcW w:type="dxa" w:w="3400"/>
            <w:shd w:fill="F4F7F5"/>
            <w:vAlign w:val="center"/>
          </w:tcPr>
          <w:p>
            <w:r/>
            <w:r>
              <w:rPr>
                <w:b w:val="0"/>
                <w:sz w:val="17"/>
              </w:rPr>
              <w:t>Independent review available</w:t>
            </w:r>
          </w:p>
        </w:tc>
      </w:tr>
      <w:tr>
        <w:tc>
          <w:tcPr>
            <w:tcW w:type="dxa" w:w="3400"/>
            <w:vAlign w:val="center"/>
          </w:tcPr>
          <w:p>
            <w:r/>
            <w:r>
              <w:rPr>
                <w:b w:val="0"/>
                <w:sz w:val="17"/>
              </w:rPr>
              <w:t>4 Repair closure</w:t>
            </w:r>
          </w:p>
        </w:tc>
        <w:tc>
          <w:tcPr>
            <w:tcW w:type="dxa" w:w="3400"/>
            <w:vAlign w:val="center"/>
          </w:tcPr>
          <w:p>
            <w:r/>
            <w:r>
              <w:rPr>
                <w:b w:val="0"/>
                <w:sz w:val="17"/>
              </w:rPr>
              <w:t>Correction reach, restitution and redesign</w:t>
            </w:r>
          </w:p>
        </w:tc>
        <w:tc>
          <w:tcPr>
            <w:tcW w:type="dxa" w:w="3400"/>
            <w:vAlign w:val="center"/>
          </w:tcPr>
          <w:p>
            <w:r/>
            <w:r>
              <w:rPr>
                <w:b w:val="0"/>
                <w:sz w:val="17"/>
              </w:rPr>
              <w:t>Reality results support expansion</w:t>
            </w:r>
          </w:p>
        </w:tc>
      </w:tr>
      <w:tr>
        <w:tc>
          <w:tcPr>
            <w:tcW w:type="dxa" w:w="3400"/>
            <w:shd w:fill="F4F7F5"/>
            <w:vAlign w:val="center"/>
          </w:tcPr>
          <w:p>
            <w:r/>
            <w:r>
              <w:rPr>
                <w:b w:val="0"/>
                <w:sz w:val="17"/>
              </w:rPr>
              <w:t>5 Expand or retire</w:t>
            </w:r>
          </w:p>
        </w:tc>
        <w:tc>
          <w:tcPr>
            <w:tcW w:type="dxa" w:w="3400"/>
            <w:shd w:fill="F4F7F5"/>
            <w:vAlign w:val="center"/>
          </w:tcPr>
          <w:p>
            <w:r/>
            <w:r>
              <w:rPr>
                <w:b w:val="0"/>
                <w:sz w:val="17"/>
              </w:rPr>
              <w:t>Scale, revise or stop</w:t>
            </w:r>
          </w:p>
        </w:tc>
        <w:tc>
          <w:tcPr>
            <w:tcW w:type="dxa" w:w="3400"/>
            <w:shd w:fill="F4F7F5"/>
            <w:vAlign w:val="center"/>
          </w:tcPr>
          <w:p>
            <w:r/>
            <w:r>
              <w:rPr>
                <w:b w:val="0"/>
                <w:sz w:val="17"/>
              </w:rPr>
              <w:t>Outcome rather than prestige decides</w:t>
            </w:r>
          </w:p>
        </w:tc>
      </w:tr>
    </w:tbl>
    <w:p>
      <w:r>
        <w:br w:type="page"/>
      </w:r>
    </w:p>
    <w:p>
      <w:pPr>
        <w:pStyle w:val="Heading1"/>
      </w:pPr>
      <w:r>
        <w:t>15. Research Limits and Next Stage</w:t>
      </w:r>
    </w:p>
    <w:p>
      <w:pPr>
        <w:keepLines w:val="0"/>
      </w:pPr>
      <w:r>
        <w:t>This release uses transparent heuristics and synthetic cases. It demonstrates software pathways but does not establish real-world classification accuracy, causal intervention effects or cross-cultural fairness. Text heuristics are especially weak for satire, metaphor, quotation, dialect and coordinated covert manipulation.</w:t>
      </w:r>
    </w:p>
    <w:p>
      <w:pPr>
        <w:keepLines w:val="0"/>
      </w:pPr>
      <w:r>
        <w:t>The next stage should build sealed evaluation sets with affected communities, independent researchers, care professionals, fact checkers, platform engineers and appeal representatives. Content, interface, commercial funnel and real outcomes should be tested separately rather than reduced to one attractive accuracy number.</w:t>
      </w:r>
    </w:p>
    <w:p>
      <w:pPr>
        <w:keepLines w:val="0"/>
      </w:pPr>
      <w:r>
        <w:t>The central research question is not how to make a system more willing to delete. It is how to make manipulation unprofitable, keep truthful bad news visible, restore omitted actors, reverse wrong decisions, and force the model to learn from reality.</w:t>
      </w:r>
    </w:p>
    <w:p>
      <w:pPr>
        <w:pStyle w:val="ListBullet"/>
      </w:pPr>
      <w:r>
        <w:t>This report is not medical, psychological, legal or platform-enforcement advice.</w:t>
      </w:r>
    </w:p>
    <w:p>
      <w:pPr>
        <w:pStyle w:val="ListBullet"/>
      </w:pPr>
      <w:r>
        <w:t>Synthetic demonstrations are not real-user evidence.</w:t>
      </w:r>
    </w:p>
    <w:p>
      <w:pPr>
        <w:pStyle w:val="ListBullet"/>
      </w:pPr>
      <w:r>
        <w:t>Jurisdictional and rights adaptation is required for institutional deployment.</w:t>
      </w:r>
    </w:p>
    <w:p>
      <w:pPr>
        <w:pStyle w:val="ListBullet"/>
      </w:pPr>
      <w:r>
        <w:t>Rules, thresholds and worlds must remain open to counterexample and retirement.</w:t>
      </w:r>
    </w:p>
    <w:sectPr w:rsidR="00FC693F" w:rsidRPr="0006063C" w:rsidSect="00034616">
      <w:footerReference w:type="default" r:id="rId9"/>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DIKWP QINGYUAN 27.0 · Alpha Research Prototype · 2026-09-06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YaHei"/>
      <w:b/>
      <w:bCs/>
      <w:color w:val="10281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YaHei"/>
      <w:b/>
      <w:bCs/>
      <w:color w:val="1C6B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Microsoft YaHei"/>
      <w:b/>
      <w:bCs/>
      <w:color w:val="1028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YaHei"/>
      <w:color w:val="10281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