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600"/>
        <w:jc w:val="center"/>
      </w:pPr>
      <w:r>
        <w:rPr>
          <w:rFonts w:ascii="Aptos" w:hAnsi="Aptos" w:eastAsia="Noto Sans CJK SC"/>
          <w:b/>
          <w:color w:val="1F4E79"/>
          <w:sz w:val="48"/>
        </w:rPr>
        <w:t>DIKWP信道限容与祖谱审计系统</w:t>
      </w:r>
    </w:p>
    <w:p>
      <w:pPr>
        <w:spacing w:after="480" w:before="0"/>
        <w:jc w:val="center"/>
      </w:pPr>
      <w:r>
        <w:rPr>
          <w:rFonts w:ascii="Aptos" w:hAnsi="Aptos" w:eastAsia="Noto Sans CJK SC"/>
          <w:b w:val="0"/>
          <w:color w:val="4A5568"/>
          <w:sz w:val="26"/>
        </w:rPr>
        <w:t>实际构建与交付报告</w:t>
      </w:r>
    </w:p>
    <w:p>
      <w:pPr>
        <w:spacing w:after="400" w:before="0"/>
        <w:jc w:val="center"/>
      </w:pPr>
      <w:r>
        <w:rPr>
          <w:rFonts w:ascii="Aptos" w:hAnsi="Aptos" w:eastAsia="Noto Sans CJK SC"/>
          <w:b w:val="0"/>
          <w:sz w:val="22"/>
        </w:rPr>
        <w:t>对应问题：如何把“隐性信号 / 潜意识传递”风险，从抽象报告压成可运行的本地系统、可审计工件与可接入组织流程的闸门。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B"/>
          </w:tcPr>
          <w:p>
            <w:pPr>
              <w:pStyle w:val="ListBullet"/>
              <w:spacing w:after="40"/>
            </w:pPr>
            <w:r>
              <w:rPr>
                <w:rFonts w:ascii="Aptos" w:hAnsi="Aptos" w:eastAsia="Noto Sans CJK SC"/>
                <w:sz w:val="21"/>
              </w:rPr>
              <w:t>本次不是再交一份方案，而是交付一个可跑的 defensive system：含 CLI、FastAPI、本地 artifact bundle、演示数据、测试、Docker 骨架。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 w:eastAsia="Noto Sans CJK SC"/>
                <w:sz w:val="21"/>
              </w:rPr>
              <w:t>系统的判断方式不是“看内容像不像危险”，而是“做完语义投影后，廉价学习器还能不能把 teacher 身份或 trait 标签从数据里重新读出来”。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 w:eastAsia="Noto Sans CJK SC"/>
                <w:sz w:val="21"/>
              </w:rPr>
              <w:t>系统已兼容前一轮“组织级 AI 控制面 / 白盒审计运行时”的证据格式，会额外输出 control_plane_whitebox.json。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 w:eastAsia="Noto Sans CJK SC"/>
                <w:sz w:val="21"/>
              </w:rPr>
              <w:t>当前交付是本地优先、可演示、可试点、可扩生产的 v0.1，而不是已经连接真实微调集群的成品平台。</w:t>
            </w:r>
          </w:p>
        </w:tc>
      </w:tr>
    </w:tbl>
    <w:p/>
    <w:p>
      <w:pPr>
        <w:spacing w:after="120" w:before="0"/>
        <w:jc w:val="center"/>
      </w:pPr>
      <w:r>
        <w:rPr>
          <w:rFonts w:ascii="Aptos" w:hAnsi="Aptos" w:eastAsia="Noto Sans CJK SC"/>
          <w:b w:val="0"/>
          <w:color w:val="4A5568"/>
          <w:sz w:val="21"/>
        </w:rPr>
        <w:t>交付文件名均使用英文。</w:t>
      </w:r>
    </w:p>
    <w:p>
      <w:r>
        <w:br w:type="page"/>
      </w: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1. P-意图合同与一句话本质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【P-意图合同】从“DIKWP 如何保障信道容量不被滥用”的设计要求，推进到“一套可运行、可审计、可对接治理流程的本地系统”；成功判据是：数据祖谱可查、训练前有闸门、投影前后可比较、审计工件可导出、样例可跑、测试通过。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【一句话本质】这套系统不去幻想直接读取暗信道，而是把训练数据变成一个必须先声明语义、再压缩自由度、再做 recoverability assay、最后才准入的受控对象。</w:t>
      </w: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2. 本次实际交付了什么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402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文件</w:t>
            </w:r>
          </w:p>
        </w:tc>
        <w:tc>
          <w:tcPr>
            <w:tcW w:type="dxa" w:w="1701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类型</w:t>
            </w:r>
          </w:p>
        </w:tc>
        <w:tc>
          <w:tcPr>
            <w:tcW w:type="dxa" w:w="4252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用途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dikwp_channel_guard_system.zip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完整系统包</w:t>
            </w:r>
          </w:p>
        </w:tc>
        <w:tc>
          <w:tcPr>
            <w:tcW w:type="dxa" w:w="425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含源码、配置、示例 manifest、演示 artifacts、测试、Docker、文档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dikwp_channel_guard_system_report.docx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详细报告</w:t>
            </w:r>
          </w:p>
        </w:tc>
        <w:tc>
          <w:tcPr>
            <w:tcW w:type="dxa" w:w="425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说明系统结构、模块、阈值、演示结果、部署方法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dikwp_channel_guard_system_report.pdf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固定版阅读件</w:t>
            </w:r>
          </w:p>
        </w:tc>
        <w:tc>
          <w:tcPr>
            <w:tcW w:type="dxa" w:w="425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便于转发和归档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系统包内部进一步包含四层：runtime/API、safety logic、evidence artifacts、verification/tests。</w:t>
      </w: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3. 系统结构：把“内容过滤”升级成“容量治理”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系统按五个连续动作工作：Lineage Manifest -&gt; Semantic Projection -&gt; Trait-Transfer Assay -&gt; Gate Engine -&gt; White-box Bundle。只要任何一步失败，训练集就不能作为高风险蒸馏载荷直接进入参数更新。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157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guar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57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ptos" w:hAnsi="Aptos" w:eastAsia="Noto Sans CJK SC"/>
          <w:b w:val="0"/>
          <w:color w:val="4A5568"/>
          <w:sz w:val="21"/>
        </w:rPr>
        <w:t>这条链条的关键不是“更聪明的过滤器”，而是把自由形式数据压成低容量语义对象，并且用 recoverability 结果去复核投影是否真的收口。</w:t>
      </w:r>
    </w:p>
    <w:p>
      <w:pPr>
        <w:spacing w:before="160" w:after="120"/>
      </w:pPr>
      <w:r>
        <w:rPr>
          <w:rFonts w:ascii="Aptos" w:hAnsi="Aptos" w:eastAsia="Noto Sans CJK SC"/>
          <w:b/>
          <w:color w:val="1F4E79"/>
          <w:sz w:val="26"/>
        </w:rPr>
        <w:t>3.1 DIKWP 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80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层</w:t>
            </w:r>
          </w:p>
        </w:tc>
        <w:tc>
          <w:tcPr>
            <w:tcW w:type="dxa" w:w="2381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系统模块</w:t>
            </w:r>
          </w:p>
        </w:tc>
        <w:tc>
          <w:tcPr>
            <w:tcW w:type="dxa" w:w="2268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主要工件</w:t>
            </w:r>
          </w:p>
        </w:tc>
        <w:tc>
          <w:tcPr>
            <w:tcW w:type="dxa" w:w="3855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它真正负责什么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D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Dataset manifest / sample inventory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manifest.normalized.json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原始样本、模态、teacher/source、synthetic depth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I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Lineage &amp; family difference checks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genealogy_card.json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同基模/匹配基模风险、trusted root、lineage completeness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K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Canonicalizers &amp; schemas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canonical_samples.jsonl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把数字、代码、CoT、对话压成低容量结构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W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Thresholds &amp; policy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configs/channel_guard.yaml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谁可放行、什么阈值叫红灯、什么必须审批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P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Training-time gate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gate_decision.json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只让声明过的语义进入参数更新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4. 模块细拆：系统到底怎么保“信道不被滥用”</w:t>
      </w:r>
    </w:p>
    <w:p>
      <w:pPr>
        <w:spacing w:before="160" w:after="120"/>
      </w:pPr>
      <w:r>
        <w:rPr>
          <w:rFonts w:ascii="Aptos" w:hAnsi="Aptos" w:eastAsia="Noto Sans CJK SC"/>
          <w:b/>
          <w:color w:val="1F4E79"/>
          <w:sz w:val="26"/>
        </w:rPr>
        <w:t>4.1 祖谱卡（Genealogy Card）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系统会把 dataset 的 base family、student base family、teacher model、trusted root、synthetic depth 和 lineage completeness 收口成 genealogy_card.json。高风险数据若 lineage 不完整，或没有 trusted root，就直接触发红灯。</w:t>
      </w:r>
    </w:p>
    <w:p>
      <w:pPr>
        <w:spacing w:before="160" w:after="120"/>
      </w:pPr>
      <w:r>
        <w:rPr>
          <w:rFonts w:ascii="Aptos" w:hAnsi="Aptos" w:eastAsia="Noto Sans CJK SC"/>
          <w:b/>
          <w:color w:val="1F4E79"/>
          <w:sz w:val="26"/>
        </w:rPr>
        <w:t>4.2 语义投影器（Canonicalizers）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本次交付了 6 类投影器：numeric、json、code、cot、dialog、free_text。原则是一致的：尽量保留声明语义，尽量丢掉 teacher 风格残差。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numeric -&gt; 范围、长度、单调性、唯一性桶，而不是原始数字。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code -&gt; Python AST 结构统计，而不是变量名与文字风格。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CoT -&gt; step / verification / uncertainty / refusal tags，而不是原始思维独白。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dialog -&gt; intent / action / escalation / uncertainty / PII tags，而不是全量对话正文。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json -&gt; key / type / unknown-field 结构，而不是原始 value。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45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ion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4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</w:pPr>
      <w:r>
        <w:rPr>
          <w:rFonts w:ascii="Aptos" w:hAnsi="Aptos" w:eastAsia="Noto Sans CJK SC"/>
          <w:b/>
          <w:color w:val="1F4E79"/>
          <w:sz w:val="26"/>
        </w:rPr>
        <w:t>4.3 Trait-Transfer Proxy Assay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这里的 assay 不是假装证明“真正的暗信道比特串”，而是采用更现实的 proxy：对 raw_text 和 canonical_text 分别训练一个便宜分类器，比较 teacher/source 和 trait_label 的 recoverability。若 canonical 数据仍能显著恢复 teacher 或 trait，就说明未声明容量仍然过宽。</w:t>
      </w:r>
    </w:p>
    <w:p>
      <w:pPr>
        <w:spacing w:before="160" w:after="120"/>
      </w:pPr>
      <w:r>
        <w:rPr>
          <w:rFonts w:ascii="Aptos" w:hAnsi="Aptos" w:eastAsia="Noto Sans CJK SC"/>
          <w:b/>
          <w:color w:val="1F4E79"/>
          <w:sz w:val="26"/>
        </w:rPr>
        <w:t>4.4 Gate Engine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Gate Engine 会结合 genealogy、residual literal ratio、recoverability excess accuracy 和高风险模态规则，给出 Green / Amber / Red。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05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_deci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0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5. 系统包内部目录与实际接口</w:t>
      </w:r>
    </w:p>
    <w:p>
      <w:pPr>
        <w:spacing w:before="160" w:after="120"/>
      </w:pPr>
      <w:r>
        <w:rPr>
          <w:rFonts w:ascii="Aptos" w:hAnsi="Aptos" w:eastAsia="Noto Sans CJK SC"/>
          <w:b/>
          <w:color w:val="1F4E79"/>
          <w:sz w:val="26"/>
        </w:rPr>
        <w:t>5.1 目录树（压缩版）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7FAFC"/>
          </w:tcPr>
          <w:p>
            <w:r>
              <w:rPr>
                <w:rFonts w:ascii="Courier New" w:hAnsi="Courier New" w:eastAsia="Noto Sans Mono CJK SC"/>
                <w:sz w:val="19"/>
              </w:rPr>
              <w:t>dikwp_channel_guard_system/</w:t>
              <w:br/>
              <w:t xml:space="preserve">  src/dikwp_guard/</w:t>
              <w:br/>
              <w:t xml:space="preserve">    api.py, cli.py, pipeline.py, gates.py, assay.py, canonicalizers.py</w:t>
              <w:br/>
              <w:t xml:space="preserve">  configs/channel_guard.yaml</w:t>
              <w:br/>
              <w:t xml:space="preserve">  examples/manifests/demo_numeric_manifest.json</w:t>
              <w:br/>
              <w:t xml:space="preserve">  scripts/generate_demo_manifests.py, run_demo.py</w:t>
              <w:br/>
              <w:t xml:space="preserve">  tests/test_*.py</w:t>
              <w:br/>
              <w:t xml:space="preserve">  artifacts/demo_*/*.json, *.md</w:t>
              <w:br/>
              <w:t xml:space="preserve">  docs/*.md, *.png</w:t>
              <w:br/>
            </w:r>
          </w:p>
        </w:tc>
      </w:tr>
    </w:tbl>
    <w:p/>
    <w:p>
      <w:pPr>
        <w:spacing w:before="160" w:after="120"/>
      </w:pPr>
      <w:r>
        <w:rPr>
          <w:rFonts w:ascii="Aptos" w:hAnsi="Aptos" w:eastAsia="Noto Sans CJK SC"/>
          <w:b/>
          <w:color w:val="1F4E79"/>
          <w:sz w:val="26"/>
        </w:rPr>
        <w:t>5.2 CLI /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907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接口</w:t>
            </w:r>
          </w:p>
        </w:tc>
        <w:tc>
          <w:tcPr>
            <w:tcW w:type="dxa" w:w="4082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调用方式</w:t>
            </w:r>
          </w:p>
        </w:tc>
        <w:tc>
          <w:tcPr>
            <w:tcW w:type="dxa" w:w="3402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作用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CLI</w:t>
            </w:r>
          </w:p>
        </w:tc>
        <w:tc>
          <w:tcPr>
            <w:tcW w:type="dxa" w:w="408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python -m dikwp_guard.cli audit &lt;manifest&gt; --out &lt;dir&gt;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跑一次完整审计并落 artifact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CLI</w:t>
            </w:r>
          </w:p>
        </w:tc>
        <w:tc>
          <w:tcPr>
            <w:tcW w:type="dxa" w:w="408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python -m dikwp_guard.cli serve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启动本地 FastAPI 服务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API</w:t>
            </w:r>
          </w:p>
        </w:tc>
        <w:tc>
          <w:tcPr>
            <w:tcW w:type="dxa" w:w="408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GET /healthz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健康检查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API</w:t>
            </w:r>
          </w:p>
        </w:tc>
        <w:tc>
          <w:tcPr>
            <w:tcW w:type="dxa" w:w="408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POST /v1/audit/run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提交 manifest 并返回审计结果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6. 这次交付已经实际跑过什么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为了避免“交个壳子不跑”的问题，这次交付已经在本地跑通了两个 demo manifest，并且把 artifact bundle 直接写入系统包的 artifacts 目录。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928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Demo</w:t>
            </w:r>
          </w:p>
        </w:tc>
        <w:tc>
          <w:tcPr>
            <w:tcW w:type="dxa" w:w="1020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决策</w:t>
            </w:r>
          </w:p>
        </w:tc>
        <w:tc>
          <w:tcPr>
            <w:tcW w:type="dxa" w:w="3515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观测结果</w:t>
            </w:r>
          </w:p>
        </w:tc>
        <w:tc>
          <w:tcPr>
            <w:tcW w:type="dxa" w:w="2891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解释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demo_numeric_manifest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AMBER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48 条同基模数值样本；raw teacher recoverability 0.9583 -&gt; canonical 0.5；canonical excess 0.0</w:t>
            </w:r>
          </w:p>
        </w:tc>
        <w:tc>
          <w:tcPr>
            <w:tcW w:type="dxa" w:w="289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系统判为 Amber：recoverability 已压到基线，但同基模高风险蒸馏仍要求人工 sign-off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demo_mixed_manifest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AMBER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4 条 mixed modal 样例；用于 smoke test CLI / API / artifact pipeline</w:t>
            </w:r>
          </w:p>
        </w:tc>
        <w:tc>
          <w:tcPr>
            <w:tcW w:type="dxa" w:w="289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系统判为 Amber：样本太少，recoverability 不足以形成强 assurance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测试方面，当前交付已通过 5 项 pytest：numeric canonicalization、code canonicalization、assay reduction、missing lineage red gate、end-to-end output writing。</w:t>
      </w: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7. 当前阈值与治理含义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381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控制项</w:t>
            </w:r>
          </w:p>
        </w:tc>
        <w:tc>
          <w:tcPr>
            <w:tcW w:type="dxa" w:w="1474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Green guide</w:t>
            </w:r>
          </w:p>
        </w:tc>
        <w:tc>
          <w:tcPr>
            <w:tcW w:type="dxa" w:w="1701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Red trigger</w:t>
            </w:r>
          </w:p>
        </w:tc>
        <w:tc>
          <w:tcPr>
            <w:tcW w:type="dxa" w:w="3515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治理含义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Canonical teacher excess accuracy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&lt;= 0.08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&gt; 0.15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高风险同基模蒸馏中，若 teacher 身份仍可从 canonical 数据被恢复，就说明残余容量仍过宽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Canonical trait excess accuracy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&lt;= 0.06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&gt; 0.10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若 trait_label 仍可恢复，说明价值/行为特征仍可能穿透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Residual literal ratio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&lt;= 0.10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&gt; 0.20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投影后仍保留多少原始字面 token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Lineage completeness + trusted root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完整且有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缺失即高风险 Red</w:t>
            </w:r>
          </w:p>
        </w:tc>
        <w:tc>
          <w:tcPr>
            <w:tcW w:type="dxa" w:w="3515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祖谱和可信根前移到主链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8. 现实部署怎么落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推荐先把它接在“高风险 synthetic dataset 准入”前，而不是直接挂到公开产品前台。现实落法是：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上游团队先交 lineage manifest。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Channel Guard 审计通过后，才允许进入训练工单。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Amber 需要 remediation + re-audit；Red 直接 stop-ship。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把 gate_decision.json 和 control_plane_whitebox.json 接入现有审批 / 审计链。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如果沿用你已有的“组织级 AI 控制面 / 白盒审计运行时”，这套系统最适合插在 finalize 之前：任何 high-risk synthetic dataset 必须先带着 lineage card 和 gate decision 才能进入下游训练或发布。</w:t>
      </w: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9. 这套系统明确不声称什么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不声称“绝对消灭暗信道”。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不声称已经直接探测到真正的 steganographic codeword。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不声称 demo recoverability = 真实大模型微调后的最终行为。</w:t>
      </w:r>
    </w:p>
    <w:p>
      <w:pPr>
        <w:pStyle w:val="ListBullet"/>
        <w:spacing w:after="40"/>
        <w:ind w:left="227"/>
      </w:pPr>
      <w:r>
        <w:rPr>
          <w:rFonts w:ascii="Aptos" w:hAnsi="Aptos" w:eastAsia="Noto Sans CJK SC"/>
          <w:sz w:val="21"/>
        </w:rPr>
        <w:t>不声称当前 API 已与真实微调集群、对象存储、OIDC、OPA 生产栈联调完毕。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它当前真正做到的是：把未声明容量变成一个必须先声明、再投影、再测、再批准的对象，并且交出可审计的 artifact bundle。</w:t>
      </w: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10. 外部事实地板（用于解释为什么要建这套系统）</w:t>
      </w:r>
    </w:p>
    <w:p>
      <w:pPr>
        <w:spacing w:after="120" w:before="0"/>
      </w:pPr>
      <w:r>
        <w:rPr>
          <w:rFonts w:ascii="Aptos" w:hAnsi="Aptos" w:eastAsia="Noto Sans CJK SC"/>
          <w:b w:val="0"/>
          <w:sz w:val="21"/>
        </w:rPr>
        <w:t>这次系统设计的外部地板不是空想，而是踩在三类公开事实之上：一是 Anthropic / Nature 的“subliminal learning / hidden signals in data”结果，表明看似无关的数据也可能在蒸馏时传递行为特质；二是 NIST AI 600-1 对 GenAI 风险管理中治理、测量、管理和可追溯性的要求；三是你上传的既有控制面与白盒原型骨架，本次交付在工程上直接把它们接成了一个更硬的准入系统。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编号</w:t>
            </w:r>
          </w:p>
        </w:tc>
        <w:tc>
          <w:tcPr>
            <w:tcW w:type="dxa" w:w="2268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来源</w:t>
            </w:r>
          </w:p>
        </w:tc>
        <w:tc>
          <w:tcPr>
            <w:tcW w:type="dxa" w:w="4762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标题</w:t>
            </w:r>
          </w:p>
        </w:tc>
        <w:tc>
          <w:tcPr>
            <w:tcW w:type="dxa" w:w="1020"/>
            <w:shd w:fill="DDEAF7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Noto Sans CJK SC"/>
                <w:b/>
                <w:sz w:val="21"/>
              </w:rPr>
              <w:t>年份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[1]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Anthropic Alignment Science Blog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Subliminal Learning: Language Models Transmit Behavioral Traits via Hidden Signals in Data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2025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[2]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Nature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Language models transmit behavioural traits through hidden signals in data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2026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 w:eastAsia="Noto Sans CJK SC"/>
                <w:sz w:val="20"/>
              </w:rPr>
              <w:t>[3]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NIST AI 600-1</w:t>
            </w:r>
          </w:p>
        </w:tc>
        <w:tc>
          <w:tcPr>
            <w:tcW w:type="dxa" w:w="476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Generative Artificial Intelligence Profile</w:t>
            </w:r>
          </w:p>
        </w:tc>
        <w:tc>
          <w:tcPr>
            <w:tcW w:type="dxa" w:w="1020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 w:eastAsia="Noto Sans CJK SC"/>
                <w:sz w:val="20"/>
              </w:rPr>
              <w:t>2024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ptos" w:hAnsi="Aptos" w:eastAsia="Noto Sans CJK SC"/>
          <w:b/>
          <w:color w:val="1F4E79"/>
          <w:sz w:val="32"/>
        </w:rPr>
        <w:t>11. 最终裁定</w:t>
      </w:r>
    </w:p>
    <w:p>
      <w:pPr>
        <w:spacing w:after="120" w:before="0"/>
      </w:pPr>
      <w:r>
        <w:rPr>
          <w:rFonts w:ascii="Aptos" w:hAnsi="Aptos" w:eastAsia="Noto Sans CJK SC"/>
          <w:b/>
          <w:color w:val="1F4E79"/>
          <w:sz w:val="21"/>
        </w:rPr>
        <w:t>这次已经把“DIKWP 如何保障信道容量不被滥用”从一份完整报告，压成了一个真能跑的最小系统：它不是万能，但它已经具备现实组织最需要的四个核心特征——训练前闸门、祖谱卡、recoverability assay、白盒工件。下一步最值钱的不是再扩大概念壳，而是把它接入真实数据准入和审批流程。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