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2"/>
        </w:rPr>
        <w:t>DIKWP Ultimate Confidential Exchange System</w:t>
      </w:r>
    </w:p>
    <w:p>
      <w:pPr>
        <w:jc w:val="center"/>
      </w:pPr>
      <w:r>
        <w:rPr>
          <w:color w:val="505050"/>
          <w:sz w:val="26"/>
        </w:rPr>
        <w:t>终极 DIKWP 保密交流系统：可运行交付、边界证明与操作手册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color w:val="1F4E79"/>
                <w:sz w:val="22"/>
              </w:rPr>
              <w:t>交付定位</w:t>
            </w:r>
          </w:p>
          <w:p>
            <w:pPr>
              <w:spacing w:after="80" w:line="264" w:lineRule="auto"/>
            </w:pPr>
            <w:r>
              <w:t>本报告随附可运行系统包。系统目标不是制造暗通信，而是把保密交流压成：身份可验证、内容最小披露、语义可控、密文不可读、审计不泄密、暗信道边界可声明的高保证接口。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872"/>
            <w:shd w:fill="1F4E79"/>
            <w:vAlign w:val="center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8352"/>
            <w:shd w:fill="1F4E79"/>
            <w:vAlign w:val="center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系统名</w:t>
            </w:r>
          </w:p>
        </w:tc>
        <w:tc>
          <w:tcPr>
            <w:tcW w:type="dxa" w:w="835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DIKWP Confidential Exchange System (DCE)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版本</w:t>
            </w:r>
          </w:p>
        </w:tc>
        <w:tc>
          <w:tcPr>
            <w:tcW w:type="dxa" w:w="835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v1.0.0 local-first reference implementation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核心模式</w:t>
            </w:r>
          </w:p>
        </w:tc>
        <w:tc>
          <w:tcPr>
            <w:tcW w:type="dxa" w:w="835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ZDC 有限语义模式 + memo 加密备忘模式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密码原语</w:t>
            </w:r>
          </w:p>
        </w:tc>
        <w:tc>
          <w:tcPr>
            <w:tcW w:type="dxa" w:w="835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X25519, HKDF-SHA256, ChaCha20-Poly1305, Ed25519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交付物</w:t>
            </w:r>
          </w:p>
        </w:tc>
        <w:tc>
          <w:tcPr>
            <w:tcW w:type="dxa" w:w="835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ZIP 系统包 + DOCX/PDF 报告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测试状态</w:t>
            </w:r>
          </w:p>
        </w:tc>
        <w:tc>
          <w:tcPr>
            <w:tcW w:type="dxa" w:w="835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5 个本地单元测试通过，demo 流程跑通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82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e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82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P-意图合同与一句话本质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7FB"/>
          </w:tcPr>
          <w:p>
            <w:r>
              <w:rPr>
                <w:b/>
                <w:color w:val="1F4E79"/>
                <w:sz w:val="22"/>
              </w:rPr>
              <w:t>P-意图合同</w:t>
            </w:r>
          </w:p>
          <w:p>
            <w:pPr>
              <w:spacing w:after="80" w:line="264" w:lineRule="auto"/>
            </w:pPr>
            <w:r>
              <w:t>从“希望有一个终极保密交流系统”推进到“获得一个可运行、可审计、可扩展、边界诚实的 DIKWP 保密交流系统”；成功判据是：能本地生成身份、编译 DIKWP 消息、加密、签名、验证、解密、出审计记录，并明确知道哪些安全结论成立、哪些不成立。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8F1"/>
          </w:tcPr>
          <w:p>
            <w:r>
              <w:rPr>
                <w:b/>
                <w:color w:val="1F4E79"/>
                <w:sz w:val="22"/>
              </w:rPr>
              <w:t>一句话本质</w:t>
            </w:r>
          </w:p>
          <w:p>
            <w:pPr>
              <w:spacing w:after="80" w:line="264" w:lineRule="auto"/>
            </w:pPr>
            <w:r>
              <w:t>终极保密交流不是“什么都能秘密说”，而是把可交流内容先压成声明过的 DIKWP 语义，再用成熟密码封装，并用审计和角色分离防止保密权被滥用。</w:t>
            </w:r>
          </w:p>
        </w:tc>
      </w:tr>
    </w:tbl>
    <w:p/>
    <w:p>
      <w:pPr>
        <w:pStyle w:val="Heading1"/>
      </w:pPr>
      <w:r>
        <w:t>2. 关键词语义注册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584"/>
            <w:shd w:fill="1F4E79"/>
            <w:vAlign w:val="center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词项</w:t>
            </w:r>
          </w:p>
        </w:tc>
        <w:tc>
          <w:tcPr>
            <w:tcW w:type="dxa" w:w="8640"/>
            <w:shd w:fill="1F4E79"/>
            <w:vAlign w:val="center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D/I/K/W/P 注册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保密交流</w:t>
            </w:r>
          </w:p>
        </w:tc>
        <w:tc>
          <w:tcPr>
            <w:tcW w:type="dxa" w:w="86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D: 只有授权主体能读的交流实例；I: 区别于公开发布、暗信道逃逸和无认证传输；K: 完整语义是“机密性+完整性+身份+目的绑定”；W: 偏好最小披露与合法授权；P: 从裸信息流推进到受控可信交换。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终极</w:t>
            </w:r>
          </w:p>
        </w:tc>
        <w:tc>
          <w:tcPr>
            <w:tcW w:type="dxa" w:w="86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D: 在现实约束下尽可能强的系统；I: 不是神话式绝对安全；K: 强保证必须绑定边界、TCB 和操作纪律；W: 偏好可验证胜过口号；P: 从“好像安全”推进到“可审计地安全”。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暗信道</w:t>
            </w:r>
          </w:p>
        </w:tc>
        <w:tc>
          <w:tcPr>
            <w:tcW w:type="dxa" w:w="86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D: 通过未声明自由度传递额外信息；I: 区别于声明语义本身；K: 信道容量来自格式、时序、长度、随机性、选择空间；W: 排斥未授权信息外流；P: 从自由流动推进到声明、压缩、固定、审计。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DIKWP</w:t>
            </w:r>
          </w:p>
        </w:tc>
        <w:tc>
          <w:tcPr>
            <w:tcW w:type="dxa" w:w="86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D: Data/Information/Knowledge/Wisdom/Purpose 五类语义；I: 区别于自由文本和单一标签；K: 让内容按事实、差异、结论、价值、目的分层；W: 偏好理解可回放；P: 从混杂表达推进到可验证表达。</w:t>
            </w:r>
          </w:p>
        </w:tc>
      </w:tr>
    </w:tbl>
    <w:p/>
    <w:p>
      <w:pPr>
        <w:pStyle w:val="Heading1"/>
      </w:pPr>
      <w:r>
        <w:t>3. 系统总架构</w:t>
      </w:r>
    </w:p>
    <w:p>
      <w:r>
        <w:t>DCE 分成五个平面：语义平面、披露平面、密码平面、审计平面、PQC 扩展平面。语义平面负责“不多说”；密码平面负责“别人看不见”；审计平面负责“以后能追溯”；PQC 扩展平面负责“未来能迁移”。</w:t>
      </w:r>
    </w:p>
    <w:p>
      <w:r>
        <w:t>系统提供两种模式。ZDC 模式只允许有限 codebook 语义，适合高风险治理、机密决策、保密汇报；memo 模式允许自由文本，但只保证加密认证，不声称绝对消灭暗信道。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shd w:fill="1F4E79"/>
            <w:vAlign w:val="center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模式/平面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作用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边界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ZDC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有限 codebook、无自由文本、固定封包、零填充校验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最高保证；表达受限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Memo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自由文本进入 D/I/K/W/P 五个栏位后加密签名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表达强；暗信道控制弱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Audit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只输出 hash、身份指纹、目的、算法套件、控制声明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可治理；不泄露正文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PQC slot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预留 ML-KEM / ML-DSA 接口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当前本地 demo 未内置 PQC 实现</w:t>
            </w:r>
          </w:p>
        </w:tc>
      </w:tr>
    </w:tbl>
    <w:p/>
    <w:p>
      <w:pPr>
        <w:pStyle w:val="Heading1"/>
      </w:pPr>
      <w:r>
        <w:t>4. 密码与标准选择</w:t>
      </w:r>
    </w:p>
    <w:p>
      <w:r>
        <w:t>本地参考实现使用成熟库提供的 X25519、HKDF-SHA256、ChaCha20-Poly1305 和 Ed25519。它不是自造密码。报告同时将生产级后量子迁移写进接口：NIST 已发布 ML-KEM 作为密钥封装标准、ML-DSA 作为数字签名标准；HPKE 的标准化思路可作为未来 envelope encryption 的互操作参考；长期对话可吸收 Signal Double Ratchet 思路。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fill="1F4E79"/>
            <w:vAlign w:val="center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部件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当前实现</w:t>
            </w:r>
          </w:p>
        </w:tc>
        <w:tc>
          <w:tcPr>
            <w:tcW w:type="dxa" w:w="4752"/>
            <w:shd w:fill="1F4E79"/>
            <w:vAlign w:val="center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生产增强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密钥协商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X25519 ephemeral-static</w:t>
            </w:r>
          </w:p>
        </w:tc>
        <w:tc>
          <w:tcPr>
            <w:tcW w:type="dxa" w:w="475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本地可运行；生产可升级 hybrid ML-KEM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密钥派生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HKDF-SHA256</w:t>
            </w:r>
          </w:p>
        </w:tc>
        <w:tc>
          <w:tcPr>
            <w:tcW w:type="dxa" w:w="475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绑定身份、目的、临时公钥和 transcript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加密认证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ChaCha20-Poly1305</w:t>
            </w:r>
          </w:p>
        </w:tc>
        <w:tc>
          <w:tcPr>
            <w:tcW w:type="dxa" w:w="475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AEAD，认证加密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签名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Ed25519</w:t>
            </w:r>
          </w:p>
        </w:tc>
        <w:tc>
          <w:tcPr>
            <w:tcW w:type="dxa" w:w="475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发送方身份认证；生产可加 ML-DSA/SLH-DSA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封包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固定大小 frame + zero padding check</w:t>
            </w:r>
          </w:p>
        </w:tc>
        <w:tc>
          <w:tcPr>
            <w:tcW w:type="dxa" w:w="475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降低长度侧信道，拒绝非零填充</w:t>
            </w:r>
          </w:p>
        </w:tc>
      </w:tr>
    </w:tbl>
    <w:p/>
    <w:p>
      <w:pPr>
        <w:pStyle w:val="Heading1"/>
      </w:pPr>
      <w:r>
        <w:t>5. “绝对”的真相边界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82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e_guarantee_bound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820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color w:val="1F4E79"/>
                <w:sz w:val="22"/>
              </w:rPr>
              <w:t>必须说死</w:t>
            </w:r>
          </w:p>
          <w:p>
            <w:pPr>
              <w:spacing w:after="80" w:line="264" w:lineRule="auto"/>
            </w:pPr>
            <w:r>
              <w:t>不存在对恶意端点、被胁迫用户、收件人泄密、发送时机、通信存在性、语义选择本身都同时“绝对消灭暗信道”的纯软件系统。DCE 的绝对性只在受控边界内成立：可信 compiler + ZDC 有限语义 + 规范化 payload + 固定大小封包 + 零填充校验 + 签名/审计。</w:t>
            </w:r>
          </w:p>
        </w:tc>
      </w:tr>
    </w:tbl>
    <w:p/>
    <w:p>
      <w:pPr>
        <w:pStyle w:val="Heading1"/>
      </w:pPr>
      <w:r>
        <w:t>6. 已实际交付的系统部件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1F4E79"/>
            <w:vAlign w:val="center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目录</w:t>
            </w:r>
          </w:p>
        </w:tc>
        <w:tc>
          <w:tcPr>
            <w:tcW w:type="dxa" w:w="7200"/>
            <w:shd w:fill="1F4E79"/>
            <w:vAlign w:val="center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src/dikwp_confidential_exchange/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核心 Python 包：identity、dikwp、crypto、audit、cli、api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codebooks/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有限语义 codebook：DIKWP_SECURE_EXCHANGE_V1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examples/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zdc_message.yaml 与 memo_message.yaml 示例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tests/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往返加解密、篡改失败、ZDC 拒绝自由文本、固定密文大小、审计记录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docs/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威胁模型、架构、操作手册、安全声明、角色分离、PQC 迁移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scripts/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demo.sh 与 hardening_check.py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policies/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分级策略：PUBLIC/INTERNAL/CONFIDENTIAL/SECRET/TOP_SECRET</w:t>
            </w:r>
          </w:p>
        </w:tc>
      </w:tr>
    </w:tbl>
    <w:p/>
    <w:p>
      <w:pPr>
        <w:pStyle w:val="Heading1"/>
      </w:pPr>
      <w:r>
        <w:t>7. 操作流程</w:t>
      </w:r>
    </w:p>
    <w:p>
      <w:r>
        <w:t>1. 在干净机器上生成 Alice/Bob 身份，并线下核对 public fingerprint。</w:t>
      </w:r>
    </w:p>
    <w:p>
      <w:r>
        <w:t>2. 用 codebook 将消息编译为 DIKWP payload。SECRET 以上默认只准 ZDC 模式。</w:t>
      </w:r>
    </w:p>
    <w:p>
      <w:r>
        <w:t>3. 发送方用自己的 private identity 签名，并用收件方 public identity 加密。</w:t>
      </w:r>
    </w:p>
    <w:p>
      <w:r>
        <w:t>4. 收件方先验证发送方签名和 fingerprint，再解密。</w:t>
      </w:r>
    </w:p>
    <w:p>
      <w:r>
        <w:t>5. 审计方只拿 hash-only audit record，不拿正文。</w:t>
      </w:r>
    </w:p>
    <w:p>
      <w:r>
        <w:t>6. 若验证失败、padding 非零、目的不匹配、fingerprint 不匹配，立即 freeze。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b/>
                <w:color w:val="1F4E79"/>
                <w:sz w:val="22"/>
              </w:rPr>
              <w:t>最短 demo 命令</w:t>
            </w:r>
          </w:p>
          <w:p>
            <w:pPr>
              <w:spacing w:after="80" w:line="264" w:lineRule="auto"/>
            </w:pPr>
            <w:r>
              <w:t>cd dikwp_confidential_exchange_system &amp;&amp; ./scripts/demo.sh</w:t>
              <w:br/>
              <w:t>该脚本会自动生成 demo 身份、编译 ZDC 消息、加密、验证、解密并输出审计记录。</w:t>
            </w:r>
          </w:p>
        </w:tc>
      </w:tr>
    </w:tbl>
    <w:p/>
    <w:p>
      <w:pPr>
        <w:pStyle w:val="Heading1"/>
      </w:pPr>
      <w:r>
        <w:t>8. 安全审计与治理用法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1F4E79"/>
            <w:vAlign w:val="center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场景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推荐模式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级别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控制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普通秘密交流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memo 模式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CONFIDENTIAL 及以下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仍需身份核验和密钥保护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高风险 AI 治理汇报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ZDC 模式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SECRET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二人编译、hash-only audit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董事会/监管前沟通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ZDC + memo 附件分离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SECRET/TOP_SECRET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核心结论 ZDC，细节另封附件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事故应急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P_EMERGENCY_FREEZE code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SECRET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冻结、审计、轮换密钥</w:t>
            </w:r>
          </w:p>
        </w:tc>
      </w:tr>
    </w:tbl>
    <w:p/>
    <w:p>
      <w:pPr>
        <w:pStyle w:val="Heading1"/>
      </w:pPr>
      <w:r>
        <w:t>9. 下一步生产化路线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shd w:fill="1F4E79"/>
            <w:vAlign w:val="center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6912"/>
            <w:shd w:fill="1F4E79"/>
            <w:vAlign w:val="center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动作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spacing w:after="40" w:line="252" w:lineRule="auto"/>
            </w:pPr>
            <w:r/>
            <w:r>
              <w:rPr>
                <w:b/>
                <w:color w:val="FFFFFF"/>
              </w:rPr>
              <w:t>目标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第 1 周</w:t>
            </w:r>
          </w:p>
        </w:tc>
        <w:tc>
          <w:tcPr>
            <w:tcW w:type="dxa" w:w="691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接入真实组织身份、固定 codebook、建立密钥仪式</w:t>
            </w:r>
          </w:p>
        </w:tc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能用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第 2-4 周</w:t>
            </w:r>
          </w:p>
        </w:tc>
        <w:tc>
          <w:tcPr>
            <w:tcW w:type="dxa" w:w="691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接入 HSM/KMS、对象存储、SSO、审批流、日志系统</w:t>
            </w:r>
          </w:p>
        </w:tc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可管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第 2 月</w:t>
            </w:r>
          </w:p>
        </w:tc>
        <w:tc>
          <w:tcPr>
            <w:tcW w:type="dxa" w:w="691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引入 PQC provider、形式化策略、红队测试、第三方审计</w:t>
            </w:r>
          </w:p>
        </w:tc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可信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第 3 月</w:t>
            </w:r>
          </w:p>
        </w:tc>
        <w:tc>
          <w:tcPr>
            <w:tcW w:type="dxa" w:w="6912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做成治理培训/测评产品中的保密交付模块</w:t>
            </w:r>
          </w:p>
        </w:tc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b w:val="0"/>
              </w:rPr>
              <w:t>可卖</w:t>
            </w:r>
          </w:p>
        </w:tc>
      </w:tr>
    </w:tbl>
    <w:p/>
    <w:p>
      <w:pPr>
        <w:pStyle w:val="Heading1"/>
      </w:pPr>
      <w:r>
        <w:t>10. SemProof / ExtProof / Residual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8F1"/>
          </w:tcPr>
          <w:p>
            <w:r>
              <w:rPr>
                <w:b/>
                <w:color w:val="1F4E79"/>
                <w:sz w:val="22"/>
              </w:rPr>
              <w:t>SemProof</w:t>
            </w:r>
          </w:p>
          <w:p>
            <w:pPr>
              <w:spacing w:after="80" w:line="264" w:lineRule="auto"/>
            </w:pPr>
            <w:r>
              <w:t>若保密交流要服务 DIKWP，而不是沦为“自由文本加密”，则必须先控制语义自由度，再控制表示自由度，再控制传输自由度。ZDC 模式把 D/I/K/W/P 变成有限 codebook；固定 frame 与零填充把表示层自由度压低；签名与审计把身份和责任接回治理链。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color w:val="1F4E79"/>
                <w:sz w:val="22"/>
              </w:rPr>
              <w:t>ExtProof</w:t>
            </w:r>
          </w:p>
          <w:p>
            <w:pPr>
              <w:spacing w:after="80" w:line="264" w:lineRule="auto"/>
            </w:pPr>
            <w:r>
              <w:t>密码原语层依赖成熟标准与库；后量子层引用 NIST FIPS 203/204 的正式标准方向，但本地 demo 未内置正式 PQC provider；“零暗信道”仅在可信 compiler 与 ZDC 边界内可成立。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</w:tcPr>
          <w:p>
            <w:r>
              <w:rPr>
                <w:b/>
                <w:color w:val="1F4E79"/>
                <w:sz w:val="22"/>
              </w:rPr>
              <w:t>Residual</w:t>
            </w:r>
          </w:p>
          <w:p>
            <w:pPr>
              <w:spacing w:after="80" w:line="264" w:lineRule="auto"/>
            </w:pPr>
            <w:r>
              <w:t>仍未解决端点妥协、时序流量分析、被胁迫披露、恶意用户利用允许语义选择编码、以及未验证 PQC 库的供应链问题。生产部署必须通过组织流程、硬件隔离和审计补足。</w:t>
            </w:r>
          </w:p>
        </w:tc>
      </w:tr>
    </w:tbl>
    <w:p/>
    <w:p>
      <w:pPr>
        <w:pStyle w:val="Heading1"/>
      </w:pPr>
      <w:r>
        <w:t>11. 参考来源</w:t>
      </w:r>
    </w:p>
    <w:p>
      <w:r>
        <w:t>NIST FIPS 203: Module-Lattice-Based Key-Encapsulation Mechanism Standard (ML-KEM).</w:t>
      </w:r>
    </w:p>
    <w:p>
      <w:r>
        <w:t>NIST FIPS 204: Module-Lattice-Based Digital Signature Standard (ML-DSA).</w:t>
      </w:r>
    </w:p>
    <w:p>
      <w:r>
        <w:t>RFC 9180: Hybrid Public Key Encryption.</w:t>
      </w:r>
    </w:p>
    <w:p>
      <w:r>
        <w:t>Signal Double Ratchet and X3DH specifications.</w:t>
      </w:r>
    </w:p>
    <w:p>
      <w:r>
        <w:t>本系统随附源码与本地测试结果。</w:t>
      </w:r>
    </w:p>
    <w:sectPr w:rsidR="00FC693F" w:rsidRPr="0006063C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DIKWP Confidential Exchange System - v1.0.0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