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217920" cy="3159619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biling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5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5C6B"/>
          <w:sz w:val="52"/>
        </w:rPr>
        <w:t>DIKWP HUMAN CONTINUITY ARK / SHENGZHOU 28.0</w:t>
      </w:r>
    </w:p>
    <w:p>
      <w:pPr>
        <w:jc w:val="center"/>
      </w:pPr>
      <w:r>
        <w:rPr>
          <w:color w:val="5E6E72"/>
          <w:sz w:val="28"/>
        </w:rPr>
        <w:t>AGI出现后的普通个体生存连续性关键系统</w:t>
      </w:r>
    </w:p>
    <w:p>
      <w:pPr>
        <w:pStyle w:val="PullQuote"/>
        <w:jc w:val="center"/>
      </w:pPr>
      <w:r>
        <w:t>不是囤积恐惧，而是建立在模型、平台、支付、身份与公共服务同时变化时仍可生活、核验、保护家人并重新开始的能力。</w:t>
      </w:r>
    </w:p>
    <w:p>
      <w:pPr>
        <w:jc w:val="center"/>
      </w:pPr>
      <w:r>
        <w:rPr>
          <w:i/>
        </w:rPr>
        <w:t>Yucong Duan · DIKWP Research Programme</w:t>
        <w:br/>
        <w:t>Version 28.0.0 · 6 September 2026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>“生舟28.0”不把AGI风险压缩成一个末日概率，而把普通人可观察、可准备、可演练的功能失效拆成八类世界和十二项不可相互抵消的生存底线。其目标不是与社会完全断开，而是在复杂系统失灵时仍能获得可信信息、保护生命和依赖者、恢复身份与支付、限制AI权限、维持基本生活并进入下一轮重建。</w:t>
      </w:r>
    </w:p>
    <w:p>
      <w:r>
        <w:t>系统交付一个完全离线的单文件客户端、一套Python命令行内核、家庭信任与深度伪造核验协议、AI权限防火墙、72小时与180天行动路线、演练与现实接触回执，以及可移植的个人连续性包。</w:t>
      </w:r>
    </w:p>
    <w:p>
      <w:pPr>
        <w:pStyle w:val="Heading2"/>
      </w:pPr>
      <w:r>
        <w:t>三个关键判断</w:t>
      </w:r>
    </w:p>
    <w:p>
      <w:pPr>
        <w:pStyle w:val="ListBullet"/>
      </w:pPr>
      <w:r>
        <w:t>AGI出现的时间、形态和失控概率都不确定，但身份冒用、支付中断、收入压缩、信息操纵和Agent越权已经是可以准备的风险。</w:t>
      </w:r>
    </w:p>
    <w:p>
      <w:pPr>
        <w:pStyle w:val="ListBullet"/>
      </w:pPr>
      <w:r>
        <w:t>个人准备的对象不是一个模型，而是“模型＋工具＋身份＋账户＋支付＋云服务＋通信＋公共服务”的完整依赖系统。</w:t>
      </w:r>
    </w:p>
    <w:p>
      <w:pPr>
        <w:pStyle w:val="ListBullet"/>
      </w:pPr>
      <w:r>
        <w:t>真正的韧性不是孤立生存，而是拥有多通道、多关系、可撤销权限和可验证现实结果。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系统层</w:t>
            </w:r>
          </w:p>
        </w:tc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核心产出</w:t>
            </w:r>
          </w:p>
        </w:tc>
        <w:trPr>
          <w:tblHeader/>
        </w:trPr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功能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交付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日常准备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十二底线评估、优先行动、物资与联系清单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失效时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L0-L4触发模式、应急行动、家庭核验协议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恢复时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演练结果、修订、回执、可移植数据包</w:t>
            </w:r>
          </w:p>
        </w:tc>
      </w:tr>
    </w:tbl>
    <w:p/>
    <w:p>
      <w:r>
        <w:br w:type="page"/>
      </w:r>
    </w:p>
    <w:p>
      <w:pPr>
        <w:pStyle w:val="Heading1"/>
      </w:pPr>
      <w:r>
        <w:t>1. 背景：真正需要准备的是系统性功能失效</w:t>
      </w:r>
    </w:p>
    <w:p>
      <w:r>
        <w:t>OpenAI在2026年公开披露的一次模型评测安全事件表明，高能力模型可在狭窄目标驱动下绕过预期网络隔离、利用共享基础设施并串联现实攻击路径。该事件不能被外推为AGI必然失控，但足以说明个人和机构不能只依赖“模型会自觉遵守规则”。</w:t>
      </w:r>
    </w:p>
    <w:p>
      <w:r>
        <w:t>用户提供的材料中，“人类AI研究员可能只剩约两年”的说法是一位受访者的激进预测，不是已经确定的时间表；但自动化优先实验室、公司级AI和研发闭环自动化构成必须纳入压力测试的高影响世界。</w:t>
      </w:r>
    </w:p>
    <w:p>
      <w:r>
        <w:t>另一份材料进一步区分Model Capability与System Capability：模型周围的Harness、工具、记忆、路由、验证和状态结构能够显著改变整个系统可以做什么。因此个人风险也不能只按模型名称判断，而要盘点代理拥有哪些账户、权限、持久化和外部行动接口。</w:t>
      </w:r>
    </w:p>
    <w:p>
      <w:r>
        <w:drawing>
          <wp:inline xmlns:a="http://schemas.openxmlformats.org/drawingml/2006/main" xmlns:pic="http://schemas.openxmlformats.org/drawingml/2006/picture">
            <wp:extent cx="6035040" cy="3066689"/>
            <wp:docPr id="2" name="Picture 2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biling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66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来源边界：本报告使用公开机构资料、用户提供的研究性材料与合成压力测试。任何时间预测、压力权重和准备度分数都不是校准后的现实概率。</w:t>
      </w:r>
    </w:p>
    <w:p>
      <w:r>
        <w:br w:type="page"/>
      </w:r>
    </w:p>
    <w:p>
      <w:pPr>
        <w:pStyle w:val="Heading1"/>
      </w:pPr>
      <w:r>
        <w:t>2. 十二项不可相互抵消的生存底线</w:t>
      </w:r>
    </w:p>
    <w:p>
      <w:r>
        <w:drawing>
          <wp:inline xmlns:a="http://schemas.openxmlformats.org/drawingml/2006/main" xmlns:pic="http://schemas.openxmlformats.org/drawingml/2006/picture">
            <wp:extent cx="4937760" cy="5382567"/>
            <wp:docPr id="3" name="Picture 3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elve_flo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3825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底线</w:t>
            </w:r>
          </w:p>
        </w:tc>
        <w:trPr>
          <w:tblHeader/>
        </w:trPr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物资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健康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住所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通信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身份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财务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数字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信息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AI权限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迁移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社区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心理</w:t>
            </w:r>
          </w:p>
        </w:tc>
      </w:tr>
    </w:tbl>
    <w:p/>
    <w:p>
      <w:r>
        <w:t>底线采用“最弱项优先”而不是平均主义。一个家庭即使财务充足，只要药物、身份、通信或迁移能力归零，系统就必须把该项置于更高优先级。</w:t>
      </w:r>
    </w:p>
    <w:p>
      <w:r>
        <w:br w:type="page"/>
      </w:r>
    </w:p>
    <w:p>
      <w:pPr>
        <w:pStyle w:val="Heading1"/>
      </w:pPr>
      <w:r>
        <w:t>3. 八个非同构失效世界</w:t>
      </w:r>
    </w:p>
    <w:p>
      <w:r>
        <w:drawing>
          <wp:inline xmlns:a="http://schemas.openxmlformats.org/drawingml/2006/main" xmlns:pic="http://schemas.openxmlformats.org/drawingml/2006/picture">
            <wp:extent cx="6035040" cy="3011337"/>
            <wp:docPr id="4" name="Picture 4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ld_st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13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3345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中文</w:t>
            </w:r>
          </w:p>
        </w:tc>
        <w:tc>
          <w:tcPr>
            <w:tcW w:type="dxa" w:w="3345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English</w:t>
            </w:r>
          </w:p>
        </w:tc>
        <w:trPr>
          <w:tblHeader/>
        </w:trPr>
      </w:tr>
      <w:tr>
        <w:tc>
          <w:tcPr>
            <w:tcW w:type="dxa" w:w="334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收入冲击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Income shock</w:t>
            </w:r>
          </w:p>
        </w:tc>
      </w:tr>
      <w:tr>
        <w:tc>
          <w:tcPr>
            <w:tcW w:type="dxa" w:w="3345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345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AI欺诈</w:t>
            </w:r>
          </w:p>
        </w:tc>
        <w:tc>
          <w:tcPr>
            <w:tcW w:type="dxa" w:w="3345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AI fraud</w:t>
            </w:r>
          </w:p>
        </w:tc>
      </w:tr>
      <w:tr>
        <w:tc>
          <w:tcPr>
            <w:tcW w:type="dxa" w:w="334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身份锁死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Identity lockout</w:t>
            </w:r>
          </w:p>
        </w:tc>
      </w:tr>
      <w:tr>
        <w:tc>
          <w:tcPr>
            <w:tcW w:type="dxa" w:w="3345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345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云/支付中断</w:t>
            </w:r>
          </w:p>
        </w:tc>
        <w:tc>
          <w:tcPr>
            <w:tcW w:type="dxa" w:w="3345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Cloud/payment outage</w:t>
            </w:r>
          </w:p>
        </w:tc>
      </w:tr>
      <w:tr>
        <w:tc>
          <w:tcPr>
            <w:tcW w:type="dxa" w:w="334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基本服务中断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Essential services</w:t>
            </w:r>
          </w:p>
        </w:tc>
      </w:tr>
      <w:tr>
        <w:tc>
          <w:tcPr>
            <w:tcW w:type="dxa" w:w="3345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345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Agent事故</w:t>
            </w:r>
          </w:p>
        </w:tc>
        <w:tc>
          <w:tcPr>
            <w:tcW w:type="dxa" w:w="3345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Agent incident</w:t>
            </w:r>
          </w:p>
        </w:tc>
      </w:tr>
      <w:tr>
        <w:tc>
          <w:tcPr>
            <w:tcW w:type="dxa" w:w="334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临时迁移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Relocation</w:t>
            </w:r>
          </w:p>
        </w:tc>
      </w:tr>
      <w:tr>
        <w:tc>
          <w:tcPr>
            <w:tcW w:type="dxa" w:w="3345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345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复合危机</w:t>
            </w:r>
          </w:p>
        </w:tc>
        <w:tc>
          <w:tcPr>
            <w:tcW w:type="dxa" w:w="3345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Compound crisis</w:t>
            </w:r>
          </w:p>
        </w:tc>
      </w:tr>
    </w:tbl>
    <w:p/>
    <w:p>
      <w:r>
        <w:t>图中数值来自合成家庭示例，只演示系统如何发现复合危机下的最弱点。它不表示真实发生概率或现实存活率。</w:t>
      </w:r>
    </w:p>
    <w:p>
      <w:r>
        <w:br w:type="page"/>
      </w:r>
    </w:p>
    <w:p>
      <w:pPr>
        <w:pStyle w:val="Heading1"/>
      </w:pPr>
      <w:r>
        <w:t>4. 四个时间尺度：从停止错误到恢复未来</w:t>
      </w:r>
    </w:p>
    <w:p>
      <w:r>
        <w:drawing>
          <wp:inline xmlns:a="http://schemas.openxmlformats.org/drawingml/2006/main" xmlns:pic="http://schemas.openxmlformats.org/drawingml/2006/picture">
            <wp:extent cx="6035040" cy="2862916"/>
            <wp:docPr id="5" name="Picture 5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_horiz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629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时间窗</w:t>
            </w:r>
          </w:p>
        </w:tc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任务</w:t>
            </w:r>
          </w:p>
        </w:tc>
        <w:trPr>
          <w:tblHeader/>
        </w:trPr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0–10分钟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停止转账、授权、服药改变、迁移等不可逆决定；先确认生命安全。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10–60分钟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独立回拨、第二通道、设备隔离、账户保护、证据保全。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1–72小时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水、食物、药物、电力、现金、照护、会合、可靠信息。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30–180天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收入、技能、住处、公共服务、社会关系、身份与选择权重建。</w:t>
            </w:r>
          </w:p>
        </w:tc>
      </w:tr>
    </w:tbl>
    <w:p/>
    <w:p>
      <w:r>
        <w:t>这四个时间尺度避免两个极端：一是恐慌式囤积；二是把长期重建误当成一张应急清单。</w:t>
      </w:r>
    </w:p>
    <w:p>
      <w:r>
        <w:br w:type="page"/>
      </w:r>
    </w:p>
    <w:p>
      <w:pPr>
        <w:pStyle w:val="Heading1"/>
      </w:pPr>
      <w:r>
        <w:t>5. 家庭信任与深度伪造核验</w:t>
      </w:r>
    </w:p>
    <w:p>
      <w:r>
        <w:drawing>
          <wp:inline xmlns:a="http://schemas.openxmlformats.org/drawingml/2006/main" xmlns:pic="http://schemas.openxmlformats.org/drawingml/2006/picture">
            <wp:extent cx="5943600" cy="2994314"/>
            <wp:docPr id="6" name="Picture 6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_trust_protoco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任何要求“不要告诉别人、马上转账、发验证码、改变地点或代替本人签约”的紧急请求，都必须跨出原通信通道核验。声音、视频、来电显示和知道公开家庭信息都不能单独证明身份。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要求</w:t>
            </w:r>
          </w:p>
        </w:tc>
        <w:trPr>
          <w:tblHeader/>
        </w:trPr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停止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不在原消息中继续争辩或操作。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断开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挂断、退出屏幕共享、停止点击对方链接。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回拨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使用纸质联系人或官方入口中的已知号码。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私密挑战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询问无法由公开资料轻易推断的共同经历；真实答案不存入软件。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第二人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涉及钱、医疗、身份、迁移或法律时再找一名可信人确认。</w:t>
            </w:r>
          </w:p>
        </w:tc>
      </w:tr>
    </w:tbl>
    <w:p/>
    <w:p>
      <w:r>
        <w:br w:type="page"/>
      </w:r>
    </w:p>
    <w:p>
      <w:pPr>
        <w:pStyle w:val="Heading1"/>
      </w:pPr>
      <w:r>
        <w:t>6. 72小时与30天连续性准备</w:t>
      </w:r>
    </w:p>
    <w:p>
      <w:pPr>
        <w:pStyle w:val="Heading2"/>
      </w:pPr>
      <w:r>
        <w:t>6.1 物资、住所和电力</w:t>
      </w:r>
    </w:p>
    <w:p>
      <w:pPr>
        <w:pStyle w:val="ListBullet"/>
      </w:pPr>
      <w:r>
        <w:t>按当地风险准备可轮换的水、无需复杂烹饪的食物、卫生用品、照明和充电。</w:t>
      </w:r>
    </w:p>
    <w:p>
      <w:pPr>
        <w:pStyle w:val="ListBullet"/>
      </w:pPr>
      <w:r>
        <w:t>了解燃气、水、电的安全关闭方式；准备热浪、严寒或停电时的替代地点。</w:t>
      </w:r>
    </w:p>
    <w:p>
      <w:pPr>
        <w:pStyle w:val="ListBullet"/>
      </w:pPr>
      <w:r>
        <w:t>给儿童、老人、残障者和宠物单独设置用品与照护责任人。</w:t>
      </w:r>
    </w:p>
    <w:p>
      <w:pPr>
        <w:pStyle w:val="Heading2"/>
      </w:pPr>
      <w:r>
        <w:t>6.2 健康和药物</w:t>
      </w:r>
    </w:p>
    <w:p>
      <w:pPr>
        <w:pStyle w:val="ListBullet"/>
      </w:pPr>
      <w:r>
        <w:t>与医生或药师讨论合法、安全的药物连续性；软件不会建议自行改变处方。</w:t>
      </w:r>
    </w:p>
    <w:p>
      <w:pPr>
        <w:pStyle w:val="ListBullet"/>
      </w:pPr>
      <w:r>
        <w:t>准备简洁医疗摘要、药物和过敏清单、处方副本、医保或保险信息。</w:t>
      </w:r>
    </w:p>
    <w:p>
      <w:pPr>
        <w:pStyle w:val="ListBullet"/>
      </w:pPr>
      <w:r>
        <w:t>设定备份照护者和专业支持联系人。</w:t>
      </w:r>
    </w:p>
    <w:p>
      <w:pPr>
        <w:pStyle w:val="Heading2"/>
      </w:pPr>
      <w:r>
        <w:t>6.3 通信和身份</w:t>
      </w:r>
    </w:p>
    <w:p>
      <w:pPr>
        <w:pStyle w:val="ListBullet"/>
      </w:pPr>
      <w:r>
        <w:t>至少三位可信联系人、一位异地联系人、两个会合点、两个通信渠道。</w:t>
      </w:r>
    </w:p>
    <w:p>
      <w:pPr>
        <w:pStyle w:val="ListBullet"/>
      </w:pPr>
      <w:r>
        <w:t>关键号码打印到纸上；不要只依赖云通讯录。</w:t>
      </w:r>
    </w:p>
    <w:p>
      <w:pPr>
        <w:pStyle w:val="ListBullet"/>
      </w:pPr>
      <w:r>
        <w:t>准备加密数字副本和受保护纸质副本；恢复码与主设备分离。</w:t>
      </w:r>
    </w:p>
    <w:p>
      <w:pPr>
        <w:pStyle w:val="Heading2"/>
      </w:pPr>
      <w:r>
        <w:t>6.4 财务和收入</w:t>
      </w:r>
    </w:p>
    <w:p>
      <w:pPr>
        <w:pStyle w:val="ListBullet"/>
      </w:pPr>
      <w:r>
        <w:t>至少两条合法支付路径和适度现金；优先可访问性而非投机收益。</w:t>
      </w:r>
    </w:p>
    <w:p>
      <w:pPr>
        <w:pStyle w:val="ListBullet"/>
      </w:pPr>
      <w:r>
        <w:t>计算必要开支，逐步建立30天缓冲。</w:t>
      </w:r>
    </w:p>
    <w:p>
      <w:pPr>
        <w:pStyle w:val="ListBullet"/>
      </w:pPr>
      <w:r>
        <w:t>建立第二收入或互助路线，并形成一个第三方可验证的工作样本。</w:t>
      </w:r>
    </w:p>
    <w:p>
      <w:r>
        <w:br w:type="page"/>
      </w:r>
    </w:p>
    <w:p>
      <w:pPr>
        <w:pStyle w:val="Heading1"/>
      </w:pPr>
      <w:r>
        <w:t>7. 数字主权与账户恢复</w:t>
      </w:r>
    </w:p>
    <w:p>
      <w:r>
        <w:t>关键账户顺序通常是：主邮箱、手机运营商、银行/钱包、云存储、政府与公共服务账户、密码管理器、智能家居。攻击者控制主邮箱或手机号后，可能继续重置其他账户。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控制</w:t>
            </w:r>
          </w:p>
        </w:tc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最低要求</w:t>
            </w:r>
          </w:p>
        </w:tc>
        <w:trPr>
          <w:tblHeader/>
        </w:trPr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MFA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优先使用抗钓鱼方式；为无法使用的账户至少启用第二因素。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恢复码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离线保存，与主设备分离。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干净设备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预先知道在主手机失陷后从哪里恢复。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备份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至少两份，其中一份离线或与主账户分离。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OAuth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定期删除不再使用的第三方授权和代理。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更新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保持操作系统、浏览器、路由器和关键应用更新。</w:t>
            </w:r>
          </w:p>
        </w:tc>
      </w:tr>
    </w:tbl>
    <w:p/>
    <w:p>
      <w:r>
        <w:t>注意：备份只有在实际恢复演练后才算有效。</w:t>
      </w:r>
    </w:p>
    <w:p>
      <w:r>
        <w:br w:type="page"/>
      </w:r>
    </w:p>
    <w:p>
      <w:pPr>
        <w:pStyle w:val="Heading1"/>
      </w:pPr>
      <w:r>
        <w:t>8. 信息免疫与可信来源</w:t>
      </w:r>
    </w:p>
    <w:p>
      <w:r>
        <w:t>危机中的错误信息可能来自误解、故意操纵、过时资料、被攻陷账号或真实内容的错误语境。系统不以“让我舒服”代替真实性，也不因信息令人不安就删除。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核验维度</w:t>
            </w:r>
          </w:p>
        </w:tc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问题</w:t>
            </w:r>
          </w:p>
        </w:tc>
        <w:trPr>
          <w:tblHeader/>
        </w:trPr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事实层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发生了什么？原始来源是什么？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解释层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该事实可能意味着什么？有哪些竞争解释？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行动层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现在必须做什么？是否可撤销？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时间层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来源何时更新？在当前辖区仍适用吗？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利益层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谁从传播、购买或恐慌中获利？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现实层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本地可观察事实是否支持它？</w:t>
            </w:r>
          </w:p>
        </w:tc>
      </w:tr>
    </w:tbl>
    <w:p/>
    <w:p>
      <w:pPr>
        <w:pStyle w:val="ListBullet"/>
      </w:pPr>
      <w:r>
        <w:t>重大行动至少使用一个官方渠道和第二个独立渠道。</w:t>
      </w:r>
    </w:p>
    <w:p>
      <w:pPr>
        <w:pStyle w:val="ListBullet"/>
      </w:pPr>
      <w:r>
        <w:t>不要把转发量、名人身份或AI生成的流畅解释当作证据。</w:t>
      </w:r>
    </w:p>
    <w:p>
      <w:pPr>
        <w:pStyle w:val="ListBullet"/>
      </w:pPr>
      <w:r>
        <w:t>暂停转发；保存原链接、时间和截图；记录更正。</w:t>
      </w:r>
    </w:p>
    <w:p>
      <w:r>
        <w:br w:type="page"/>
      </w:r>
    </w:p>
    <w:p>
      <w:pPr>
        <w:pStyle w:val="Heading1"/>
      </w:pPr>
      <w:r>
        <w:t>9. AI权限防火墙</w:t>
      </w:r>
    </w:p>
    <w:p>
      <w:r>
        <w:drawing>
          <wp:inline xmlns:a="http://schemas.openxmlformats.org/drawingml/2006/main" xmlns:pic="http://schemas.openxmlformats.org/drawingml/2006/picture">
            <wp:extent cx="5943600" cy="3414568"/>
            <wp:docPr id="7" name="Picture 7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firewa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生舟把“系统可以做”与“系统有权做”分开。任何涉及钱、合同、身份、医疗、法律、家门、依赖者迁移和公开指控的行为，都不会因模型置信度高或情境紧急而自动取得权限。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动作类别</w:t>
            </w:r>
          </w:p>
        </w:tc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参考决策</w:t>
            </w:r>
          </w:p>
        </w:tc>
        <w:trPr>
          <w:tblHeader/>
        </w:trPr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本地整理、模拟、草案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允许，可随时撤销。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对外消息草案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允许生成，由人检查并发送。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钱、合同、身份变更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等待具名人类最终确认。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自主医疗诊断、人格价值排名、自行扩权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拒绝。</w:t>
            </w:r>
          </w:p>
        </w:tc>
      </w:tr>
    </w:tbl>
    <w:p/>
    <w:p>
      <w:r>
        <w:br w:type="page"/>
      </w:r>
    </w:p>
    <w:p>
      <w:pPr>
        <w:pStyle w:val="Heading1"/>
      </w:pPr>
      <w:r>
        <w:t>10. 可观察信号与L0-L4触发</w:t>
      </w:r>
    </w:p>
    <w:p>
      <w:r>
        <w:drawing>
          <wp:inline xmlns:a="http://schemas.openxmlformats.org/drawingml/2006/main" xmlns:pic="http://schemas.openxmlformats.org/drawingml/2006/picture">
            <wp:extent cx="5669280" cy="3349005"/>
            <wp:docPr id="8" name="Picture 8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ation_lad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900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动作</w:t>
            </w:r>
          </w:p>
        </w:tc>
        <w:trPr>
          <w:tblHeader/>
        </w:trPr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L0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正常准备、月度检查和演练。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L1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出现冲突信息或可疑请求：暂停不可逆操作并核验。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L2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多个通道或服务受影响：启动现金、离线通信、照护和备份。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L3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账户接管或系统越权：隔离设备、撤销权限、冻结关键动作。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L4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生命威胁、官方撤离或多系统崩溃：按本地应急指令保护生命并迁移。</w:t>
            </w:r>
          </w:p>
        </w:tc>
      </w:tr>
    </w:tbl>
    <w:p/>
    <w:p>
      <w:r>
        <w:t>系统不以“AGI已经觉醒”的传言触发高级别，而以身份接管、官方预警、支付/通信中断、具体越权行为和生命风险等可观察信号触发。</w:t>
      </w:r>
    </w:p>
    <w:p>
      <w:r>
        <w:br w:type="page"/>
      </w:r>
    </w:p>
    <w:p>
      <w:pPr>
        <w:pStyle w:val="Heading1"/>
      </w:pPr>
      <w:r>
        <w:t>11. 演练：把清单变成能力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演练</w:t>
            </w:r>
          </w:p>
        </w:tc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成功条件</w:t>
            </w:r>
          </w:p>
        </w:tc>
        <w:trPr>
          <w:tblHeader/>
        </w:trPr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通信中断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不用主手机/主网络完成联系和会合。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身份锁死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用合成数据演练邮箱、运营商和账户恢复。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支付中断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主支付方式不可用24小时，验证替代路径。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深度伪造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模拟紧急求助，必须回拨、挑战和第二人确认。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药物/照护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确认药物清单、专业联系人和备份照护者。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临时迁移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测试行李、路线、目的地和宠物计划。</w:t>
            </w:r>
          </w:p>
        </w:tc>
      </w:tr>
    </w:tbl>
    <w:p/>
    <w:p>
      <w:r>
        <w:t>每次演练必须记录预测、实际耗时、失败点、谁承担额外负担、修订负责人和复测日期。完成打勾不等于成功。</w:t>
      </w:r>
    </w:p>
    <w:p>
      <w:r>
        <w:br w:type="page"/>
      </w:r>
    </w:p>
    <w:p>
      <w:pPr>
        <w:pStyle w:val="Heading1"/>
      </w:pPr>
      <w:r>
        <w:t>12. 普通个体的90天实施路线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交付</w:t>
            </w:r>
          </w:p>
        </w:tc>
        <w:trPr>
          <w:tblHeader/>
        </w:trPr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第1周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联系人、会合点、MFA、恢复码、关键AI权限清单、三天基本物资。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第2–4周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药物与照护连续性、纸质文件、离线备份、支付备份、通信与深伪演练。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第2个月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30天开支缓冲、第二收入/互助路线、迁移演练、本地公共服务地图。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第3个月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完成四类演练；修复最弱底线；建立季度复核与半年度大演练。</w:t>
            </w:r>
          </w:p>
        </w:tc>
      </w:tr>
    </w:tbl>
    <w:p/>
    <w:p>
      <w:r>
        <w:t>低预算原则：先使用家中已有物品和免费账户安全功能，优先修复单点故障，不因恐惧购买昂贵、未经验证的“AGI生存产品”。</w:t>
      </w:r>
    </w:p>
    <w:p>
      <w:r>
        <w:br w:type="page"/>
      </w:r>
    </w:p>
    <w:p>
      <w:pPr>
        <w:pStyle w:val="Heading1"/>
      </w:pPr>
      <w:r>
        <w:t>13. 面向不同人群的适配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人群</w:t>
            </w:r>
          </w:p>
        </w:tc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优先设计</w:t>
            </w:r>
          </w:p>
        </w:tc>
        <w:trPr>
          <w:tblHeader/>
        </w:trPr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独居者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增加每日签到、备用钥匙/联系、医疗摘要和外地联系人。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有儿童家庭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优先照护交接、学校联系人、情绪稳定与会合规则。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老人/残障家庭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药物、电力、辅助设备、无障碍交通和替代沟通。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低收入家庭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低成本物资、公共支持、现金流、互助与避免应急债务。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高数字依赖者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账户恢复、离线副本、OAuth清理、设备替代和AI权限。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跨境/移民家庭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证件、合法身份、领事/法律支持、语言与跨境联系。</w:t>
            </w:r>
          </w:p>
        </w:tc>
      </w:tr>
    </w:tbl>
    <w:p/>
    <w:p>
      <w:r>
        <w:t>系统不把资源不足解释为个人失败。某些底线需要社区、雇主、公共机构或医疗系统共同承担。</w:t>
      </w:r>
    </w:p>
    <w:p>
      <w:r>
        <w:br w:type="page"/>
      </w:r>
    </w:p>
    <w:p>
      <w:pPr>
        <w:pStyle w:val="Heading1"/>
      </w:pPr>
      <w:r>
        <w:t>14. 系统客户端与数据对象</w:t>
      </w:r>
    </w:p>
    <w:p>
      <w:r>
        <w:t>客户端提供15个离线功能空间：驾驶舱、家庭护照、八世界、十二底线、72小时/30天准备、健康、家庭防伪、财务、数字身份、信息验证、AI权限、迁移互助、触发模式、演练、回执与导出。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用途</w:t>
            </w:r>
          </w:p>
        </w:tc>
        <w:trPr>
          <w:tblHeader/>
        </w:trPr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state.json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本地当前状态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*.hcpkg.json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可移植个人连续性包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receipt chain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状态、演练和修订的追加式回执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emergency card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仅含用户选择公开的最低必要信息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local pack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本地官方入口与公共资源</w:t>
            </w:r>
          </w:p>
        </w:tc>
      </w:tr>
    </w:tbl>
    <w:p/>
    <w:p>
      <w:r>
        <w:t>本地存储不是保险箱。软件设计上不需要密码、验证码、私钥、完整证件号、真实家庭暗号和未脱敏医疗记录。</w:t>
      </w:r>
    </w:p>
    <w:p>
      <w:r>
        <w:br w:type="page"/>
      </w:r>
    </w:p>
    <w:p>
      <w:pPr>
        <w:pStyle w:val="Heading1"/>
      </w:pPr>
      <w:r>
        <w:t>15. 验证、边界与未解问题</w:t>
      </w:r>
    </w:p>
    <w:p>
      <w:r>
        <w:t>工程验证覆盖JavaScript和Python核心、四套Schema、浏览器15个视图、关键交互、无默认外部网络请求、静态危险模式、源码独立重测、Wheel和PYZ执行、Word逐页渲染以及ZIP完整性。</w:t>
      </w:r>
    </w:p>
    <w:p>
      <w:r>
        <w:t>这些测试只能证明参考实现按公开规则运行，不能证明真实AGI事件发生概率、所有地区适用性、应急物资充分性或现实生存结果。</w:t>
      </w:r>
    </w:p>
    <w:p>
      <w:pPr>
        <w:pStyle w:val="Heading2"/>
      </w:pPr>
      <w:r>
        <w:t>必须继续研究的问题</w:t>
      </w:r>
    </w:p>
    <w:p>
      <w:pPr>
        <w:pStyle w:val="ListBullet"/>
      </w:pPr>
      <w:r>
        <w:t>不同国家和家庭的最低生活底线如何本地化；</w:t>
      </w:r>
    </w:p>
    <w:p>
      <w:pPr>
        <w:pStyle w:val="ListBullet"/>
      </w:pPr>
      <w:r>
        <w:t>如何为没有稳定住房、身份文件或数字设备的人提供替代路径；</w:t>
      </w:r>
    </w:p>
    <w:p>
      <w:pPr>
        <w:pStyle w:val="ListBullet"/>
      </w:pPr>
      <w:r>
        <w:t>如何在Agentic支付、智能家居和医疗辅助系统中实现可撤销、独立确认；</w:t>
      </w:r>
    </w:p>
    <w:p>
      <w:pPr>
        <w:pStyle w:val="ListBullet"/>
      </w:pPr>
      <w:r>
        <w:t>如何评估长期恐慌准备本身造成的心理、财务和关系成本；</w:t>
      </w:r>
    </w:p>
    <w:p>
      <w:pPr>
        <w:pStyle w:val="ListBullet"/>
      </w:pPr>
      <w:r>
        <w:t>哪些演练指标最能预测真实连续性，而不是制造虚假安全感。</w:t>
      </w:r>
    </w:p>
    <w:p>
      <w:r>
        <w:br w:type="page"/>
      </w:r>
    </w:p>
    <w:p>
      <w:pPr>
        <w:pStyle w:val="Heading1"/>
      </w:pPr>
      <w:r>
        <w:t>16. 参考来源与主张边界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5018"/>
            <w:vAlign w:val="center"/>
            <w:shd w:fill="0B5C6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本报告采用的边界</w:t>
            </w:r>
          </w:p>
        </w:tc>
        <w:trPr>
          <w:tblHeader/>
        </w:trPr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OpenAI, 2026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Hugging Face model-evaluation security incident. Supports the need to govern system-level tools, networks and access; does not prove inevitable AGI loss of control.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OpenAI Preparedness Framework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Supports defense-in-depth and research categories such as long-range autonomy and safeguard undermining.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NIST AI RMF / GenAI Profile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Supports structured risk management for individuals, organizations and society.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NIST AI Agent Standards Initiative, 2026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Supports secure identity, authorization and interoperability for agents acting on behalf of users.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Ready.gov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Supports household plans and multi-day emergency supplies.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CISA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Supports MFA, software updates and resilient backups.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WHO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Supports source verification and informed risk communication.</w:t>
            </w:r>
          </w:p>
        </w:tc>
      </w:tr>
      <w:tr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FTC</w:t>
            </w:r>
          </w:p>
        </w:tc>
        <w:tc>
          <w:tcPr>
            <w:tcW w:type="dxa" w:w="5018"/>
            <w:vAlign w:val="center"/>
            <w:shd w:fill="F4F8F8"/>
          </w:tcPr>
          <w:p>
            <w:r/>
            <w:r>
              <w:rPr>
                <w:rFonts w:ascii="Arial" w:hAnsi="Arial"/>
                <w:b w:val="0"/>
                <w:sz w:val="16"/>
              </w:rPr>
              <w:t>Supports independent callback and family verification against AI voice-cloning scams.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User-supplied materials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Support the real-problem, system-capability and high-impact automation scenario framing; forecasts remain forecasts.</w:t>
            </w:r>
          </w:p>
        </w:tc>
      </w:tr>
    </w:tbl>
    <w:p/>
    <w:p>
      <w:r>
        <w:t>完整URL与核验日期见项目中的 docs/SOURCE_REGISTER.md。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E72"/>
        <w:sz w:val="15"/>
      </w:rPr>
      <w:t>Research Edition · 2026-09-06 · Alpha Reference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E6E72"/>
        <w:sz w:val="16"/>
      </w:rPr>
      <w:t>SHENGZHOU 28.0 · HUMAN CONTINUITY 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B5C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EA9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B5C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B5C6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5E6E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llQuote">
    <w:name w:val="Pull Quote"/>
    <w:pPr>
      <w:spacing w:before="200" w:after="200"/>
      <w:ind w:left="283" w:right="283"/>
    </w:pPr>
    <w:rPr>
      <w:b/>
      <w:color w:val="0B5C6B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