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pStyle w:val="Subtitle"/>
      </w:pPr>
      <w:r>
        <w:rPr>
          <w:color w:val="527784"/>
        </w:rPr>
        <w:t>DIKWP</w:t>
      </w:r>
    </w:p>
    <w:p>
      <w:pPr>
        <w:pStyle w:val="Title"/>
      </w:pPr>
      <w:r>
        <w:t>HEPATOGENESIS</w:t>
        <w:br/>
        <w:t>LAB</w:t>
      </w:r>
    </w:p>
    <w:p>
      <w:pPr>
        <w:pStyle w:val="Subtitle"/>
      </w:pPr>
      <w:r>
        <w:t>Executable histories.</w:t>
        <w:br/>
        <w:t>Competing explanations.</w:t>
        <w:br/>
        <w:t>Traceable consequences.</w:t>
      </w:r>
    </w:p>
    <w:p>
      <w:pPr>
        <w:pStyle w:val="Heading2"/>
      </w:pPr>
      <w:r>
        <w:br/>
        <w:t>Engineering Guide and Source Review</w:t>
      </w:r>
    </w:p>
    <w:p>
      <w:r>
        <w:t>Version 1.0.0 • English edition • 26 September 2026</w:t>
      </w:r>
    </w:p>
    <w:p>
      <w:r>
        <w:t>Companion to A Brief History of the Liver</w:t>
        <w:br/>
        <w:t>Book authors: Yucong Duan and Zhongdao Wu</w:t>
      </w:r>
    </w:p>
    <w:p>
      <w:r>
        <w:t>Apache-2.0 source • Dependency-free runtime • Local computation</w:t>
      </w:r>
    </w:p>
    <w:p>
      <w:r>
        <w:br/>
        <w:t>A complete research reference implementation, with reproducible examples,</w:t>
        <w:br/>
        <w:t>finite-model guarantees and explicitly scoped scientific claims.</w:t>
      </w:r>
    </w:p>
    <w:p>
      <w:pPr>
        <w:pStyle w:val="Caption"/>
      </w:pPr>
      <w:r>
        <w:br/>
        <w:t>Prepared with AI assistance for author and developer review.</w:t>
        <w:br/>
        <w:t>Not a clinically calibrated model or a confirmation of new physical fields.</w:t>
      </w:r>
    </w:p>
    <w:p>
      <w:r>
        <w:br w:type="page"/>
      </w:r>
    </w:p>
    <w:p>
      <w:pPr>
        <w:pStyle w:val="Heading1"/>
      </w:pPr>
      <w:r>
        <w:t>01 | What this system makes possible</w:t>
      </w:r>
    </w:p>
    <w:p>
      <w:pPr>
        <w:widowControl/>
      </w:pPr>
      <w:r>
        <w:t>A Brief History of the Liver asks how a living organ becomes possible, how history persists in its organization, and what must be preserved when a description moves between scales. HepatoGenesis turns selected parts of that inquiry into executable research. Its central object is not a confidence badge. It is a claim with a model, an observation contract, a comparison, a potential counterexample and a traceable consequence.</w:t>
      </w:r>
    </w:p>
    <w:p>
      <w:pPr>
        <w:widowControl/>
      </w:pPr>
      <w:r>
        <w:t>The system connects history dynamics, mechanism discrimination, finite-state decision problems, physical ledgers and evidence correction. These are deliberately distinct mathematical objects. Their connection does not imply that a three-variable model describes all liver biology or that a transport chain derives organ structure from quantum fields.</w:t>
      </w:r>
    </w:p>
    <w:p>
      <w:pPr>
        <w:pStyle w:val="Heading2"/>
      </w:pPr>
      <w:r>
        <w:t>A complete local workflow</w:t>
      </w:r>
    </w:p>
    <w:p>
      <w:pPr>
        <w:widowControl/>
      </w:pPr>
      <w:r>
        <w:t>Run the book's six history scenarios. Compare dynamic, frozen and erased memory under a declared synthetic protocol. Select a model without looking at audit outcomes. Ask which measurement separates the models. Test whether one feasible policy exists when the true state is hidden. Check whether state compression destroys a constraint. Trace every result back to the source assumptions and reopen it when those assumptions change.</w:t>
      </w:r>
    </w:p>
    <w:p>
      <w:pPr>
        <w:pStyle w:val="Heading2"/>
      </w:pPr>
      <w:r>
        <w:t>Three ways to use the delivery</w:t>
      </w:r>
    </w:p>
    <w:p>
      <w:pPr>
        <w:widowControl/>
      </w:pPr>
      <w:r>
        <w:t>The source directory runs directly with Python. The executable PYZ runs without installing third-party packages. The Wheel supports ordinary Python installation. The standalone HTML report displays a completed experiment without Python; the live browser console invokes the Python calculations. These two interfaces are intentionally distinguished.</w:t>
      </w:r>
    </w:p>
    <w:p>
      <w:pPr>
        <w:pStyle w:val="Heading2"/>
      </w:pPr>
      <w:r>
        <w:t>Intended reader</w:t>
      </w:r>
    </w:p>
    <w:p>
      <w:pPr>
        <w:widowControl/>
      </w:pPr>
      <w:r>
        <w:t>The package is for readers of the book, computational researchers, graduate students and developers extending DIKWP research tools. The 18-chapter map supplies objectives, commands and exercises. The technical material assumes basic Python and introductory differential equations, but the built-in experiments can be run without changing code.</w:t>
      </w:r>
    </w:p>
    <w:p>
      <w:pPr>
        <w:widowControl/>
      </w:pPr>
      <w:r>
        <w:t>No patient data, medical advice, automatic deployment, external AI call or novel-field confirmation is included. The contribution is a working research path from a book argument to a result that can fail, not a claim that the book's strongest hypotheses have been empirically established.</w:t>
      </w:r>
    </w:p>
    <w:p>
      <w:r>
        <w:br w:type="page"/>
      </w:r>
    </w:p>
    <w:p>
      <w:pPr>
        <w:pStyle w:val="Heading1"/>
      </w:pPr>
      <w:r>
        <w:t>02 | Upstream review: hepatology projects</w:t>
      </w:r>
    </w:p>
    <w:p>
      <w:pPr>
        <w:widowControl/>
      </w:pPr>
      <w:r>
        <w:t>Six repositories were selected for relevance, not to construct an account-wide ranking. The scope and object identities are preserved in research/upstream_review.json. Two executable modules were read in full; other conclusions are expressly limited to READMEs and file trees. No upstream runtime test was performed. [U1–U6]</w:t>
      </w:r>
    </w:p>
    <w:p>
      <w:pPr>
        <w:pStyle w:val="Heading2"/>
      </w:pPr>
      <w:r>
        <w:t>HepatoScholar OS and Studio V2</w:t>
      </w:r>
    </w:p>
    <w:p>
      <w:pPr>
        <w:widowControl/>
      </w:pPr>
      <w:r>
        <w:t>HepatoScholar OS already organizes liver literature into DIKWP records and research gaps. Its inspected root distributes runnable material through a ZIP. Studio V2 exposes a fuller source-distribution tree and an offline analysis CLI. These are useful foundations for provenance and literature organization. [U1, U2]</w:t>
      </w:r>
    </w:p>
    <w:p>
      <w:pPr>
        <w:widowControl/>
      </w:pPr>
      <w:r>
        <w:t>The inspected V2 closure function converts a supplied quality value, subtracts fixed penalties for missing limitations and contradictory evidence, and applies score thresholds. That is an explicit heuristic, not calibrated certainty. An isolated reproduction of its nested min/max expression returns 100 for NaN; the associated inspected threshold is S4. This is a code-path reproduction, not a claim to have installed or tested the complete upstream project.</w:t>
      </w:r>
    </w:p>
    <w:p>
      <w:pPr>
        <w:widowControl/>
      </w:pPr>
      <w:r>
        <w:t>HepatoGenesis rejects nonfinite numeric input and does not turn an imported quality annotation into evidence strength. Its V2 adapter follows the inspected scenario/records schema for original synthetic fixtures. It preserves the external annotation as an annotation. The new system adds numerical model comparisons, negative controls and observable failure cases, rather than another unexplained score.</w:t>
      </w:r>
    </w:p>
    <w:p>
      <w:pPr>
        <w:widowControl/>
      </w:pPr>
      <w:r>
        <w:t>A contradiction should also not be treated as defective science merely because it challenges the favored claim. A rigorous contrary result can improve a theory. Accordingly, the new model challenge keeps competing explanations and adverse outcomes visible.</w:t>
      </w:r>
    </w:p>
    <w:p>
      <w:pPr>
        <w:pStyle w:val="Heading2"/>
      </w:pPr>
      <w:r>
        <w:t>HepatoCarePath OS</w:t>
      </w:r>
    </w:p>
    <w:p>
      <w:pPr>
        <w:widowControl/>
      </w:pPr>
      <w:r>
        <w:t>The inspected CarePath README addresses liver workflow, preparation and handoff, with explicit limits on diagnosis and prescribing. Those are different tasks from a mechanism research engine. The new companion remains outside patient workflows instead of pretending that simulation parameters are clinical measurements. ZIP internals were not inspected, so no absence claim about their algorithms is made. [U3]</w:t>
      </w:r>
    </w:p>
    <w:p>
      <w:pPr>
        <w:widowControl/>
      </w:pPr>
      <w:r>
        <w:t>The advance is problem-specific: from arranging research material and workflow objects to executing the book's selected scientific questions.</w:t>
      </w:r>
    </w:p>
    <w:p>
      <w:r>
        <w:br w:type="page"/>
      </w:r>
    </w:p>
    <w:p>
      <w:pPr>
        <w:pStyle w:val="Heading1"/>
      </w:pPr>
      <w:r>
        <w:t>03 | Upstream review: research and governance</w:t>
      </w:r>
    </w:p>
    <w:p>
      <w:pPr>
        <w:pStyle w:val="Heading2"/>
      </w:pPr>
      <w:r>
        <w:t>ASCENT already computes</w:t>
      </w:r>
    </w:p>
    <w:p>
      <w:pPr>
        <w:widowControl/>
      </w:pPr>
      <w:r>
        <w:t>The reviewed ASCENT 0.2.0 README and evaluator implement actual numerical work, including basis-regression errors, a knapsack reference, per-world comparison and descriptive paired bootstrap. The README also documents frozen inference, explicit review and rollback. These capabilities should be preserved and credited, not erased by an inflated claim that earlier DIKWP systems only managed text. [U4]</w:t>
      </w:r>
    </w:p>
    <w:p>
      <w:pPr>
        <w:widowControl/>
      </w:pPr>
      <w:r>
        <w:t>The inspected evaluator is not an organ-history equation solver. Its evaluation units are regression rows or scheduling cases. A time series must not automatically reuse an independent-row interpretation. HepatoGenesis therefore fits complete synthetic trajectories, selects on separate complete trajectories and reports an equally weighted error per audit trajectory. The finite belief solver adds another problem class: one observation-based policy must work for every admitted hidden state and successor choice.</w:t>
      </w:r>
    </w:p>
    <w:p>
      <w:pPr>
        <w:pStyle w:val="Heading2"/>
      </w:pPr>
      <w:r>
        <w:t>ProofLedger and NEGENESIS</w:t>
      </w:r>
    </w:p>
    <w:p>
      <w:pPr>
        <w:widowControl/>
      </w:pPr>
      <w:r>
        <w:t>ProofLedger's inspected README already distinguishes source mapping and reversible review from guaranteed truth. HepatoGenesis adds a concrete dependency graph spanning source, model, result, claim and experimental purpose, with recursive invalidation. It does not claim that ProofLedger lacks all such machinery inside its uninspected distribution. [U5]</w:t>
      </w:r>
    </w:p>
    <w:p>
      <w:pPr>
        <w:widowControl/>
      </w:pPr>
      <w:r>
        <w:t>NEGENESIS provides relevant themes of memory, coadaptation and accounting, and distinguishes local organization from thermodynamic and value judgments. The new physical examples instantiate particular ledgers in mmol, watts and entropy-production units. An archive-only root does not prove that the upstream archive lacks a numerical model; that content was not inspected. [U6]</w:t>
      </w:r>
    </w:p>
    <w:p>
      <w:pPr>
        <w:pStyle w:val="Heading2"/>
      </w:pPr>
      <w:r>
        <w:t>What is genuinely different</w:t>
      </w:r>
    </w:p>
    <w:p>
      <w:pPr>
        <w:widowControl/>
      </w:pPr>
      <w:r>
        <w:t>The delivered extension is an executable chain: declare a question, compute competing mechanisms, preserve observation and action constraints, distinguish exact finite guarantees from numerical diagnostics, propagate corrections, and export a reproducible capsule. It is not a universal benchmark victory across unrelated tasks.</w:t>
      </w:r>
    </w:p>
    <w:p>
      <w:pPr>
        <w:widowControl/>
      </w:pPr>
      <w:r>
        <w:t>The repository review identifies tree objects and blob objects rather than calling them commit IDs. Main-branch links may later change. No complete clone, code audit of every repository, live inter-repository integration, clinical comparison or remote publication is claimed. The practical integration completed here is a tested synthetic V2 file adapter, not a service connection.</w:t>
      </w:r>
    </w:p>
    <w:p>
      <w:r>
        <w:br w:type="page"/>
      </w:r>
    </w:p>
    <w:p>
      <w:pPr>
        <w:pStyle w:val="Heading1"/>
      </w:pPr>
      <w:r>
        <w:t>04 | Installation and first experiment</w:t>
      </w:r>
    </w:p>
    <w:p>
      <w:pPr>
        <w:pStyle w:val="Heading2"/>
      </w:pPr>
      <w:r>
        <w:t>Route A: source checkout or extracted source</w:t>
      </w:r>
    </w:p>
    <w:p>
      <w:pPr>
        <w:widowControl/>
      </w:pPr>
      <w:r>
        <w:t>Open a terminal in the directory that contains pyproject.toml and the hepatogenesis folder. A working Python 3.10 or newer installation is required. There are no third-party runtime dependencies and no API key.</w:t>
      </w:r>
    </w:p>
    <w:p>
      <w:pPr>
        <w:pStyle w:val="Code"/>
      </w:pPr>
      <w:r>
        <w:t>python -m hepatogenesis doctor</w:t>
      </w:r>
    </w:p>
    <w:p>
      <w:pPr>
        <w:pStyle w:val="Code"/>
      </w:pPr>
      <w:r>
        <w:t>python -m hepatogenesis demo --out first-run</w:t>
      </w:r>
    </w:p>
    <w:p>
      <w:pPr>
        <w:pStyle w:val="Code"/>
      </w:pPr>
      <w:r>
        <w:t>python -m hepatogenesis verify first-run</w:t>
      </w:r>
    </w:p>
    <w:p>
      <w:pPr>
        <w:pStyle w:val="Code"/>
      </w:pPr>
      <w:r>
        <w:t>python -m hepatogenesis serve --port 8766</w:t>
      </w:r>
    </w:p>
    <w:p>
      <w:pPr>
        <w:widowControl/>
      </w:pPr>
      <w:r>
        <w:t>Open first-run/report.html to inspect completed results. For interactive computation, open http://127.0.0.1:8766 while the server is running. Select a scenario, choose a model, change the permitted initial burden or repair multiplier, and run it. Export JSON to preserve the returned trajectory and metrics. Ctrl+C stops the server.</w:t>
      </w:r>
    </w:p>
    <w:p>
      <w:pPr>
        <w:pStyle w:val="Heading2"/>
      </w:pPr>
      <w:r>
        <w:t>Route B: one executable archive</w:t>
      </w:r>
    </w:p>
    <w:p>
      <w:pPr>
        <w:pStyle w:val="Code"/>
      </w:pPr>
      <w:r>
        <w:t>python DIKWP_HepatoGenesis_Lab.pyz doctor</w:t>
      </w:r>
    </w:p>
    <w:p>
      <w:pPr>
        <w:pStyle w:val="Code"/>
      </w:pPr>
      <w:r>
        <w:t>python DIKWP_HepatoGenesis_Lab.pyz demo --out second-run</w:t>
      </w:r>
    </w:p>
    <w:p>
      <w:pPr>
        <w:pStyle w:val="Code"/>
      </w:pPr>
      <w:r>
        <w:t>python DIKWP_HepatoGenesis_Lab.pyz serve --port 8766</w:t>
      </w:r>
    </w:p>
    <w:p>
      <w:pPr>
        <w:widowControl/>
      </w:pPr>
      <w:r>
        <w:t>PYZ is a standard Python executable archive, not a bundled operating system or private Python distribution. Python's zipapp documentation describes the format. [P1] On Windows, py -3 may replace python. START_WINDOWS.bat and START_UNIX.sh are supplied. Their target platforms were not all executed in this review.</w:t>
      </w:r>
    </w:p>
    <w:p>
      <w:pPr>
        <w:pStyle w:val="Heading2"/>
      </w:pPr>
      <w:r>
        <w:t>Route C: install the Wheel</w:t>
      </w:r>
    </w:p>
    <w:p>
      <w:pPr>
        <w:pStyle w:val="Code"/>
      </w:pPr>
      <w:r>
        <w:t>python -m pip install --no-index \</w:t>
      </w:r>
    </w:p>
    <w:p>
      <w:pPr>
        <w:pStyle w:val="Code"/>
      </w:pPr>
      <w:r>
        <w:t xml:space="preserve">  --no-deps dist/dikwp_hepatogenesis_lab-1.0.0-py3-none-any.whl</w:t>
      </w:r>
    </w:p>
    <w:p>
      <w:pPr>
        <w:pStyle w:val="Code"/>
      </w:pPr>
      <w:r>
        <w:t>hepatogenesis doctor</w:t>
      </w:r>
    </w:p>
    <w:p>
      <w:pPr>
        <w:widowControl/>
      </w:pPr>
      <w:r>
        <w:t>The release Wheel was installed in a fresh virtual environment and invoked outside the source directory. Building a new Wheel requires packaging tools, but running the source or PYZ does not.</w:t>
      </w:r>
    </w:p>
    <w:p>
      <w:pPr>
        <w:widowControl/>
      </w:pPr>
      <w:r>
        <w:t>Use a previously absent directory for every complete experiment. The application deliberately refuses to reset an existing run. If a requested output already exists, choose a new path rather than delete the scientific history. Individual explicit JSON-output commands can replace their named output atomically; use versioned names for research records.</w:t>
      </w:r>
    </w:p>
    <w:p>
      <w:r>
        <w:br w:type="page"/>
      </w:r>
    </w:p>
    <w:p>
      <w:pPr>
        <w:pStyle w:val="Heading1"/>
      </w:pPr>
      <w:r>
        <w:t>05 | History dynamics and numerical fidelity</w:t>
      </w:r>
    </w:p>
    <w:p>
      <w:pPr>
        <w:widowControl/>
      </w:pPr>
      <w:r>
        <w:t>The book's chapter-18 state is x=(C,M,R). C denotes relative capacity, M structural burden and R reserve. These variables and the time coordinate are dimensionless abstractions. They are not ALT, fibrosis stage, ATP amount, clinical prognosis or physical entropy. The equations are inherited as a mathematical object; the implementation is independently written. [B1]</w:t>
      </w:r>
    </w:p>
    <w:p>
      <w:pPr>
        <w:pStyle w:val="Code"/>
      </w:pPr>
      <w:r>
        <w:t>dC/dt = a R (1-C)/(1+M) - b (U+qM) C</w:t>
      </w:r>
    </w:p>
    <w:p>
      <w:pPr>
        <w:pStyle w:val="Code"/>
      </w:pPr>
      <w:r>
        <w:t>dM/dt = c U C + d (1-C) - k e R M</w:t>
      </w:r>
    </w:p>
    <w:p>
      <w:pPr>
        <w:pStyle w:val="Code"/>
      </w:pPr>
      <w:r>
        <w:t>dR/dt = f S (1-R) - g (1-C) R - h U R</w:t>
      </w:r>
    </w:p>
    <w:p>
      <w:pPr>
        <w:widowControl/>
      </w:pPr>
      <w:r>
        <w:t>U is an externally specified pulse, S support and k a multiplier on one clearance term. Defaults are a=.45, b=.70, q=.15, c=.50, d=.12, e=.08, f=.25, g=.20 and h=.10. The initial C and R are .8; the baseline low, middle and high M values are .05, .9 and 1.6.</w:t>
      </w:r>
    </w:p>
    <w:p>
      <w:pPr>
        <w:pStyle w:val="Heading2"/>
      </w:pPr>
      <w:r>
        <w:t>Numerical contract</w:t>
      </w:r>
    </w:p>
    <w:p>
      <w:pPr>
        <w:widowControl/>
      </w:pPr>
      <w:r>
        <w:t>The solver is fixed-step fourth-order Runge-Kutta, segmented exactly at control changes. Within each segment the input is constant. Half-open intervals determine whether an input is active. Every run contains its true final time, even for a horizon shorter than one step. Interpolation is internal only; extrapolation is rejected. No clipping conceals a state-domain failure.</w:t>
      </w:r>
    </w:p>
    <w:p>
      <w:pPr>
        <w:widowControl/>
      </w:pPr>
      <w:r>
        <w:t>For nonnegative parameters and inputs, the vector field is inward or tangential at C=0, C=1, R=0, R=1 and M=0. On a finite interval M grows no faster than cU+d. This supports the declared mathematical domain, not biological realism. Strong or stiff parameter combinations may require a smaller step; the fixed-step implementation fails rather than silently treating a failed calculation as evidence.</w:t>
      </w:r>
    </w:p>
    <w:p>
      <w:pPr>
        <w:widowControl/>
      </w:pPr>
      <w:r>
        <w:t>The extra multiplier-time and the extra clearance-rate integral are distinct outputs. Early and late interventions can share the former while differing in the latter. In a frozen-history countermodel the rate is diagnostic only, because M is fixed. These quantities are neither drug doses nor complete resource costs.</w:t>
      </w:r>
    </w:p>
    <w:p>
      <w:pPr>
        <w:widowControl/>
      </w:pPr>
      <w:r>
        <w:t>Step refinement and agreement with the supplied adaptive solver are diagnostics. The sampled path threshold is not a certified continuous-time constraint, and no continuous viability kernel is computed.</w:t>
      </w:r>
    </w:p>
    <w:p>
      <w:r>
        <w:br w:type="page"/>
      </w:r>
    </w:p>
    <w:p>
      <w:pPr>
        <w:pStyle w:val="Heading1"/>
      </w:pPr>
      <w:r>
        <w:t>06 | Competing models and a negative control</w:t>
      </w:r>
    </w:p>
    <w:p>
      <w:pPr>
        <w:widowControl/>
      </w:pPr>
      <w:r>
        <w:t>The program exposes three named hypotheses. Dynamic history evolves M using the full equations. Frozen history retains M as a fixed state coordinate. Erased history sets M to zero and removes its effects. Output records always name the actual model rather than allowing an interface label to hide a different computation.</w:t>
      </w:r>
    </w:p>
    <w:p>
      <w:pPr>
        <w:pStyle w:val="Heading2"/>
      </w:pPr>
      <w:r>
        <w:t>Predeclared comparison</w:t>
      </w:r>
    </w:p>
    <w:p>
      <w:pPr>
        <w:widowControl/>
      </w:pPr>
      <w:r>
        <w:t>The positive fixture contains three training trajectories, two development trajectories and three audit trajectories. Each has 12 C/R observations. Training chooses q from a declared grid. All other parameters remain fixed by the protocol. The model is selected on development error plus a retained-coordinate cost. Dynamic and frozen models retain three coordinates; erased history retains two. This is a representation-cost convention, not the number of evolving degrees of freedom.</w:t>
      </w:r>
    </w:p>
    <w:p>
      <w:pPr>
        <w:widowControl/>
      </w:pPr>
      <w:r>
        <w:t>A selection object is hashed before any audit loss is calculated. The audit observations may change the reported audit error but cannot change fitted q, the selected model or the selection-freeze hash. A regression test checks this. Each trajectory contributes one mean error, avoiding the fiction that every time point is an independent experimental subject.</w:t>
      </w:r>
    </w:p>
    <w:p>
      <w:pPr>
        <w:pStyle w:val="Heading2"/>
      </w:pPr>
      <w:r>
        <w:t>Positive result, with its limitation</w:t>
      </w:r>
    </w:p>
    <w:p>
      <w:pPr>
        <w:widowControl/>
      </w:pPr>
      <w:r>
        <w:t>The release audit MSE values are approximately 4.4071e-6 for dynamic history, 8.7142e-3 for frozen history and 8.2682e-2 for erased history. The dynamic model wins on this task. However, the observations were generated by that same model. Its success is expected and cannot be cited as independent evidence that a real liver obeys these equations.</w:t>
      </w:r>
    </w:p>
    <w:p>
      <w:pPr>
        <w:pStyle w:val="Heading2"/>
      </w:pPr>
      <w:r>
        <w:t>Complexity must be allowed to lose</w:t>
      </w:r>
    </w:p>
    <w:p>
      <w:pPr>
        <w:widowControl/>
      </w:pPr>
      <w:r>
        <w:t>The negative control sets initial M=0 and c=d=0. M then stays zero, and all three observation models coincide. Their audit MSE is approximately 4.4071e-6; the declared representation penalty selects erased history. This prevents the demonstration from becoming a mechanism that always applauds the most elaborate model.</w:t>
      </w:r>
    </w:p>
    <w:p>
      <w:pPr>
        <w:widowControl/>
      </w:pPr>
      <w:r>
        <w:t>The whole protocol is public. It is not a secret holdout, a clinical test, an unbiased contest among all possible theories, or a parameter posterior. All outcomes and generation assumptions are shipped, including ties and failed comparisons. Extending the model family requires a new frozen protocol and independent data before a stronger empirical claim is justified.</w:t>
      </w:r>
    </w:p>
    <w:p>
      <w:r>
        <w:br w:type="page"/>
      </w:r>
    </w:p>
    <w:p>
      <w:pPr>
        <w:pStyle w:val="Heading1"/>
      </w:pPr>
      <w:r>
        <w:t>07 | One policy under hidden-state uncertainty</w:t>
      </w:r>
    </w:p>
    <w:p>
      <w:pPr>
        <w:widowControl/>
      </w:pPr>
      <w:r>
        <w:t>A controller receives an observation, not privileged access to the true state. This distinction changes feasibility. It is not enough to show that every possible hidden state has some successful action when separately revealed.</w:t>
      </w:r>
    </w:p>
    <w:p>
      <w:pPr>
        <w:widowControl/>
      </w:pPr>
      <w:r>
        <w:t>The default finite fixture contains A, B, goal G and danger D. A and B produce the same observation. From A, left reaches G and right reaches D. From B, the directions are reversed. Both states are individually controllable with full knowledge. With the shared observation there is no common safe one-step action. Revealing whether the state is A or B restores feasibility in this fixture.</w:t>
      </w:r>
    </w:p>
    <w:p>
      <w:pPr>
        <w:pStyle w:val="Heading2"/>
      </w:pPr>
      <w:r>
        <w:t>The quantifier is implemented</w:t>
      </w:r>
    </w:p>
    <w:p>
      <w:pPr>
        <w:pStyle w:val="Code"/>
      </w:pPr>
      <w:r>
        <w:t>Exists ONE observation-based policy</w:t>
      </w:r>
    </w:p>
    <w:p>
      <w:pPr>
        <w:pStyle w:val="Code"/>
      </w:pPr>
      <w:r>
        <w:t>such that, for ALL admitted hidden states and</w:t>
      </w:r>
    </w:p>
    <w:p>
      <w:pPr>
        <w:pStyle w:val="Code"/>
      </w:pPr>
      <w:r>
        <w:t>ALL nondeterministic successor choices,</w:t>
      </w:r>
    </w:p>
    <w:p>
      <w:pPr>
        <w:pStyle w:val="Code"/>
      </w:pPr>
      <w:r>
        <w:t>the path is safe and the terminal state is a goal.</w:t>
      </w:r>
    </w:p>
    <w:p>
      <w:pPr>
        <w:widowControl/>
      </w:pPr>
      <w:r>
        <w:t>The solver maintains a belief: the set of states consistent with observed history. A candidate action must be enabled in every state of the belief. All possible successors are retained, then partitioned by the next observation. The action succeeds only if every resulting nonempty belief has a successful continuation.</w:t>
      </w:r>
    </w:p>
    <w:p>
      <w:pPr>
        <w:widowControl/>
      </w:pPr>
      <w:r>
        <w:t>At every step all possible states must be safe. At the declared terminal time all must be goals. Reaching a goal early does not automatically stop the model; maintaining feasibility for the remaining horizon still matters unless the declared goal dynamics permit staying there.</w:t>
      </w:r>
    </w:p>
    <w:p>
      <w:pPr>
        <w:pStyle w:val="Heading2"/>
      </w:pPr>
      <w:r>
        <w:t>Cost and computation limits</w:t>
      </w:r>
    </w:p>
    <w:p>
      <w:pPr>
        <w:widowControl/>
      </w:pPr>
      <w:r>
        <w:t>Each step charges the maximum state-dependent action cost in the current belief. Costs are not additional observations. This conservative budget convention is part of the guarantee; the solver does not claim the less conservative result of tracking exact hidden-path expenditures.</w:t>
      </w:r>
    </w:p>
    <w:p>
      <w:pPr>
        <w:widowControl/>
      </w:pPr>
      <w:r>
        <w:t>The implementation supports at most 32 states, eight actions, a horizon of 12, integer budget 50 and 50,000 memoized belief nodes. A work-limit failure is not returned as infeasibility. The exactness claim concerns the admitted finite model and cost semantics, not continuous physiology or a patient's treatment opportunities. The returned policy tree explains which action follows each observation when a solution exists.</w:t>
      </w:r>
    </w:p>
    <w:p>
      <w:r>
        <w:br w:type="page"/>
      </w:r>
    </w:p>
    <w:p>
      <w:pPr>
        <w:pStyle w:val="Heading1"/>
      </w:pPr>
      <w:r>
        <w:t>08 | When state compression preserves the task</w:t>
      </w:r>
    </w:p>
    <w:p>
      <w:pPr>
        <w:widowControl/>
      </w:pPr>
      <w:r>
        <w:t>The book's future-equivalence discussion motivates a practical question: which distinctions may be removed without changing the future experiment? Observation, actions, horizon, costs and success conditions must be fixed first. Without that scope, equivalence is an undefined promise. [B1]</w:t>
      </w:r>
    </w:p>
    <w:p>
      <w:pPr>
        <w:pStyle w:val="Heading2"/>
      </w:pPr>
      <w:r>
        <w:t>A counterexample in two states</w:t>
      </w:r>
    </w:p>
    <w:p>
      <w:pPr>
        <w:widowControl/>
      </w:pPr>
      <w:r>
        <w:t>In the abstraction fixture A and B have the same observation and self-loop under the same action. A is safe and a goal; B is neither. An output-only partition merges them because their displayed behavior is identical. A task-aware partition separates them because the property needed for the decision differs.</w:t>
      </w:r>
    </w:p>
    <w:p>
      <w:pPr>
        <w:widowControl/>
      </w:pPr>
      <w:r>
        <w:t>The example demonstrates why matching predictions does not automatically preserve feasible action. Hidden constraints can matter even when the visible output does not change. The same problem appears when coarse-graining away a resource variable, a budget restriction or an allowed-action distinction.</w:t>
      </w:r>
    </w:p>
    <w:p>
      <w:pPr>
        <w:pStyle w:val="Heading2"/>
      </w:pPr>
      <w:r>
        <w:t>Implemented partition refinement</w:t>
      </w:r>
    </w:p>
    <w:p>
      <w:pPr>
        <w:widowControl/>
      </w:pPr>
      <w:r>
        <w:t>The routine starts with output labels and, in task-aware mode, safe/goal flags. It groups states by enabled actions, their costs and the set of successor blocks. Whenever those signatures differ, the group splits. Repetition stops when no group changes. In the supplied finite system this is a stable bisimulation partition for the declared signature.</w:t>
      </w:r>
    </w:p>
    <w:p>
      <w:pPr>
        <w:widowControl/>
      </w:pPr>
      <w:r>
        <w:t>The partition trace is exported, not just the final group count. A reader can inspect the first distinction that forces two states apart. Enabled actions are preserved; a missing action is not silently replaced with a zero-cost action. Nondeterministic successors are compared as sets, not as unprovided probability distributions.</w:t>
      </w:r>
    </w:p>
    <w:p>
      <w:pPr>
        <w:pStyle w:val="Heading2"/>
      </w:pPr>
      <w:r>
        <w:t>What the claim does not cover</w:t>
      </w:r>
    </w:p>
    <w:p>
      <w:pPr>
        <w:widowControl/>
      </w:pPr>
      <w:r>
        <w:t>This exact finite relation is not an epsilon-clustering result, a universal quotient of all continuous liver histories or a demonstrated minimum-state representation of nature. Approximate closeness need not be transitive. A new task, more precise observation or an added action can require refining a formerly adequate partition.</w:t>
      </w:r>
    </w:p>
    <w:p>
      <w:pPr>
        <w:widowControl/>
      </w:pPr>
      <w:r>
        <w:t>To connect this finite module to a continuous model, an extension must supply an abstraction map, error bounds, observation semantics and a proof or test of the task properties it preserves. This release does not invent that bridge. It supplies a runnable counterexample and exact finite operator with which to examine the missing conditions.</w:t>
      </w:r>
    </w:p>
    <w:p>
      <w:r>
        <w:br w:type="page"/>
      </w:r>
    </w:p>
    <w:p>
      <w:pPr>
        <w:pStyle w:val="Heading1"/>
      </w:pPr>
      <w:r>
        <w:t>09 | Physical ledgers and discriminating fields</w:t>
      </w:r>
    </w:p>
    <w:p>
      <w:pPr>
        <w:widowControl/>
      </w:pPr>
      <w:r>
        <w:t>The spatial model is a chain of compartments, not an anatomical reconstruction. The default has 24 cells sharing one liter of total volume, a flow of .6 L/h, inlet concentration of 1 mmol/L and first-order reaction rate .8/h. Neighbor mixing is explicit. A one-cell comparison uses the same total volume, flow and reaction rate.</w:t>
      </w:r>
    </w:p>
    <w:p>
      <w:pPr>
        <w:widowControl/>
      </w:pPr>
      <w:r>
        <w:t>Concentration is measured in mmol/L and amount in mmol. Internal fluxes enter neighboring cells with opposite signs. Summing the finite-volume updates therefore cancels internal transfers. The ledger records initial amount, input, output, reacted amount and final storage. Its residual is:</w:t>
      </w:r>
    </w:p>
    <w:p>
      <w:pPr>
        <w:pStyle w:val="Code"/>
      </w:pPr>
      <w:r>
        <w:t>final - initial - input + output + reacted</w:t>
      </w:r>
    </w:p>
    <w:p>
      <w:pPr>
        <w:widowControl/>
      </w:pPr>
      <w:r>
        <w:t>The release residual is about -2.03e-13 mmol. This checks discrete accounting, not anatomical accuracy. Spatial and well-mixed models produce different outlet values, demonstrating that total inputs alone do not determine an output once transport structure changes. Positivity is protected by a step restriction rather than hidden clipping.</w:t>
      </w:r>
    </w:p>
    <w:p>
      <w:pPr>
        <w:pStyle w:val="Heading2"/>
      </w:pPr>
      <w:r>
        <w:t>Energy is a different ledger</w:t>
      </w:r>
    </w:p>
    <w:p>
      <w:pPr>
        <w:widowControl/>
      </w:pPr>
      <w:r>
        <w:t>A boundary balance records input minus output, useful work, heat loss and storage rate in watts. A separate isothermal, uncoupled reaction uses deltaG=deltaG0+RT ln(Q) and entropy production=-v deltaG/T. Q uses dimensionless activities. An uphill uncoupled forward flux fails this contract; a coupled network must instead be examined jointly.</w:t>
      </w:r>
    </w:p>
    <w:p>
      <w:pPr>
        <w:widowControl/>
      </w:pPr>
      <w:r>
        <w:t>The chapter-18 reserve variable is not converted into joules or ATP. Its name does not provide a physical calibration. Neither balanced energy nor increased local order is a moral value score.</w:t>
      </w:r>
    </w:p>
    <w:p>
      <w:pPr>
        <w:pStyle w:val="Heading2"/>
      </w:pPr>
      <w:r>
        <w:t>Stronger information-field hypotheses</w:t>
      </w:r>
    </w:p>
    <w:p>
      <w:pPr>
        <w:widowControl/>
      </w:pPr>
      <w:r>
        <w:t>A proposal must identify degrees of freedom, units, an evolution equation, coupling, an observable, a null model, a discriminating prediction and a failure condition. The field-contract validator checks whether those statements are present and labels the result a hypothesis. It does not solve an arbitrary symbolic equation or declare a new field discovered. A useful next experiment must distinguish the additional structure from existing mechanisms rather than giving unexplained residuals a new name.</w:t>
      </w:r>
    </w:p>
    <w:p>
      <w:r>
        <w:br w:type="page"/>
      </w:r>
    </w:p>
    <w:p>
      <w:pPr>
        <w:pStyle w:val="Heading1"/>
      </w:pPr>
      <w:r>
        <w:t>10 | Evidence corrections with real consequences</w:t>
      </w:r>
    </w:p>
    <w:p>
      <w:pPr>
        <w:widowControl/>
      </w:pPr>
      <w:r>
        <w:t>The local ledger turns source history into operational consequences. Each node has an immutable ID, a kind, a DIKWP layer, a statement, dependencies and a declared scope. Every dependency must already exist, preventing cycles through forward references. New evidence versions receive new IDs; previous history is not overwritten.</w:t>
      </w:r>
    </w:p>
    <w:p>
      <w:pPr>
        <w:pStyle w:val="Heading2"/>
      </w:pPr>
      <w:r>
        <w:t>DIKWP as a connected research structure</w:t>
      </w:r>
    </w:p>
    <w:p>
      <w:pPr>
        <w:widowControl/>
      </w:pPr>
      <w:r>
        <w:t>D preserves source records and their origin. I preserves computed observations and relations. K identifies model contracts. W records consequence-sensitive interpretation and admissibility. P identifies an experimental purpose or question. These are useful roles, not a ladder that automatically turns data into truth or proves that an organ has human intentions.</w:t>
      </w:r>
    </w:p>
    <w:p>
      <w:pPr>
        <w:widowControl/>
      </w:pPr>
      <w:r>
        <w:t>The demonstration links a source to a model, result, claim and follow-up experiment. Invalidating the source marks all four descendants review_required. An unrelated node remains unchanged. A newly added dependent of invalid evidence also requires review. A local reviewer cannot simply relabel the affected node as approved; corrected evidence needs a new version and recomputation.</w:t>
      </w:r>
    </w:p>
    <w:p>
      <w:pPr>
        <w:pStyle w:val="Heading2"/>
      </w:pPr>
      <w:r>
        <w:t>Scope is part of the dependency</w:t>
      </w:r>
    </w:p>
    <w:p>
      <w:pPr>
        <w:widowControl/>
      </w:pPr>
      <w:r>
        <w:t>Species, data kind and units must match the conservative transfer contract. A mismatch prevents simple promotion. Synthetic records cannot be presented as reported empirical evidence. Matching scope is necessary for this implementation, but it is not proof that a statement is true. Legitimate cross-scale research may need a new, explicitly reviewed transfer contract because an exact-match rule can over-block useful work.</w:t>
      </w:r>
    </w:p>
    <w:p>
      <w:pPr>
        <w:widowControl/>
      </w:pPr>
      <w:r>
        <w:t>The V2 file adapter accepts original synthetic fixtures following the inspected scenario/records schema. It preserves upstream quality as an uncalibrated annotation. It does not infer a probability, call an upstream service, import patient records or create a live hospital integration.</w:t>
      </w:r>
    </w:p>
    <w:p>
      <w:pPr>
        <w:pStyle w:val="Heading2"/>
      </w:pPr>
      <w:r>
        <w:t>Integrity is not authority</w:t>
      </w:r>
    </w:p>
    <w:p>
      <w:pPr>
        <w:widowControl/>
      </w:pPr>
      <w:r>
        <w:t>SQLite transactions serialize individual append operations. Events form a SHA-256 chain over canonical payloads and previous hashes. An independently retained head detects tampering or truncation relative to that head. Reviewer names remain local assertions, not authenticated identities. A hostile administrator who changes the database, source and every retained digest is outside the guarantee. A hash cannot make an unsupported scientific claim true.</w:t>
      </w:r>
    </w:p>
    <w:p>
      <w:r>
        <w:br w:type="page"/>
      </w:r>
    </w:p>
    <w:p>
      <w:pPr>
        <w:pStyle w:val="Heading1"/>
      </w:pPr>
      <w:r>
        <w:t>11 | Interfaces, contracts and operator controls</w:t>
      </w:r>
    </w:p>
    <w:p>
      <w:pPr>
        <w:widowControl/>
      </w:pPr>
      <w:r>
        <w:t>The CLI, Python API and browser console call the same scientific functions. The interface is not a separate implementation that could silently display different calculations. Complete run outputs carry model names, parameters, horizons and scope statements.</w:t>
      </w:r>
    </w:p>
    <w:tbl>
      <w:tblPr>
        <w:tblStyle w:val="LightShading-Accent1"/>
        <w:tblW w:type="auto" w:w="0"/>
        <w:tblLook w:firstColumn="1" w:firstRow="1" w:lastColumn="0" w:lastRow="0" w:noHBand="0" w:noVBand="1" w:val="04A0"/>
      </w:tblPr>
      <w:tblGrid>
        <w:gridCol w:w="3230"/>
        <w:gridCol w:w="3230"/>
        <w:gridCol w:w="3230"/>
      </w:tblGrid>
      <w:tr>
        <w:trPr>
          <w:cantSplit/>
          <w:tblHeader/>
        </w:trPr>
        <w:tc>
          <w:tcPr>
            <w:tcW w:type="dxa" w:w="3230"/>
          </w:tcPr>
          <w:p>
            <w:pPr>
              <w:spacing w:after="80" w:before="60" w:line="240" w:lineRule="auto"/>
            </w:pPr>
            <w:r>
              <w:rPr>
                <w:sz w:val="18"/>
              </w:rPr>
              <w:t>Interface</w:t>
            </w:r>
          </w:p>
        </w:tc>
        <w:tc>
          <w:tcPr>
            <w:tcW w:type="dxa" w:w="3230"/>
          </w:tcPr>
          <w:p>
            <w:pPr>
              <w:spacing w:after="80" w:before="60" w:line="240" w:lineRule="auto"/>
            </w:pPr>
            <w:r>
              <w:rPr>
                <w:sz w:val="18"/>
              </w:rPr>
              <w:t>Main use</w:t>
            </w:r>
          </w:p>
        </w:tc>
        <w:tc>
          <w:tcPr>
            <w:tcW w:type="dxa" w:w="3230"/>
          </w:tcPr>
          <w:p>
            <w:pPr>
              <w:spacing w:after="80" w:before="60" w:line="240" w:lineRule="auto"/>
            </w:pPr>
            <w:r>
              <w:rPr>
                <w:sz w:val="18"/>
              </w:rPr>
              <w:t>Important contract</w:t>
            </w:r>
          </w:p>
        </w:tc>
      </w:tr>
      <w:tr>
        <w:trPr>
          <w:cantSplit/>
        </w:trPr>
        <w:tc>
          <w:tcPr>
            <w:tcW w:type="dxa" w:w="3230"/>
          </w:tcPr>
          <w:p>
            <w:pPr>
              <w:spacing w:after="80" w:before="60" w:line="240" w:lineRule="auto"/>
            </w:pPr>
            <w:r>
              <w:rPr>
                <w:sz w:val="18"/>
              </w:rPr>
              <w:t>CLI simulate/compare</w:t>
            </w:r>
          </w:p>
        </w:tc>
        <w:tc>
          <w:tcPr>
            <w:tcW w:type="dxa" w:w="3230"/>
          </w:tcPr>
          <w:p>
            <w:pPr>
              <w:spacing w:after="80" w:before="60" w:line="240" w:lineRule="auto"/>
            </w:pPr>
            <w:r>
              <w:rPr>
                <w:sz w:val="18"/>
              </w:rPr>
              <w:t>Recompute a declared scenario</w:t>
            </w:r>
          </w:p>
        </w:tc>
        <w:tc>
          <w:tcPr>
            <w:tcW w:type="dxa" w:w="3230"/>
          </w:tcPr>
          <w:p>
            <w:pPr>
              <w:spacing w:after="80" w:before="60" w:line="240" w:lineRule="auto"/>
            </w:pPr>
            <w:r>
              <w:rPr>
                <w:sz w:val="18"/>
              </w:rPr>
              <w:t>Finite named model family; strict JSON</w:t>
            </w:r>
          </w:p>
        </w:tc>
      </w:tr>
      <w:tr>
        <w:trPr>
          <w:cantSplit/>
        </w:trPr>
        <w:tc>
          <w:tcPr>
            <w:tcW w:type="dxa" w:w="3230"/>
          </w:tcPr>
          <w:p>
            <w:pPr>
              <w:spacing w:after="80" w:before="60" w:line="240" w:lineRule="auto"/>
            </w:pPr>
            <w:r>
              <w:rPr>
                <w:sz w:val="18"/>
              </w:rPr>
              <w:t>CLI benchmark</w:t>
            </w:r>
          </w:p>
        </w:tc>
        <w:tc>
          <w:tcPr>
            <w:tcW w:type="dxa" w:w="3230"/>
          </w:tcPr>
          <w:p>
            <w:pPr>
              <w:spacing w:after="80" w:before="60" w:line="240" w:lineRule="auto"/>
            </w:pPr>
            <w:r>
              <w:rPr>
                <w:sz w:val="18"/>
              </w:rPr>
              <w:t>Compare whole trajectories</w:t>
            </w:r>
          </w:p>
        </w:tc>
        <w:tc>
          <w:tcPr>
            <w:tcW w:type="dxa" w:w="3230"/>
          </w:tcPr>
          <w:p>
            <w:pPr>
              <w:spacing w:after="80" w:before="60" w:line="240" w:lineRule="auto"/>
            </w:pPr>
            <w:r>
              <w:rPr>
                <w:sz w:val="18"/>
              </w:rPr>
              <w:t>Train/development/audit separation</w:t>
            </w:r>
          </w:p>
        </w:tc>
      </w:tr>
      <w:tr>
        <w:trPr>
          <w:cantSplit/>
        </w:trPr>
        <w:tc>
          <w:tcPr>
            <w:tcW w:type="dxa" w:w="3230"/>
          </w:tcPr>
          <w:p>
            <w:pPr>
              <w:spacing w:after="80" w:before="60" w:line="240" w:lineRule="auto"/>
            </w:pPr>
            <w:r>
              <w:rPr>
                <w:sz w:val="18"/>
              </w:rPr>
              <w:t>CLI solve</w:t>
            </w:r>
          </w:p>
        </w:tc>
        <w:tc>
          <w:tcPr>
            <w:tcW w:type="dxa" w:w="3230"/>
          </w:tcPr>
          <w:p>
            <w:pPr>
              <w:spacing w:after="80" w:before="60" w:line="240" w:lineRule="auto"/>
            </w:pPr>
            <w:r>
              <w:rPr>
                <w:sz w:val="18"/>
              </w:rPr>
              <w:t>Solve a finite belief game</w:t>
            </w:r>
          </w:p>
        </w:tc>
        <w:tc>
          <w:tcPr>
            <w:tcW w:type="dxa" w:w="3230"/>
          </w:tcPr>
          <w:p>
            <w:pPr>
              <w:spacing w:after="80" w:before="60" w:line="240" w:lineRule="auto"/>
            </w:pPr>
            <w:r>
              <w:rPr>
                <w:sz w:val="18"/>
              </w:rPr>
              <w:t>Safe/goal sets, costs, transitions</w:t>
            </w:r>
          </w:p>
        </w:tc>
      </w:tr>
      <w:tr>
        <w:trPr>
          <w:cantSplit/>
        </w:trPr>
        <w:tc>
          <w:tcPr>
            <w:tcW w:type="dxa" w:w="3230"/>
          </w:tcPr>
          <w:p>
            <w:pPr>
              <w:spacing w:after="80" w:before="60" w:line="240" w:lineRule="auto"/>
            </w:pPr>
            <w:r>
              <w:rPr>
                <w:sz w:val="18"/>
              </w:rPr>
              <w:t>CLI import-v2</w:t>
            </w:r>
          </w:p>
        </w:tc>
        <w:tc>
          <w:tcPr>
            <w:tcW w:type="dxa" w:w="3230"/>
          </w:tcPr>
          <w:p>
            <w:pPr>
              <w:spacing w:after="80" w:before="60" w:line="240" w:lineRule="auto"/>
            </w:pPr>
            <w:r>
              <w:rPr>
                <w:sz w:val="18"/>
              </w:rPr>
              <w:t>Import a synthetic schema fixture</w:t>
            </w:r>
          </w:p>
        </w:tc>
        <w:tc>
          <w:tcPr>
            <w:tcW w:type="dxa" w:w="3230"/>
          </w:tcPr>
          <w:p>
            <w:pPr>
              <w:spacing w:after="80" w:before="60" w:line="240" w:lineRule="auto"/>
            </w:pPr>
            <w:r>
              <w:rPr>
                <w:sz w:val="18"/>
              </w:rPr>
              <w:t>New dedicated ledger; quality is annotation</w:t>
            </w:r>
          </w:p>
        </w:tc>
      </w:tr>
      <w:tr>
        <w:trPr>
          <w:cantSplit/>
        </w:trPr>
        <w:tc>
          <w:tcPr>
            <w:tcW w:type="dxa" w:w="3230"/>
          </w:tcPr>
          <w:p>
            <w:pPr>
              <w:spacing w:after="80" w:before="60" w:line="240" w:lineRule="auto"/>
            </w:pPr>
            <w:r>
              <w:rPr>
                <w:sz w:val="18"/>
              </w:rPr>
              <w:t>Python API</w:t>
            </w:r>
          </w:p>
        </w:tc>
        <w:tc>
          <w:tcPr>
            <w:tcW w:type="dxa" w:w="3230"/>
          </w:tcPr>
          <w:p>
            <w:pPr>
              <w:spacing w:after="80" w:before="60" w:line="240" w:lineRule="auto"/>
            </w:pPr>
            <w:r>
              <w:rPr>
                <w:sz w:val="18"/>
              </w:rPr>
              <w:t>Compose research modules</w:t>
            </w:r>
          </w:p>
        </w:tc>
        <w:tc>
          <w:tcPr>
            <w:tcW w:type="dxa" w:w="3230"/>
          </w:tcPr>
          <w:p>
            <w:pPr>
              <w:spacing w:after="80" w:before="60" w:line="240" w:lineRule="auto"/>
            </w:pPr>
            <w:r>
              <w:rPr>
                <w:sz w:val="18"/>
              </w:rPr>
              <w:t>Trusted local code, not uploaded plugins</w:t>
            </w:r>
          </w:p>
        </w:tc>
      </w:tr>
      <w:tr>
        <w:trPr>
          <w:cantSplit/>
        </w:trPr>
        <w:tc>
          <w:tcPr>
            <w:tcW w:type="dxa" w:w="3230"/>
          </w:tcPr>
          <w:p>
            <w:pPr>
              <w:spacing w:after="80" w:before="60" w:line="240" w:lineRule="auto"/>
            </w:pPr>
            <w:r>
              <w:rPr>
                <w:sz w:val="18"/>
              </w:rPr>
              <w:t>Local HTTP</w:t>
            </w:r>
          </w:p>
        </w:tc>
        <w:tc>
          <w:tcPr>
            <w:tcW w:type="dxa" w:w="3230"/>
          </w:tcPr>
          <w:p>
            <w:pPr>
              <w:spacing w:after="80" w:before="60" w:line="240" w:lineRule="auto"/>
            </w:pPr>
            <w:r>
              <w:rPr>
                <w:sz w:val="18"/>
              </w:rPr>
              <w:t>Interactive computation</w:t>
            </w:r>
          </w:p>
        </w:tc>
        <w:tc>
          <w:tcPr>
            <w:tcW w:type="dxa" w:w="3230"/>
          </w:tcPr>
          <w:p>
            <w:pPr>
              <w:spacing w:after="80" w:before="60" w:line="240" w:lineRule="auto"/>
            </w:pPr>
            <w:r>
              <w:rPr>
                <w:sz w:val="18"/>
              </w:rPr>
              <w:t>Fixed routes; no arbitrary path parameter</w:t>
            </w:r>
          </w:p>
        </w:tc>
      </w:tr>
    </w:tbl>
    <w:p>
      <w:pPr>
        <w:widowControl/>
      </w:pPr>
      <w:r>
        <w:t>Scenario JSON may change initial conditions, control intervals and the declared parameters. Unknown keys, duplicate keys, nonfinite numbers and boolean-as-number inputs are rejected. Requests cannot contain code to evaluate, native plugins or shell commands. Complete capsule creation requires a new directory; explicit named JSON exports are atomic.</w:t>
      </w:r>
    </w:p>
    <w:p>
      <w:pPr>
        <w:widowControl/>
      </w:pPr>
      <w:r>
        <w:t>GET / returns the console and a random per-server token. GET /api/catalog returns the six scenarios and three model names. POST /api/simulate accepts a scenario, model and optional bounded memory or repair multiplier. POST /api/lab invokes one of six fixed laboratories. It does not accept filenames or external URLs.</w:t>
      </w:r>
    </w:p>
    <w:p>
      <w:pPr>
        <w:widowControl/>
      </w:pPr>
      <w:r>
        <w:t>POST requests require exact Host and Origin headers, one valid session token, a JSON content type, one Content-Length and at most 16,384 bytes. The server binds to 127.0.0.1 only. Request contents and tokens are not written to application logs. A content security policy limits browser resource and script loading.</w:t>
      </w:r>
    </w:p>
    <w:p>
      <w:pPr>
        <w:widowControl/>
      </w:pPr>
      <w:r>
        <w:t>This is a serial, bounded standard-library server. It is not an internet-facing gateway, a multiuser clinical system or an operating-system sandbox. Do not expose it through a tunnel or public proxy. All user inputs and generated examples should remain synthetic within the tested contracts. The delivered code performs no remote publication or model deployment.</w:t>
      </w:r>
    </w:p>
    <w:p>
      <w:r>
        <w:br w:type="page"/>
      </w:r>
    </w:p>
    <w:p>
      <w:pPr>
        <w:pStyle w:val="Heading1"/>
      </w:pPr>
      <w:r>
        <w:t>12 | What was actually verified</w:t>
      </w:r>
    </w:p>
    <w:p>
      <w:pPr>
        <w:widowControl/>
      </w:pPr>
      <w:r>
        <w:t>The validation directory contains executable tests and machine-readable records, not a badge copied from a prior version. The final suite ran 133 tests with zero failures, errors or skips on Linux with Python 3.13.5.</w:t>
      </w:r>
    </w:p>
    <w:tbl>
      <w:tblPr>
        <w:tblStyle w:val="LightShading-Accent1"/>
        <w:tblW w:type="auto" w:w="0"/>
        <w:tblLook w:firstColumn="1" w:firstRow="1" w:lastColumn="0" w:lastRow="0" w:noHBand="0" w:noVBand="1" w:val="04A0"/>
      </w:tblPr>
      <w:tblGrid>
        <w:gridCol w:w="4845"/>
        <w:gridCol w:w="4845"/>
      </w:tblGrid>
      <w:tr>
        <w:trPr>
          <w:cantSplit/>
          <w:tblHeader/>
        </w:trPr>
        <w:tc>
          <w:tcPr>
            <w:tcW w:type="dxa" w:w="4845"/>
          </w:tcPr>
          <w:p>
            <w:pPr>
              <w:spacing w:after="80" w:before="60" w:line="240" w:lineRule="auto"/>
            </w:pPr>
            <w:r>
              <w:rPr>
                <w:sz w:val="18"/>
              </w:rPr>
              <w:t>Verification</w:t>
            </w:r>
          </w:p>
        </w:tc>
        <w:tc>
          <w:tcPr>
            <w:tcW w:type="dxa" w:w="4845"/>
          </w:tcPr>
          <w:p>
            <w:pPr>
              <w:spacing w:after="80" w:before="60" w:line="240" w:lineRule="auto"/>
            </w:pPr>
            <w:r>
              <w:rPr>
                <w:sz w:val="18"/>
              </w:rPr>
              <w:t>Observed result</w:t>
            </w:r>
          </w:p>
        </w:tc>
      </w:tr>
      <w:tr>
        <w:trPr>
          <w:cantSplit/>
        </w:trPr>
        <w:tc>
          <w:tcPr>
            <w:tcW w:type="dxa" w:w="4845"/>
          </w:tcPr>
          <w:p>
            <w:pPr>
              <w:spacing w:after="80" w:before="60" w:line="240" w:lineRule="auto"/>
            </w:pPr>
            <w:r>
              <w:rPr>
                <w:sz w:val="18"/>
              </w:rPr>
              <w:t>Numerical reference</w:t>
            </w:r>
          </w:p>
        </w:tc>
        <w:tc>
          <w:tcPr>
            <w:tcW w:type="dxa" w:w="4845"/>
          </w:tcPr>
          <w:p>
            <w:pPr>
              <w:spacing w:after="80" w:before="60" w:line="240" w:lineRule="auto"/>
            </w:pPr>
            <w:r>
              <w:rPr>
                <w:sz w:val="18"/>
              </w:rPr>
              <w:t>Six terminal states agree with the book's adaptive implementation within 5.23e-12</w:t>
            </w:r>
          </w:p>
        </w:tc>
      </w:tr>
      <w:tr>
        <w:trPr>
          <w:cantSplit/>
        </w:trPr>
        <w:tc>
          <w:tcPr>
            <w:tcW w:type="dxa" w:w="4845"/>
          </w:tcPr>
          <w:p>
            <w:pPr>
              <w:spacing w:after="80" w:before="60" w:line="240" w:lineRule="auto"/>
            </w:pPr>
            <w:r>
              <w:rPr>
                <w:sz w:val="18"/>
              </w:rPr>
              <w:t>Vector field</w:t>
            </w:r>
          </w:p>
        </w:tc>
        <w:tc>
          <w:tcPr>
            <w:tcW w:type="dxa" w:w="4845"/>
          </w:tcPr>
          <w:p>
            <w:pPr>
              <w:spacing w:after="80" w:before="60" w:line="240" w:lineRule="auto"/>
            </w:pPr>
            <w:r>
              <w:rPr>
                <w:sz w:val="18"/>
              </w:rPr>
              <w:t>200 sampled state/input comparisons have zero observed difference</w:t>
            </w:r>
          </w:p>
        </w:tc>
      </w:tr>
      <w:tr>
        <w:trPr>
          <w:cantSplit/>
        </w:trPr>
        <w:tc>
          <w:tcPr>
            <w:tcW w:type="dxa" w:w="4845"/>
          </w:tcPr>
          <w:p>
            <w:pPr>
              <w:spacing w:after="80" w:before="60" w:line="240" w:lineRule="auto"/>
            </w:pPr>
            <w:r>
              <w:rPr>
                <w:sz w:val="18"/>
              </w:rPr>
              <w:t>Positive model fixture</w:t>
            </w:r>
          </w:p>
        </w:tc>
        <w:tc>
          <w:tcPr>
            <w:tcW w:type="dxa" w:w="4845"/>
          </w:tcPr>
          <w:p>
            <w:pPr>
              <w:spacing w:after="80" w:before="60" w:line="240" w:lineRule="auto"/>
            </w:pPr>
            <w:r>
              <w:rPr>
                <w:sz w:val="18"/>
              </w:rPr>
              <w:t>Dynamic-history model selected; all alternatives reported</w:t>
            </w:r>
          </w:p>
        </w:tc>
      </w:tr>
      <w:tr>
        <w:trPr>
          <w:cantSplit/>
        </w:trPr>
        <w:tc>
          <w:tcPr>
            <w:tcW w:type="dxa" w:w="4845"/>
          </w:tcPr>
          <w:p>
            <w:pPr>
              <w:spacing w:after="80" w:before="60" w:line="240" w:lineRule="auto"/>
            </w:pPr>
            <w:r>
              <w:rPr>
                <w:sz w:val="18"/>
              </w:rPr>
              <w:t>Negative control</w:t>
            </w:r>
          </w:p>
        </w:tc>
        <w:tc>
          <w:tcPr>
            <w:tcW w:type="dxa" w:w="4845"/>
          </w:tcPr>
          <w:p>
            <w:pPr>
              <w:spacing w:after="80" w:before="60" w:line="240" w:lineRule="auto"/>
            </w:pPr>
            <w:r>
              <w:rPr>
                <w:sz w:val="18"/>
              </w:rPr>
              <w:t>Erased-history model selected; observations coincide</w:t>
            </w:r>
          </w:p>
        </w:tc>
      </w:tr>
      <w:tr>
        <w:trPr>
          <w:cantSplit/>
        </w:trPr>
        <w:tc>
          <w:tcPr>
            <w:tcW w:type="dxa" w:w="4845"/>
          </w:tcPr>
          <w:p>
            <w:pPr>
              <w:spacing w:after="80" w:before="60" w:line="240" w:lineRule="auto"/>
            </w:pPr>
            <w:r>
              <w:rPr>
                <w:sz w:val="18"/>
              </w:rPr>
              <w:t>Hidden-state policy</w:t>
            </w:r>
          </w:p>
        </w:tc>
        <w:tc>
          <w:tcPr>
            <w:tcW w:type="dxa" w:w="4845"/>
          </w:tcPr>
          <w:p>
            <w:pPr>
              <w:spacing w:after="80" w:before="60" w:line="240" w:lineRule="auto"/>
            </w:pPr>
            <w:r>
              <w:rPr>
                <w:sz w:val="18"/>
              </w:rPr>
              <w:t>Individual feasibility true; common hidden policy false; revealing observation restores feasibility</w:t>
            </w:r>
          </w:p>
        </w:tc>
      </w:tr>
      <w:tr>
        <w:trPr>
          <w:cantSplit/>
        </w:trPr>
        <w:tc>
          <w:tcPr>
            <w:tcW w:type="dxa" w:w="4845"/>
          </w:tcPr>
          <w:p>
            <w:pPr>
              <w:spacing w:after="80" w:before="60" w:line="240" w:lineRule="auto"/>
            </w:pPr>
            <w:r>
              <w:rPr>
                <w:sz w:val="18"/>
              </w:rPr>
              <w:t>Correction propagation</w:t>
            </w:r>
          </w:p>
        </w:tc>
        <w:tc>
          <w:tcPr>
            <w:tcW w:type="dxa" w:w="4845"/>
          </w:tcPr>
          <w:p>
            <w:pPr>
              <w:spacing w:after="80" w:before="60" w:line="240" w:lineRule="auto"/>
            </w:pPr>
            <w:r>
              <w:rPr>
                <w:sz w:val="18"/>
              </w:rPr>
              <w:t>Four dependent nodes require review after source invalidation</w:t>
            </w:r>
          </w:p>
        </w:tc>
      </w:tr>
      <w:tr>
        <w:trPr>
          <w:cantSplit/>
        </w:trPr>
        <w:tc>
          <w:tcPr>
            <w:tcW w:type="dxa" w:w="4845"/>
          </w:tcPr>
          <w:p>
            <w:pPr>
              <w:spacing w:after="80" w:before="60" w:line="240" w:lineRule="auto"/>
            </w:pPr>
            <w:r>
              <w:rPr>
                <w:sz w:val="18"/>
              </w:rPr>
              <w:t>Repeated source runs</w:t>
            </w:r>
          </w:p>
        </w:tc>
        <w:tc>
          <w:tcPr>
            <w:tcW w:type="dxa" w:w="4845"/>
          </w:tcPr>
          <w:p>
            <w:pPr>
              <w:spacing w:after="80" w:before="60" w:line="240" w:lineRule="auto"/>
            </w:pPr>
            <w:r>
              <w:rPr>
                <w:sz w:val="18"/>
              </w:rPr>
              <w:t>All 23 capsule payloads match byte for byte</w:t>
            </w:r>
          </w:p>
        </w:tc>
      </w:tr>
      <w:tr>
        <w:trPr>
          <w:cantSplit/>
        </w:trPr>
        <w:tc>
          <w:tcPr>
            <w:tcW w:type="dxa" w:w="4845"/>
          </w:tcPr>
          <w:p>
            <w:pPr>
              <w:spacing w:after="80" w:before="60" w:line="240" w:lineRule="auto"/>
            </w:pPr>
            <w:r>
              <w:rPr>
                <w:sz w:val="18"/>
              </w:rPr>
              <w:t>Executable archive</w:t>
            </w:r>
          </w:p>
        </w:tc>
        <w:tc>
          <w:tcPr>
            <w:tcW w:type="dxa" w:w="4845"/>
          </w:tcPr>
          <w:p>
            <w:pPr>
              <w:spacing w:after="80" w:before="60" w:line="240" w:lineRule="auto"/>
            </w:pPr>
            <w:r>
              <w:rPr>
                <w:sz w:val="18"/>
              </w:rPr>
              <w:t>Same 23 payloads as the source run</w:t>
            </w:r>
          </w:p>
        </w:tc>
      </w:tr>
      <w:tr>
        <w:trPr>
          <w:cantSplit/>
        </w:trPr>
        <w:tc>
          <w:tcPr>
            <w:tcW w:type="dxa" w:w="4845"/>
          </w:tcPr>
          <w:p>
            <w:pPr>
              <w:spacing w:after="80" w:before="60" w:line="240" w:lineRule="auto"/>
            </w:pPr>
            <w:r>
              <w:rPr>
                <w:sz w:val="18"/>
              </w:rPr>
              <w:t>Wheel</w:t>
            </w:r>
          </w:p>
        </w:tc>
        <w:tc>
          <w:tcPr>
            <w:tcW w:type="dxa" w:w="4845"/>
          </w:tcPr>
          <w:p>
            <w:pPr>
              <w:spacing w:after="80" w:before="60" w:line="240" w:lineRule="auto"/>
            </w:pPr>
            <w:r>
              <w:rPr>
                <w:sz w:val="18"/>
              </w:rPr>
              <w:t>Installed without dependency downloads in a fresh environment; demo and verification executed</w:t>
            </w:r>
          </w:p>
        </w:tc>
      </w:tr>
    </w:tbl>
    <w:p>
      <w:pPr>
        <w:widowControl/>
      </w:pPr>
      <w:r>
        <w:t>Tests cover malformed and nonfinite input, control boundaries, short horizons, no extrapolation, invariant checks, split leakage, audit-selection separation, finite games, scope mismatches, ledger tampering, manifest changes, empty CSV replacement and HTTP boundaries. Overflow and subnormal information cases are included rather than assumed away.</w:t>
      </w:r>
    </w:p>
    <w:p>
      <w:pPr>
        <w:pStyle w:val="Heading2"/>
      </w:pPr>
      <w:r>
        <w:t>Browser validation limitation</w:t>
      </w:r>
    </w:p>
    <w:p>
      <w:pPr>
        <w:widowControl/>
      </w:pPr>
      <w:r>
        <w:t>The managed browser prohibited direct loopback navigation. That restriction was not removed and a native end-to-end browser connection is not reported as successful. Instead, direct HTTP tests verified the actual server and its boundary checks. A browser document harness then rendered the unmodified release HTML and used an explicit test-only fetch bridge to exercise buttons against the real local HTTP server. JSON export and all six lab buttons were exercised with no page errors.</w:t>
      </w:r>
    </w:p>
    <w:p>
      <w:pPr>
        <w:widowControl/>
      </w:pPr>
      <w:r>
        <w:t>The harness checks UI behavior, not native browser network transport or actual CSP enforcement. Screenshots and the exact distinction are recorded in browser_validation.json. Windows, macOS, other Python versions, mobile layouts and remote GitHub CI were not executed in this environment. These remain explicit limits, not silently passed tests.</w:t>
      </w:r>
    </w:p>
    <w:p>
      <w:r>
        <w:br w:type="page"/>
      </w:r>
    </w:p>
    <w:p>
      <w:pPr>
        <w:pStyle w:val="Heading1"/>
      </w:pPr>
      <w:r>
        <w:t>13 | Reproduction, capsules and failure visibility</w:t>
      </w:r>
    </w:p>
    <w:p>
      <w:pPr>
        <w:widowControl/>
      </w:pPr>
      <w:r>
        <w:t>A complete experiment first writes into a temporary staging directory. It includes the six full trajectories, two protocols, competing-model results, step refinement, physical ledgers, finite-policy results, measurement design, sensitivity, a lineage database, source identity and an offline report. Only after sealing and verification is the staging directory renamed to the previously absent destination.</w:t>
      </w:r>
    </w:p>
    <w:p>
      <w:pPr>
        <w:widowControl/>
      </w:pPr>
      <w:r>
        <w:t>The manifest defines the exact expected payload set and each SHA-256 digest. Verification rejects altered, additional, missing or symlinked content. Retain a manifest digest separately when external integrity matters; an attacker who edits both a payload and its unanchored manifest can otherwise create a new self-consistent story.</w:t>
      </w:r>
    </w:p>
    <w:p>
      <w:pPr>
        <w:pStyle w:val="Code"/>
      </w:pPr>
      <w:r>
        <w:t>python -m hepatogenesis demo --out experiment-001 --samples 24</w:t>
      </w:r>
    </w:p>
    <w:p>
      <w:pPr>
        <w:pStyle w:val="Code"/>
      </w:pPr>
      <w:r>
        <w:t>python -m hepatogenesis verify experiment-001</w:t>
      </w:r>
    </w:p>
    <w:p>
      <w:pPr>
        <w:pStyle w:val="Code"/>
      </w:pPr>
      <w:r>
        <w:t>python -m hepatogenesis demo --out experiment-002 --samples 24</w:t>
      </w:r>
    </w:p>
    <w:p>
      <w:pPr>
        <w:pStyle w:val="Code"/>
      </w:pPr>
      <w:r>
        <w:t>python scripts/run_tests.py</w:t>
      </w:r>
    </w:p>
    <w:p>
      <w:pPr>
        <w:pStyle w:val="Code"/>
      </w:pPr>
      <w:r>
        <w:t>python scripts/reproduce_upstream_edge.py</w:t>
      </w:r>
    </w:p>
    <w:p>
      <w:pPr>
        <w:widowControl/>
      </w:pPr>
      <w:r>
        <w:t>Compare the two manifest files. Deterministic science records contain no incidental wall-clock timestamp. Runtime and source identities are still preserved. On another platform, floating-point details and SQLite bytes may differ; cross-platform bitwise equality is not promised. Compare declared numerical tolerances and environment metadata instead.</w:t>
      </w:r>
    </w:p>
    <w:p>
      <w:pPr>
        <w:pStyle w:val="Heading2"/>
      </w:pPr>
      <w:r>
        <w:t>Preserve unfavorable outcomes</w:t>
      </w:r>
    </w:p>
    <w:p>
      <w:pPr>
        <w:widowControl/>
      </w:pPr>
      <w:r>
        <w:t>The positive fixture is generated by its favored model, and the negative control deliberately removes the relevant history. Both are shipped. An audit failure should remain part of the research record. A parameter sweep is finite sampling, not a proof over all parameter values or a learned posterior. A numerical path check must not be promoted into a continuous-time certificate.</w:t>
      </w:r>
    </w:p>
    <w:p>
      <w:pPr>
        <w:widowControl/>
      </w:pPr>
      <w:r>
        <w:t>The zero-sensitivity option writes a header-only CSV. It cannot leave old sample rows behind. Existing complete run directories are not erased by the demo command. If a source is corrected, create a new node and a new capsule, preserving the former version and the reason for reopening it.</w:t>
      </w:r>
    </w:p>
    <w:p>
      <w:pPr>
        <w:widowControl/>
      </w:pPr>
      <w:r>
        <w:t>The book's separately controlled module is not redistributed. A portable optional audit script accepts only its recorded source identity, imports that explicitly trusted local file, and compares implementations. NumPy and SciPy are optional requirements of that audit, not runtime dependencies of HepatoGenesis.</w:t>
      </w:r>
    </w:p>
    <w:p>
      <w:r>
        <w:br w:type="page"/>
      </w:r>
    </w:p>
    <w:p>
      <w:pPr>
        <w:pStyle w:val="Heading1"/>
      </w:pPr>
      <w:r>
        <w:t>14 | The eighteen-chapter laboratory map</w:t>
      </w:r>
    </w:p>
    <w:p>
      <w:pPr>
        <w:widowControl/>
      </w:pPr>
      <w:r>
        <w:t>The detailed lab guide contains a command, learning objective, exercise and source hash for every chapter. This map is not a claim to numerically simulate every biological or cosmological process discussed in the book.</w:t>
      </w:r>
    </w:p>
    <w:tbl>
      <w:tblPr>
        <w:tblStyle w:val="LightShading-Accent1"/>
        <w:tblW w:type="auto" w:w="0"/>
        <w:tblLook w:firstColumn="1" w:firstRow="1" w:lastColumn="0" w:lastRow="0" w:noHBand="0" w:noVBand="1" w:val="04A0"/>
      </w:tblPr>
      <w:tblGrid>
        <w:gridCol w:w="3230"/>
        <w:gridCol w:w="3230"/>
        <w:gridCol w:w="3230"/>
      </w:tblGrid>
      <w:tr>
        <w:trPr>
          <w:cantSplit/>
          <w:tblHeader/>
        </w:trPr>
        <w:tc>
          <w:tcPr>
            <w:tcW w:type="dxa" w:w="3230"/>
          </w:tcPr>
          <w:p>
            <w:pPr>
              <w:spacing w:after="80" w:before="60" w:line="240" w:lineRule="auto"/>
            </w:pPr>
            <w:r>
              <w:rPr>
                <w:sz w:val="18"/>
              </w:rPr>
              <w:t>Chapter</w:t>
            </w:r>
          </w:p>
        </w:tc>
        <w:tc>
          <w:tcPr>
            <w:tcW w:type="dxa" w:w="3230"/>
          </w:tcPr>
          <w:p>
            <w:pPr>
              <w:spacing w:after="80" w:before="60" w:line="240" w:lineRule="auto"/>
            </w:pPr>
            <w:r>
              <w:rPr>
                <w:sz w:val="18"/>
              </w:rPr>
              <w:t>English topic</w:t>
            </w:r>
          </w:p>
        </w:tc>
        <w:tc>
          <w:tcPr>
            <w:tcW w:type="dxa" w:w="3230"/>
          </w:tcPr>
          <w:p>
            <w:pPr>
              <w:spacing w:after="80" w:before="60" w:line="240" w:lineRule="auto"/>
            </w:pPr>
            <w:r>
              <w:rPr>
                <w:sz w:val="18"/>
              </w:rPr>
              <w:t>Executable bridge</w:t>
            </w:r>
          </w:p>
        </w:tc>
      </w:tr>
      <w:tr>
        <w:trPr>
          <w:cantSplit/>
        </w:trPr>
        <w:tc>
          <w:tcPr>
            <w:tcW w:type="dxa" w:w="3230"/>
          </w:tcPr>
          <w:p>
            <w:pPr>
              <w:spacing w:after="80" w:before="60" w:line="240" w:lineRule="auto"/>
            </w:pPr>
            <w:r>
              <w:rPr>
                <w:sz w:val="18"/>
              </w:rPr>
              <w:t>1</w:t>
            </w:r>
          </w:p>
        </w:tc>
        <w:tc>
          <w:tcPr>
            <w:tcW w:type="dxa" w:w="3230"/>
          </w:tcPr>
          <w:p>
            <w:pPr>
              <w:spacing w:after="80" w:before="60" w:line="240" w:lineRule="auto"/>
            </w:pPr>
            <w:r>
              <w:rPr>
                <w:sz w:val="18"/>
              </w:rPr>
              <w:t>The Quiet Center</w:t>
            </w:r>
          </w:p>
        </w:tc>
        <w:tc>
          <w:tcPr>
            <w:tcW w:type="dxa" w:w="3230"/>
          </w:tcPr>
          <w:p>
            <w:pPr>
              <w:spacing w:after="80" w:before="60" w:line="240" w:lineRule="auto"/>
            </w:pPr>
            <w:r>
              <w:rPr>
                <w:sz w:val="18"/>
              </w:rPr>
              <w:t>information</w:t>
            </w:r>
          </w:p>
        </w:tc>
      </w:tr>
      <w:tr>
        <w:trPr>
          <w:cantSplit/>
        </w:trPr>
        <w:tc>
          <w:tcPr>
            <w:tcW w:type="dxa" w:w="3230"/>
          </w:tcPr>
          <w:p>
            <w:pPr>
              <w:spacing w:after="80" w:before="60" w:line="240" w:lineRule="auto"/>
            </w:pPr>
            <w:r>
              <w:rPr>
                <w:sz w:val="18"/>
              </w:rPr>
              <w:t>2</w:t>
            </w:r>
          </w:p>
        </w:tc>
        <w:tc>
          <w:tcPr>
            <w:tcW w:type="dxa" w:w="3230"/>
          </w:tcPr>
          <w:p>
            <w:pPr>
              <w:spacing w:after="80" w:before="60" w:line="240" w:lineRule="auto"/>
            </w:pPr>
            <w:r>
              <w:rPr>
                <w:sz w:val="18"/>
              </w:rPr>
              <w:t>The Universe Before the Liver</w:t>
            </w:r>
          </w:p>
        </w:tc>
        <w:tc>
          <w:tcPr>
            <w:tcW w:type="dxa" w:w="3230"/>
          </w:tcPr>
          <w:p>
            <w:pPr>
              <w:spacing w:after="80" w:before="60" w:line="240" w:lineRule="auto"/>
            </w:pPr>
            <w:r>
              <w:rPr>
                <w:sz w:val="18"/>
              </w:rPr>
              <w:t>physics</w:t>
            </w:r>
          </w:p>
        </w:tc>
      </w:tr>
      <w:tr>
        <w:trPr>
          <w:cantSplit/>
        </w:trPr>
        <w:tc>
          <w:tcPr>
            <w:tcW w:type="dxa" w:w="3230"/>
          </w:tcPr>
          <w:p>
            <w:pPr>
              <w:spacing w:after="80" w:before="60" w:line="240" w:lineRule="auto"/>
            </w:pPr>
            <w:r>
              <w:rPr>
                <w:sz w:val="18"/>
              </w:rPr>
              <w:t>3</w:t>
            </w:r>
          </w:p>
        </w:tc>
        <w:tc>
          <w:tcPr>
            <w:tcW w:type="dxa" w:w="3230"/>
          </w:tcPr>
          <w:p>
            <w:pPr>
              <w:spacing w:after="80" w:before="60" w:line="240" w:lineRule="auto"/>
            </w:pPr>
            <w:r>
              <w:rPr>
                <w:sz w:val="18"/>
              </w:rPr>
              <w:t>Water and Carbon</w:t>
            </w:r>
          </w:p>
        </w:tc>
        <w:tc>
          <w:tcPr>
            <w:tcW w:type="dxa" w:w="3230"/>
          </w:tcPr>
          <w:p>
            <w:pPr>
              <w:spacing w:after="80" w:before="60" w:line="240" w:lineRule="auto"/>
            </w:pPr>
            <w:r>
              <w:rPr>
                <w:sz w:val="18"/>
              </w:rPr>
              <w:t>physics</w:t>
            </w:r>
          </w:p>
        </w:tc>
      </w:tr>
      <w:tr>
        <w:trPr>
          <w:cantSplit/>
        </w:trPr>
        <w:tc>
          <w:tcPr>
            <w:tcW w:type="dxa" w:w="3230"/>
          </w:tcPr>
          <w:p>
            <w:pPr>
              <w:spacing w:after="80" w:before="60" w:line="240" w:lineRule="auto"/>
            </w:pPr>
            <w:r>
              <w:rPr>
                <w:sz w:val="18"/>
              </w:rPr>
              <w:t>4</w:t>
            </w:r>
          </w:p>
        </w:tc>
        <w:tc>
          <w:tcPr>
            <w:tcW w:type="dxa" w:w="3230"/>
          </w:tcPr>
          <w:p>
            <w:pPr>
              <w:spacing w:after="80" w:before="60" w:line="240" w:lineRule="auto"/>
            </w:pPr>
            <w:r>
              <w:rPr>
                <w:sz w:val="18"/>
              </w:rPr>
              <w:t>The First Inside and Outside</w:t>
            </w:r>
          </w:p>
        </w:tc>
        <w:tc>
          <w:tcPr>
            <w:tcW w:type="dxa" w:w="3230"/>
          </w:tcPr>
          <w:p>
            <w:pPr>
              <w:spacing w:after="80" w:before="60" w:line="240" w:lineRule="auto"/>
            </w:pPr>
            <w:r>
              <w:rPr>
                <w:sz w:val="18"/>
              </w:rPr>
              <w:t>physics</w:t>
            </w:r>
          </w:p>
        </w:tc>
      </w:tr>
      <w:tr>
        <w:trPr>
          <w:cantSplit/>
        </w:trPr>
        <w:tc>
          <w:tcPr>
            <w:tcW w:type="dxa" w:w="3230"/>
          </w:tcPr>
          <w:p>
            <w:pPr>
              <w:spacing w:after="80" w:before="60" w:line="240" w:lineRule="auto"/>
            </w:pPr>
            <w:r>
              <w:rPr>
                <w:sz w:val="18"/>
              </w:rPr>
              <w:t>5</w:t>
            </w:r>
          </w:p>
        </w:tc>
        <w:tc>
          <w:tcPr>
            <w:tcW w:type="dxa" w:w="3230"/>
          </w:tcPr>
          <w:p>
            <w:pPr>
              <w:spacing w:after="80" w:before="60" w:line="240" w:lineRule="auto"/>
            </w:pPr>
            <w:r>
              <w:rPr>
                <w:sz w:val="18"/>
              </w:rPr>
              <w:t>From Cells to Organs</w:t>
            </w:r>
          </w:p>
        </w:tc>
        <w:tc>
          <w:tcPr>
            <w:tcW w:type="dxa" w:w="3230"/>
          </w:tcPr>
          <w:p>
            <w:pPr>
              <w:spacing w:after="80" w:before="60" w:line="240" w:lineRule="auto"/>
            </w:pPr>
            <w:r>
              <w:rPr>
                <w:sz w:val="18"/>
              </w:rPr>
              <w:t>finite</w:t>
            </w:r>
          </w:p>
        </w:tc>
      </w:tr>
      <w:tr>
        <w:trPr>
          <w:cantSplit/>
        </w:trPr>
        <w:tc>
          <w:tcPr>
            <w:tcW w:type="dxa" w:w="3230"/>
          </w:tcPr>
          <w:p>
            <w:pPr>
              <w:spacing w:after="80" w:before="60" w:line="240" w:lineRule="auto"/>
            </w:pPr>
            <w:r>
              <w:rPr>
                <w:sz w:val="18"/>
              </w:rPr>
              <w:t>6</w:t>
            </w:r>
          </w:p>
        </w:tc>
        <w:tc>
          <w:tcPr>
            <w:tcW w:type="dxa" w:w="3230"/>
          </w:tcPr>
          <w:p>
            <w:pPr>
              <w:spacing w:after="80" w:before="60" w:line="240" w:lineRule="auto"/>
            </w:pPr>
            <w:r>
              <w:rPr>
                <w:sz w:val="18"/>
              </w:rPr>
              <w:t>How a Body Grows a Liver</w:t>
            </w:r>
          </w:p>
        </w:tc>
        <w:tc>
          <w:tcPr>
            <w:tcW w:type="dxa" w:w="3230"/>
          </w:tcPr>
          <w:p>
            <w:pPr>
              <w:spacing w:after="80" w:before="60" w:line="240" w:lineRule="auto"/>
            </w:pPr>
            <w:r>
              <w:rPr>
                <w:sz w:val="18"/>
              </w:rPr>
              <w:t>compare</w:t>
            </w:r>
          </w:p>
        </w:tc>
      </w:tr>
      <w:tr>
        <w:trPr>
          <w:cantSplit/>
        </w:trPr>
        <w:tc>
          <w:tcPr>
            <w:tcW w:type="dxa" w:w="3230"/>
          </w:tcPr>
          <w:p>
            <w:pPr>
              <w:spacing w:after="80" w:before="60" w:line="240" w:lineRule="auto"/>
            </w:pPr>
            <w:r>
              <w:rPr>
                <w:sz w:val="18"/>
              </w:rPr>
              <w:t>7</w:t>
            </w:r>
          </w:p>
        </w:tc>
        <w:tc>
          <w:tcPr>
            <w:tcW w:type="dxa" w:w="3230"/>
          </w:tcPr>
          <w:p>
            <w:pPr>
              <w:spacing w:after="80" w:before="60" w:line="240" w:lineRule="auto"/>
            </w:pPr>
            <w:r>
              <w:rPr>
                <w:sz w:val="18"/>
              </w:rPr>
              <w:t>Two Networks of Transport</w:t>
            </w:r>
          </w:p>
        </w:tc>
        <w:tc>
          <w:tcPr>
            <w:tcW w:type="dxa" w:w="3230"/>
          </w:tcPr>
          <w:p>
            <w:pPr>
              <w:spacing w:after="80" w:before="60" w:line="240" w:lineRule="auto"/>
            </w:pPr>
            <w:r>
              <w:rPr>
                <w:sz w:val="18"/>
              </w:rPr>
              <w:t>physics</w:t>
            </w:r>
          </w:p>
        </w:tc>
      </w:tr>
      <w:tr>
        <w:trPr>
          <w:cantSplit/>
        </w:trPr>
        <w:tc>
          <w:tcPr>
            <w:tcW w:type="dxa" w:w="3230"/>
          </w:tcPr>
          <w:p>
            <w:pPr>
              <w:spacing w:after="80" w:before="60" w:line="240" w:lineRule="auto"/>
            </w:pPr>
            <w:r>
              <w:rPr>
                <w:sz w:val="18"/>
              </w:rPr>
              <w:t>8</w:t>
            </w:r>
          </w:p>
        </w:tc>
        <w:tc>
          <w:tcPr>
            <w:tcW w:type="dxa" w:w="3230"/>
          </w:tcPr>
          <w:p>
            <w:pPr>
              <w:spacing w:after="80" w:before="60" w:line="240" w:lineRule="auto"/>
            </w:pPr>
            <w:r>
              <w:rPr>
                <w:sz w:val="18"/>
              </w:rPr>
              <w:t>The Timing of Hunger and Satiety</w:t>
            </w:r>
          </w:p>
        </w:tc>
        <w:tc>
          <w:tcPr>
            <w:tcW w:type="dxa" w:w="3230"/>
          </w:tcPr>
          <w:p>
            <w:pPr>
              <w:spacing w:after="80" w:before="60" w:line="240" w:lineRule="auto"/>
            </w:pPr>
            <w:r>
              <w:rPr>
                <w:sz w:val="18"/>
              </w:rPr>
              <w:t>simulate</w:t>
            </w:r>
          </w:p>
        </w:tc>
      </w:tr>
      <w:tr>
        <w:trPr>
          <w:cantSplit/>
        </w:trPr>
        <w:tc>
          <w:tcPr>
            <w:tcW w:type="dxa" w:w="3230"/>
          </w:tcPr>
          <w:p>
            <w:pPr>
              <w:spacing w:after="80" w:before="60" w:line="240" w:lineRule="auto"/>
            </w:pPr>
            <w:r>
              <w:rPr>
                <w:sz w:val="18"/>
              </w:rPr>
              <w:t>9</w:t>
            </w:r>
          </w:p>
        </w:tc>
        <w:tc>
          <w:tcPr>
            <w:tcW w:type="dxa" w:w="3230"/>
          </w:tcPr>
          <w:p>
            <w:pPr>
              <w:spacing w:after="80" w:before="60" w:line="240" w:lineRule="auto"/>
            </w:pPr>
            <w:r>
              <w:rPr>
                <w:sz w:val="18"/>
              </w:rPr>
              <w:t>Selection and Transformation of Matter</w:t>
            </w:r>
          </w:p>
        </w:tc>
        <w:tc>
          <w:tcPr>
            <w:tcW w:type="dxa" w:w="3230"/>
          </w:tcPr>
          <w:p>
            <w:pPr>
              <w:spacing w:after="80" w:before="60" w:line="240" w:lineRule="auto"/>
            </w:pPr>
            <w:r>
              <w:rPr>
                <w:sz w:val="18"/>
              </w:rPr>
              <w:t>physics</w:t>
            </w:r>
          </w:p>
        </w:tc>
      </w:tr>
      <w:tr>
        <w:trPr>
          <w:cantSplit/>
        </w:trPr>
        <w:tc>
          <w:tcPr>
            <w:tcW w:type="dxa" w:w="3230"/>
          </w:tcPr>
          <w:p>
            <w:pPr>
              <w:spacing w:after="80" w:before="60" w:line="240" w:lineRule="auto"/>
            </w:pPr>
            <w:r>
              <w:rPr>
                <w:sz w:val="18"/>
              </w:rPr>
              <w:t>10</w:t>
            </w:r>
          </w:p>
        </w:tc>
        <w:tc>
          <w:tcPr>
            <w:tcW w:type="dxa" w:w="3230"/>
          </w:tcPr>
          <w:p>
            <w:pPr>
              <w:spacing w:after="80" w:before="60" w:line="240" w:lineRule="auto"/>
            </w:pPr>
            <w:r>
              <w:rPr>
                <w:sz w:val="18"/>
              </w:rPr>
              <w:t>Between Tolerance and Defense</w:t>
            </w:r>
          </w:p>
        </w:tc>
        <w:tc>
          <w:tcPr>
            <w:tcW w:type="dxa" w:w="3230"/>
          </w:tcPr>
          <w:p>
            <w:pPr>
              <w:spacing w:after="80" w:before="60" w:line="240" w:lineRule="auto"/>
            </w:pPr>
            <w:r>
              <w:rPr>
                <w:sz w:val="18"/>
              </w:rPr>
              <w:t>finite</w:t>
            </w:r>
          </w:p>
        </w:tc>
      </w:tr>
      <w:tr>
        <w:trPr>
          <w:cantSplit/>
        </w:trPr>
        <w:tc>
          <w:tcPr>
            <w:tcW w:type="dxa" w:w="3230"/>
          </w:tcPr>
          <w:p>
            <w:pPr>
              <w:spacing w:after="80" w:before="60" w:line="240" w:lineRule="auto"/>
            </w:pPr>
            <w:r>
              <w:rPr>
                <w:sz w:val="18"/>
              </w:rPr>
              <w:t>11</w:t>
            </w:r>
          </w:p>
        </w:tc>
        <w:tc>
          <w:tcPr>
            <w:tcW w:type="dxa" w:w="3230"/>
          </w:tcPr>
          <w:p>
            <w:pPr>
              <w:spacing w:after="80" w:before="60" w:line="240" w:lineRule="auto"/>
            </w:pPr>
            <w:r>
              <w:rPr>
                <w:sz w:val="18"/>
              </w:rPr>
              <w:t>How Disease Acquires a History</w:t>
            </w:r>
          </w:p>
        </w:tc>
        <w:tc>
          <w:tcPr>
            <w:tcW w:type="dxa" w:w="3230"/>
          </w:tcPr>
          <w:p>
            <w:pPr>
              <w:spacing w:after="80" w:before="60" w:line="240" w:lineRule="auto"/>
            </w:pPr>
            <w:r>
              <w:rPr>
                <w:sz w:val="18"/>
              </w:rPr>
              <w:t>benchmark</w:t>
            </w:r>
          </w:p>
        </w:tc>
      </w:tr>
      <w:tr>
        <w:trPr>
          <w:cantSplit/>
        </w:trPr>
        <w:tc>
          <w:tcPr>
            <w:tcW w:type="dxa" w:w="3230"/>
          </w:tcPr>
          <w:p>
            <w:pPr>
              <w:spacing w:after="80" w:before="60" w:line="240" w:lineRule="auto"/>
            </w:pPr>
            <w:r>
              <w:rPr>
                <w:sz w:val="18"/>
              </w:rPr>
              <w:t>12</w:t>
            </w:r>
          </w:p>
        </w:tc>
        <w:tc>
          <w:tcPr>
            <w:tcW w:type="dxa" w:w="3230"/>
          </w:tcPr>
          <w:p>
            <w:pPr>
              <w:spacing w:after="80" w:before="60" w:line="240" w:lineRule="auto"/>
            </w:pPr>
            <w:r>
              <w:rPr>
                <w:sz w:val="18"/>
              </w:rPr>
              <w:t>Regeneration and Aging</w:t>
            </w:r>
          </w:p>
        </w:tc>
        <w:tc>
          <w:tcPr>
            <w:tcW w:type="dxa" w:w="3230"/>
          </w:tcPr>
          <w:p>
            <w:pPr>
              <w:spacing w:after="80" w:before="60" w:line="240" w:lineRule="auto"/>
            </w:pPr>
            <w:r>
              <w:rPr>
                <w:sz w:val="18"/>
              </w:rPr>
              <w:t>compare</w:t>
            </w:r>
          </w:p>
        </w:tc>
      </w:tr>
      <w:tr>
        <w:trPr>
          <w:cantSplit/>
        </w:trPr>
        <w:tc>
          <w:tcPr>
            <w:tcW w:type="dxa" w:w="3230"/>
          </w:tcPr>
          <w:p>
            <w:pPr>
              <w:spacing w:after="80" w:before="60" w:line="240" w:lineRule="auto"/>
            </w:pPr>
            <w:r>
              <w:rPr>
                <w:sz w:val="18"/>
              </w:rPr>
              <w:t>13</w:t>
            </w:r>
          </w:p>
        </w:tc>
        <w:tc>
          <w:tcPr>
            <w:tcW w:type="dxa" w:w="3230"/>
          </w:tcPr>
          <w:p>
            <w:pPr>
              <w:spacing w:after="80" w:before="60" w:line="240" w:lineRule="auto"/>
            </w:pPr>
            <w:r>
              <w:rPr>
                <w:sz w:val="18"/>
              </w:rPr>
              <w:t>Energy Fields</w:t>
            </w:r>
          </w:p>
        </w:tc>
        <w:tc>
          <w:tcPr>
            <w:tcW w:type="dxa" w:w="3230"/>
          </w:tcPr>
          <w:p>
            <w:pPr>
              <w:spacing w:after="80" w:before="60" w:line="240" w:lineRule="auto"/>
            </w:pPr>
            <w:r>
              <w:rPr>
                <w:sz w:val="18"/>
              </w:rPr>
              <w:t>physics</w:t>
            </w:r>
          </w:p>
        </w:tc>
      </w:tr>
      <w:tr>
        <w:trPr>
          <w:cantSplit/>
        </w:trPr>
        <w:tc>
          <w:tcPr>
            <w:tcW w:type="dxa" w:w="3230"/>
          </w:tcPr>
          <w:p>
            <w:pPr>
              <w:spacing w:after="80" w:before="60" w:line="240" w:lineRule="auto"/>
            </w:pPr>
            <w:r>
              <w:rPr>
                <w:sz w:val="18"/>
              </w:rPr>
              <w:t>14</w:t>
            </w:r>
          </w:p>
        </w:tc>
        <w:tc>
          <w:tcPr>
            <w:tcW w:type="dxa" w:w="3230"/>
          </w:tcPr>
          <w:p>
            <w:pPr>
              <w:spacing w:after="80" w:before="60" w:line="240" w:lineRule="auto"/>
            </w:pPr>
            <w:r>
              <w:rPr>
                <w:sz w:val="18"/>
              </w:rPr>
              <w:t>Information Fields</w:t>
            </w:r>
          </w:p>
        </w:tc>
        <w:tc>
          <w:tcPr>
            <w:tcW w:type="dxa" w:w="3230"/>
          </w:tcPr>
          <w:p>
            <w:pPr>
              <w:spacing w:after="80" w:before="60" w:line="240" w:lineRule="auto"/>
            </w:pPr>
            <w:r>
              <w:rPr>
                <w:sz w:val="18"/>
              </w:rPr>
              <w:t>information</w:t>
            </w:r>
          </w:p>
        </w:tc>
      </w:tr>
      <w:tr>
        <w:trPr>
          <w:cantSplit/>
        </w:trPr>
        <w:tc>
          <w:tcPr>
            <w:tcW w:type="dxa" w:w="3230"/>
          </w:tcPr>
          <w:p>
            <w:pPr>
              <w:spacing w:after="80" w:before="60" w:line="240" w:lineRule="auto"/>
            </w:pPr>
            <w:r>
              <w:rPr>
                <w:sz w:val="18"/>
              </w:rPr>
              <w:t>15</w:t>
            </w:r>
          </w:p>
        </w:tc>
        <w:tc>
          <w:tcPr>
            <w:tcW w:type="dxa" w:w="3230"/>
          </w:tcPr>
          <w:p>
            <w:pPr>
              <w:spacing w:after="80" w:before="60" w:line="240" w:lineRule="auto"/>
            </w:pPr>
            <w:r>
              <w:rPr>
                <w:sz w:val="18"/>
              </w:rPr>
              <w:t>Between Scales</w:t>
            </w:r>
          </w:p>
        </w:tc>
        <w:tc>
          <w:tcPr>
            <w:tcW w:type="dxa" w:w="3230"/>
          </w:tcPr>
          <w:p>
            <w:pPr>
              <w:spacing w:after="80" w:before="60" w:line="240" w:lineRule="auto"/>
            </w:pPr>
            <w:r>
              <w:rPr>
                <w:sz w:val="18"/>
              </w:rPr>
              <w:t>finite</w:t>
            </w:r>
          </w:p>
        </w:tc>
      </w:tr>
      <w:tr>
        <w:trPr>
          <w:cantSplit/>
        </w:trPr>
        <w:tc>
          <w:tcPr>
            <w:tcW w:type="dxa" w:w="3230"/>
          </w:tcPr>
          <w:p>
            <w:pPr>
              <w:spacing w:after="80" w:before="60" w:line="240" w:lineRule="auto"/>
            </w:pPr>
            <w:r>
              <w:rPr>
                <w:sz w:val="18"/>
              </w:rPr>
              <w:t>16</w:t>
            </w:r>
          </w:p>
        </w:tc>
        <w:tc>
          <w:tcPr>
            <w:tcW w:type="dxa" w:w="3230"/>
          </w:tcPr>
          <w:p>
            <w:pPr>
              <w:spacing w:after="80" w:before="60" w:line="240" w:lineRule="auto"/>
            </w:pPr>
            <w:r>
              <w:rPr>
                <w:sz w:val="18"/>
              </w:rPr>
              <w:t>The Future Liver</w:t>
            </w:r>
          </w:p>
        </w:tc>
        <w:tc>
          <w:tcPr>
            <w:tcW w:type="dxa" w:w="3230"/>
          </w:tcPr>
          <w:p>
            <w:pPr>
              <w:spacing w:after="80" w:before="60" w:line="240" w:lineRule="auto"/>
            </w:pPr>
            <w:r>
              <w:rPr>
                <w:sz w:val="18"/>
              </w:rPr>
              <w:t>design</w:t>
            </w:r>
          </w:p>
        </w:tc>
      </w:tr>
      <w:tr>
        <w:trPr>
          <w:cantSplit/>
        </w:trPr>
        <w:tc>
          <w:tcPr>
            <w:tcW w:type="dxa" w:w="3230"/>
          </w:tcPr>
          <w:p>
            <w:pPr>
              <w:spacing w:after="80" w:before="60" w:line="240" w:lineRule="auto"/>
            </w:pPr>
            <w:r>
              <w:rPr>
                <w:sz w:val="18"/>
              </w:rPr>
              <w:t>17</w:t>
            </w:r>
          </w:p>
        </w:tc>
        <w:tc>
          <w:tcPr>
            <w:tcW w:type="dxa" w:w="3230"/>
          </w:tcPr>
          <w:p>
            <w:pPr>
              <w:spacing w:after="80" w:before="60" w:line="240" w:lineRule="auto"/>
            </w:pPr>
            <w:r>
              <w:rPr>
                <w:sz w:val="18"/>
              </w:rPr>
              <w:t>Returning to the Ultimate</w:t>
            </w:r>
          </w:p>
        </w:tc>
        <w:tc>
          <w:tcPr>
            <w:tcW w:type="dxa" w:w="3230"/>
          </w:tcPr>
          <w:p>
            <w:pPr>
              <w:spacing w:after="80" w:before="60" w:line="240" w:lineRule="auto"/>
            </w:pPr>
            <w:r>
              <w:rPr>
                <w:sz w:val="18"/>
              </w:rPr>
              <w:t>benchmark</w:t>
            </w:r>
          </w:p>
        </w:tc>
      </w:tr>
      <w:tr>
        <w:trPr>
          <w:cantSplit/>
        </w:trPr>
        <w:tc>
          <w:tcPr>
            <w:tcW w:type="dxa" w:w="3230"/>
          </w:tcPr>
          <w:p>
            <w:pPr>
              <w:spacing w:after="80" w:before="60" w:line="240" w:lineRule="auto"/>
            </w:pPr>
            <w:r>
              <w:rPr>
                <w:sz w:val="18"/>
              </w:rPr>
              <w:t>18</w:t>
            </w:r>
          </w:p>
        </w:tc>
        <w:tc>
          <w:tcPr>
            <w:tcW w:type="dxa" w:w="3230"/>
          </w:tcPr>
          <w:p>
            <w:pPr>
              <w:spacing w:after="80" w:before="60" w:line="240" w:lineRule="auto"/>
            </w:pPr>
            <w:r>
              <w:rPr>
                <w:sz w:val="18"/>
              </w:rPr>
              <w:t>An Open Future</w:t>
            </w:r>
          </w:p>
        </w:tc>
        <w:tc>
          <w:tcPr>
            <w:tcW w:type="dxa" w:w="3230"/>
          </w:tcPr>
          <w:p>
            <w:pPr>
              <w:spacing w:after="80" w:before="60" w:line="240" w:lineRule="auto"/>
            </w:pPr>
            <w:r>
              <w:rPr>
                <w:sz w:val="18"/>
              </w:rPr>
              <w:t>finite</w:t>
            </w:r>
          </w:p>
        </w:tc>
      </w:tr>
    </w:tbl>
    <w:p>
      <w:pPr>
        <w:widowControl/>
      </w:pPr>
      <w:r>
        <w:t>Read docs/BOOK_LABS.md or run python -m hepatogenesis chapters. A lab may support multiple chapters because a mathematical distinction can recur at different scales. Reuse does not turn one synthetic result into multiple independent sources of evidence.</w:t>
      </w:r>
    </w:p>
    <w:p>
      <w:r>
        <w:br w:type="page"/>
      </w:r>
    </w:p>
    <w:p>
      <w:pPr>
        <w:pStyle w:val="Heading1"/>
      </w:pPr>
      <w:r>
        <w:t>15 | Extending the system without inflating claims</w:t>
      </w:r>
    </w:p>
    <w:p>
      <w:pPr>
        <w:widowControl/>
      </w:pPr>
      <w:r>
        <w:t>A useful extension should begin with a specific failure or unresolved comparison. State the new variable, unit, observation, mechanism and result that would make the extension unnecessary. A new name alone is not an additional explanation.</w:t>
      </w:r>
    </w:p>
    <w:p>
      <w:pPr>
        <w:pStyle w:val="Heading2"/>
      </w:pPr>
      <w:r>
        <w:t>From teaching models to experimental models</w:t>
      </w:r>
    </w:p>
    <w:p>
      <w:pPr>
        <w:widowControl/>
      </w:pPr>
      <w:r>
        <w:t>To study actual bench measurements, introduce a separately reviewed intake contract with provenance, measurement units, independent experimental groups, missingness and calibration. Preserve data splits and specify the model discrepancy being tested. Do not relabel real records as synthetic to bypass the current interface. Clinical use would require processes, evidence and governance that this release does not supply.</w:t>
      </w:r>
    </w:p>
    <w:p>
      <w:pPr>
        <w:pStyle w:val="Heading2"/>
      </w:pPr>
      <w:r>
        <w:t>From separate scales to a checked coupling</w:t>
      </w:r>
    </w:p>
    <w:p>
      <w:pPr>
        <w:widowControl/>
      </w:pPr>
      <w:r>
        <w:t>The present history equations and transport chain are independent examples. A coupling must state what a port carries and how values change units, not silently identify capacity with concentration or reserve with energy. Add a conservation or approximation test, a limiting case in which the original module is recovered and a failure condition. For a stronger field claim, add a numerical null comparison and a measurement not defined circularly by the claimed effect.</w:t>
      </w:r>
    </w:p>
    <w:p>
      <w:pPr>
        <w:pStyle w:val="Heading2"/>
      </w:pPr>
      <w:r>
        <w:t>From finite control to continuous guarantees</w:t>
      </w:r>
    </w:p>
    <w:p>
      <w:pPr>
        <w:widowControl/>
      </w:pPr>
      <w:r>
        <w:t>The finite solver's proof is conditional on its transition table, observations and budget semantics. A continuous extension requires error bounds or conservative reachability relations connecting differential states to finite states. More samples alone do not establish those bounds. A model selector and a controller also solve different problems: a model with lower prediction error can still erase an action-relevant constraint.</w:t>
      </w:r>
    </w:p>
    <w:p>
      <w:pPr>
        <w:pStyle w:val="Heading2"/>
      </w:pPr>
      <w:r>
        <w:t>Release and attribution</w:t>
      </w:r>
    </w:p>
    <w:p>
      <w:pPr>
        <w:widowControl/>
      </w:pPr>
      <w:r>
        <w:t>The new source, documentation and synthetic fixtures are distributed under Apache-2.0. The manuscript and upstream projects are separately controlled. No complete third-party source, journal article, font file or patient dataset is included. NOTICE discloses independent AI-assisted preparation and conceptual attribution; it does not assert the authors' personal approval of every line of code.</w:t>
      </w:r>
    </w:p>
    <w:p>
      <w:pPr>
        <w:widowControl/>
      </w:pPr>
      <w:r>
        <w:t>The root contains ordinary installable source and a prepared CI workflow. A maintainer can review it, create a remote repository and publish it. This delivery has not pushed to GitHub, created a hosted service or executed hosted CI. Release validation belongs to the current artifacts, not to a future deployment.</w:t>
      </w:r>
    </w:p>
    <w:p>
      <w:r>
        <w:br w:type="page"/>
      </w:r>
    </w:p>
    <w:p>
      <w:pPr>
        <w:pStyle w:val="Heading1"/>
      </w:pPr>
      <w:r>
        <w:t>16 | Sources, artifacts and reading order</w:t>
      </w:r>
    </w:p>
    <w:p>
      <w:pPr>
        <w:pStyle w:val="Heading2"/>
      </w:pPr>
      <w:r>
        <w:t>Primary project sources examined</w:t>
      </w:r>
    </w:p>
    <w:p>
      <w:pPr>
        <w:widowControl/>
      </w:pPr>
      <w:r>
        <w:t>[U1] YucongDuan / DIKWP-HepatoScholar-OS. README and root file tree. https://github.com/YucongDuan/DIKWP-HepatoScholar-OS</w:t>
      </w:r>
    </w:p>
    <w:p>
      <w:pPr>
        <w:widowControl/>
      </w:pPr>
      <w:r>
        <w:t>[U2] YucongDuan / DIKWP-HepatoScholar-Studio-V2. README, source tree and the exposed cli/hepatoscholar_cli.py module. https://github.com/YucongDuan/DIKWP-HepatoScholar-Studio-V2</w:t>
      </w:r>
    </w:p>
    <w:p>
      <w:pPr>
        <w:widowControl/>
      </w:pPr>
      <w:r>
        <w:t>[U3] YucongDuan / DIKWP-HepatoCarePath-OS. README and root file tree. https://github.com/YucongDuan/DIKWP-HepatoCarePath-OS</w:t>
      </w:r>
    </w:p>
    <w:p>
      <w:pPr>
        <w:widowControl/>
      </w:pPr>
      <w:r>
        <w:t>[U4] YucongDuan / DIKWP-ASCENT-v0.2.0. README, module directory and src/dikwp_ascent/evaluator.py. https://github.com/YucongDuan/DIKWP-ASCENT-v0.2.0</w:t>
      </w:r>
    </w:p>
    <w:p>
      <w:pPr>
        <w:widowControl/>
      </w:pPr>
      <w:r>
        <w:t>[U5] YucongDuan / DIKWP-ProofLedger-OS. README only. https://github.com/YucongDuan/DIKWP-ProofLedger-OS</w:t>
      </w:r>
    </w:p>
    <w:p>
      <w:pPr>
        <w:widowControl/>
      </w:pPr>
      <w:r>
        <w:t>[U6] YucongDuan / NEGENESIS-OMEGA. README and root file tree. https://github.com/YucongDuan/NEGENESIS-OMEGA</w:t>
      </w:r>
    </w:p>
    <w:p>
      <w:pPr>
        <w:widowControl/>
      </w:pPr>
      <w:r>
        <w:t>These sources were checked on 26 September 2026. Detailed object hashes, source paths, inspection levels and unresolved archive scope are in research/upstream_review.json. A README claim and an inspected source function are not treated as the same level of evidence.</w:t>
      </w:r>
    </w:p>
    <w:p>
      <w:pPr>
        <w:pStyle w:val="Heading2"/>
      </w:pPr>
      <w:r>
        <w:t>Book and execution format</w:t>
      </w:r>
    </w:p>
    <w:p>
      <w:pPr>
        <w:widowControl/>
      </w:pPr>
      <w:r>
        <w:t>[B1] Yucong Duan and Zhongdao Wu. A Brief History of the Liver. Supplied final manuscript and teaching-model package, version 2.1 of the model. File identities are in research/book_provenance.json and validation/book_reference.json. The manuscript is not included or relicensed here.</w:t>
      </w:r>
    </w:p>
    <w:p>
      <w:pPr>
        <w:widowControl/>
      </w:pPr>
      <w:r>
        <w:t>[P1] Python Software Foundation. zipapp: Manage executable Python zip archives. https://docs.python.org/3/library/zipapp.html</w:t>
      </w:r>
    </w:p>
    <w:p>
      <w:pPr>
        <w:pStyle w:val="Heading2"/>
      </w:pPr>
      <w:r>
        <w:t>Start with the artifacts, then the interpretation</w:t>
      </w:r>
    </w:p>
    <w:p>
      <w:pPr>
        <w:widowControl/>
      </w:pPr>
      <w:r>
        <w:t>README.md provides first-run commands. docs/SCIENCE_AND_ARCHITECTURE.md gives fuller assumptions and algorithms. docs/INTERFACES.md specifies inputs. docs/UPSTREAM_REVIEW.md records the comparisons. validation/ contains actual test and reproduction records. example_run/report.html shows the computed demonstration; its neighboring files contain the underlying results. A successful report view is not a substitute for inspecting a scientific assumption.</w:t>
      </w:r>
    </w:p>
    <w:sectPr w:rsidR="00FC693F" w:rsidRPr="0006063C" w:rsidSect="00034616">
      <w:headerReference w:type="default" r:id="rId9"/>
      <w:footerReference w:type="default" r:id="rId10"/>
      <w:pgSz w:w="11909" w:h="16834"/>
      <w:pgMar w:top="1037" w:right="1109" w:bottom="979" w:left="1109"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1.0.0  |  English edition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9717E"/>
        <w:sz w:val="16"/>
      </w:rPr>
      <w:t>DIKWP HEPATOGENESIS LAB     /     ENGINEERING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60"/>
      <w:outlineLvl w:val="0"/>
    </w:pPr>
    <w:rPr>
      <w:rFonts w:asciiTheme="majorHAnsi" w:eastAsiaTheme="majorEastAsia" w:hAnsiTheme="majorHAnsi" w:cstheme="majorBidi" w:ascii="Liberation Sans" w:hAnsi="Liberation Sans"/>
      <w:b/>
      <w:bCs/>
      <w:color w:val="153C4E"/>
      <w:sz w:val="44"/>
      <w:szCs w:val="28"/>
    </w:rPr>
  </w:style>
  <w:style w:type="paragraph" w:styleId="Heading2">
    <w:name w:val="heading 2"/>
    <w:basedOn w:val="Normal"/>
    <w:next w:val="Normal"/>
    <w:link w:val="Heading2Char"/>
    <w:uiPriority w:val="9"/>
    <w:unhideWhenUsed/>
    <w:qFormat/>
    <w:rsid w:val="00FC693F"/>
    <w:pPr>
      <w:keepNext/>
      <w:keepLines/>
      <w:spacing w:before="220" w:after="160"/>
      <w:outlineLvl w:val="1"/>
    </w:pPr>
    <w:rPr>
      <w:rFonts w:asciiTheme="majorHAnsi" w:eastAsiaTheme="majorEastAsia" w:hAnsiTheme="majorHAnsi" w:cstheme="majorBidi" w:ascii="Liberation Sans" w:hAnsi="Liberation Sans"/>
      <w:b/>
      <w:bCs/>
      <w:color w:val="153C4E"/>
      <w:sz w:val="26"/>
      <w:szCs w:val="26"/>
    </w:rPr>
  </w:style>
  <w:style w:type="paragraph" w:styleId="Heading3">
    <w:name w:val="heading 3"/>
    <w:basedOn w:val="Normal"/>
    <w:next w:val="Normal"/>
    <w:link w:val="Heading3Char"/>
    <w:uiPriority w:val="9"/>
    <w:unhideWhenUsed/>
    <w:qFormat/>
    <w:rsid w:val="00FC693F"/>
    <w:pPr>
      <w:keepNext/>
      <w:keepLines/>
      <w:spacing w:before="220" w:after="160"/>
      <w:outlineLvl w:val="2"/>
    </w:pPr>
    <w:rPr>
      <w:rFonts w:asciiTheme="majorHAnsi" w:eastAsiaTheme="majorEastAsia" w:hAnsiTheme="majorHAnsi" w:cstheme="majorBidi" w:ascii="Liberation Sans" w:hAnsi="Liberation Sans"/>
      <w:b/>
      <w:bCs/>
      <w:color w:val="153C4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53C4E"/>
      <w:spacing w:val="5"/>
      <w:kern w:val="28"/>
      <w:sz w:val="7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4" w:lineRule="auto"/>
    </w:pPr>
    <w:rPr>
      <w:rFonts w:ascii="Liberation Sans" w:hAnsi="Liberation San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line="250" w:lineRule="auto"/>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DIKWP HepatoGenesis Lab — Engineering Guide</dc:title>
  <dc:subject>English software companion prepared for A Brief History of the Liver by Yucong Duan and Zhongdao Wu</dc:subject>
  <dc:creator>HepatoGenesis Lab contributors</dc:creator>
  <cp:keywords>DIKWP; liver; history; reproducibility; partial observation</cp:keywords>
  <dc:description>generated by python-docx</dc:description>
  <cp:lastModifiedBy/>
  <cp:revision>1</cp:revision>
  <dcterms:created xsi:type="dcterms:W3CDTF">2013-12-23T23:15:00Z</dcterms:created>
  <dcterms:modified xsi:type="dcterms:W3CDTF">2013-12-23T23:15:00Z</dcterms:modified>
  <cp:category/>
</cp:coreProperties>
</file>