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DIKWP  /  LUCIDECON 2.0</w:t>
      </w:r>
    </w:p>
    <w:p>
      <w:pPr>
        <w:spacing w:after="700"/>
      </w:pPr>
    </w:p>
    <w:p>
      <w:pPr>
        <w:pStyle w:val="Title"/>
      </w:pPr>
      <w:r>
        <w:t>透明经济</w:t>
        <w:br/>
        <w:t>与普通人的出路</w:t>
      </w:r>
    </w:p>
    <w:p>
      <w:pPr>
        <w:pStyle w:val="Subtitle"/>
      </w:pPr>
      <w:r>
        <w:t>从能力叙事走向证据、约束与可追溯分配</w:t>
      </w:r>
    </w:p>
    <w:p>
      <w:pPr>
        <w:pStyle w:val="Kicker"/>
      </w:pPr>
      <w:r>
        <w:t>完整重建与升级交付版  |  2026 年 9 月 7 日</w:t>
      </w:r>
    </w:p>
    <w:p>
      <w:r>
        <w:t>段玉聪  ·  DIKWP 研究方向</w:t>
      </w:r>
    </w:p>
    <w:p>
      <w:r>
        <w:t>这份报告和配套开源系统不向普通人虚构机会，也不把当前无路写成人生无路。它要求把真实需求、客户入口、任务证据、经济条件、权限和分配方式摆在同一张可复核的桌面上。</w:t>
      </w:r>
    </w:p>
    <w:p>
      <w:pPr>
        <w:pStyle w:val="Callout"/>
        <w:keepLines/>
        <w:shd w:fill="E7F3F2"/>
        <w:pBdr>
          <w:left w:val="single" w:sz="20" w:color="096C75"/>
        </w:pBdr>
      </w:pPr>
      <w:r>
        <w:t>透明的是价值流与规则；受到保护的是人的尊严、隐私和未来可能性。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DE2"/>
          <w:bottom w:val="single" w:sz="4" w:color="CDDDE2"/>
          <w:insideH w:val="single" w:sz="4" w:color="CDDDE2"/>
        </w:tblBorders>
      </w:tblPr>
      <w:tblGrid>
        <w:gridCol w:w="4752"/>
        <w:gridCol w:w="4752"/>
      </w:tblGrid>
      <w:tr>
        <w:trPr>
          <w:tblHeader/>
          <w:cantSplit/>
        </w:trPr>
        <w:tc>
          <w:tcPr>
            <w:tcW w:type="dxa" w:w="4757"/>
            <w:shd w:fill="123242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交付项</w:t>
            </w:r>
          </w:p>
        </w:tc>
        <w:tc>
          <w:tcPr>
            <w:tcW w:type="dxa" w:w="4757"/>
            <w:shd w:fill="123242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范围</w:t>
            </w:r>
          </w:p>
        </w:tc>
      </w:tr>
      <w:tr>
        <w:trPr>
          <w:cantSplit/>
          <w:cantSplit/>
        </w:trPr>
        <w:tc>
          <w:tcPr>
            <w:tcW w:type="dxa" w:w="4752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2.0.0</w:t>
            </w:r>
          </w:p>
        </w:tc>
        <w:tc>
          <w:tcPr>
            <w:tcW w:type="dxa" w:w="4752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本地运行、零第三方运行依赖</w:t>
            </w:r>
          </w:p>
        </w:tc>
      </w:tr>
      <w:tr>
        <w:trPr>
          <w:cantSplit/>
          <w:cantSplit/>
        </w:trPr>
        <w:tc>
          <w:tcPr>
            <w:tcW w:type="dxa" w:w="4752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88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自动测试方法；另含 250 组分配属性案例</w:t>
            </w:r>
          </w:p>
        </w:tc>
      </w:tr>
      <w:tr>
        <w:trPr>
          <w:cantSplit/>
          <w:cantSplit/>
        </w:trPr>
        <w:tc>
          <w:tcPr>
            <w:tcW w:type="dxa" w:w="4752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7</w:t>
            </w:r>
          </w:p>
        </w:tc>
        <w:tc>
          <w:tcPr>
            <w:tcW w:type="dxa" w:w="4752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合成参考案例与浏览器核心结果对照</w:t>
            </w:r>
          </w:p>
        </w:tc>
      </w:tr>
      <w:tr>
        <w:trPr>
          <w:cantSplit/>
          <w:cantSplit/>
        </w:trPr>
        <w:tc>
          <w:tcPr>
            <w:tcW w:type="dxa" w:w="4752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0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真实付款、自动外部执行、人的总价值分</w:t>
            </w:r>
          </w:p>
        </w:tc>
      </w:tr>
    </w:tbl>
    <w:p>
      <w:pPr>
        <w:spacing w:after="0"/>
      </w:pPr>
    </w:p>
    <w:p>
      <w:pPr>
        <w:pStyle w:val="Source"/>
      </w:pPr>
      <w:r>
        <w:t>研究与工程说明，不构成收益保证、法律裁决、金融建议或招聘评价。</w:t>
      </w:r>
    </w:p>
    <w:p>
      <w:r>
        <w:br w:type="page"/>
      </w:r>
    </w:p>
    <w:p>
      <w:pPr>
        <w:pStyle w:val="Kicker"/>
      </w:pPr>
      <w:r>
        <w:t>RELEASE RECOVERY</w:t>
      </w:r>
    </w:p>
    <w:p>
      <w:pPr>
        <w:pStyle w:val="Heading1"/>
      </w:pPr>
      <w:r>
        <w:t>01 交付恢复与实质升级</w:t>
      </w:r>
    </w:p>
    <w:p>
      <w:r>
        <w:t>本报告与开源程序是对上一版不可下载交付的重新建设。当前工作环境仅保留了 LUCIDECON 的单文件 Python 程序、离线页面、架构图与简要物料清单；未找到上一版完整 ZIP 和两份报告。因此，这次不是更换旧链接，而是从可用程序恢复源码、重新实现关键内核，并重新撰写两份报告。</w:t>
      </w:r>
    </w:p>
    <w:p>
      <w:r>
        <w:t>恢复来源及 SHA-256 记录在 RECOVERY.json，原 Python 源码保留于 legacy/v1_source/，不会进入新版默认导入路径。上一轮宣称的测试数没有被直接沿用；新版测试、样例运行和文件校验均在当前环境重新执行。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DE2"/>
          <w:bottom w:val="single" w:sz="4" w:color="CDDDE2"/>
          <w:insideH w:val="single" w:sz="4" w:color="CDDDE2"/>
        </w:tblBorders>
      </w:tblPr>
      <w:tblGrid>
        <w:gridCol w:w="3168"/>
        <w:gridCol w:w="3168"/>
        <w:gridCol w:w="3168"/>
      </w:tblGrid>
      <w:tr>
        <w:trPr>
          <w:tblHeader/>
          <w:cantSplit/>
        </w:trPr>
        <w:tc>
          <w:tcPr>
            <w:tcW w:type="dxa" w:w="3172"/>
            <w:shd w:fill="123242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检查对象</w:t>
            </w:r>
          </w:p>
        </w:tc>
        <w:tc>
          <w:tcPr>
            <w:tcW w:type="dxa" w:w="3172"/>
            <w:shd w:fill="123242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旧版风险</w:t>
            </w:r>
          </w:p>
        </w:tc>
        <w:tc>
          <w:tcPr>
            <w:tcW w:type="dxa" w:w="3172"/>
            <w:shd w:fill="123242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2.0 处理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机会判断</w:t>
            </w:r>
          </w:p>
        </w:tc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启发式评分可产生“已验证”标签</w:t>
            </w:r>
          </w:p>
        </w:tc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改为证据范围内的情景判断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分配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独立储备与浮点四舍五入可能超额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整数分、剩余池、逐分守恒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能耗</w:t>
            </w:r>
          </w:p>
        </w:tc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缺失值与边界不可比未充分区分</w:t>
            </w:r>
          </w:p>
        </w:tc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未知不等于零；显式回退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账本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未强制检查连续序号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序号、链接、哈希及外部检查点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交付</w:t>
            </w:r>
          </w:p>
        </w:tc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长文件名及缺失的归档/报告</w:t>
            </w:r>
          </w:p>
        </w:tc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短文件名、完整包及独立报告</w:t>
            </w:r>
          </w:p>
        </w:tc>
      </w:tr>
    </w:tbl>
    <w:p>
      <w:pPr>
        <w:spacing w:after="0"/>
      </w:pPr>
    </w:p>
    <w:p>
      <w:pPr>
        <w:pStyle w:val="Callout"/>
        <w:keepLines/>
        <w:shd w:fill="E7F3F2"/>
        <w:pBdr>
          <w:left w:val="single" w:sz="20" w:color="096C75"/>
        </w:pBdr>
      </w:pPr>
      <w:r>
        <w:t>新版定位：可运行的机会实验与协商分配工具，不是确定人的价值、预测所有市场或保障就业的终审系统。</w:t>
      </w:r>
    </w:p>
    <w:p>
      <w:r>
        <w:br w:type="page"/>
      </w:r>
    </w:p>
    <w:p>
      <w:pPr>
        <w:pStyle w:val="Kicker"/>
      </w:pPr>
      <w:r>
        <w:t>SOURCE DISCIPLINE</w:t>
      </w:r>
    </w:p>
    <w:p>
      <w:pPr>
        <w:pStyle w:val="Heading1"/>
      </w:pPr>
      <w:r>
        <w:t>02 两项背景材料：可用依据与缺口</w:t>
      </w:r>
    </w:p>
    <w:p>
      <w:r>
        <w:t>第一项材料是用户提供的《GPT-6，“强拆”App的墙》文字。它讨论模型在 API、浏览器、代码和 GUI 之间选择执行入口，同时明确区分“接口可达”与“取得权限”。作者在结尾承认尚未独立实测所述模型。本报告将其视为趋势性评论，不把具体产品日期、成功率或性能数字作为已验证事实或程序参数。[S01]</w:t>
      </w:r>
    </w:p>
    <w:p>
      <w:r>
        <w:t>第二项材料为百度视频《别学 AI 编程了，AI 编程是一条死路》。本次能够识别页面标题，但没有取得正文转写。因而这里只检验标题命题的适用条件，不推测视频作者的完整论证、经历、数据或结论。报告中的反证、模型和方案属于独立分析，不冒充视频摘要。[S02]</w:t>
      </w:r>
    </w:p>
    <w:p>
      <w:pPr>
        <w:pStyle w:val="Heading2"/>
      </w:pPr>
      <w:r>
        <w:t>外部研究不支持“一句话通吃”</w:t>
      </w:r>
    </w:p>
    <w:p>
      <w:r>
        <w:t>ILO 的 2025 年研究采用任务级暴露分析，而不是把技术暴露直接当作整个职业消失。NBER 的客服研究报告过生产率增益；METR 在早期 2025 年特定开源开发者样本中观察到减速。两者研究的是不同对象，不能相互冒充，也不能机械外推到所有普通人。[S03–S05]</w:t>
      </w:r>
    </w:p>
    <w:p>
      <w:r>
        <w:t>METR 在 2026 年 2 月的更新进一步指出，后续实验出现显著选择效应和计时问题，不能给出可靠的当前加速幅度。因此本系统要求以本人、当前任务和实际验收结果作小规模比较，而不依据任何一个历史数字许诺未来收益。[S06]</w:t>
      </w:r>
    </w:p>
    <w:p>
      <w:pPr>
        <w:pStyle w:val="Callout"/>
        <w:keepLines/>
        <w:shd w:fill="E7F3F2"/>
        <w:pBdr>
          <w:left w:val="single" w:sz="20" w:color="096C75"/>
        </w:pBdr>
      </w:pPr>
      <w:r>
        <w:t>可支持的结论：模型性能、实际交付效率、客户愿付价格和个人能否取得收入，是四个不同问题。</w:t>
      </w:r>
    </w:p>
    <w:p>
      <w:r>
        <w:br w:type="page"/>
      </w:r>
    </w:p>
    <w:p>
      <w:pPr>
        <w:pStyle w:val="Kicker"/>
      </w:pPr>
      <w:r>
        <w:t>ECONOMY &amp; POWER</w:t>
      </w:r>
    </w:p>
    <w:p>
      <w:pPr>
        <w:pStyle w:val="Heading1"/>
      </w:pPr>
      <w:r>
        <w:t>03 透明经济的更高层定义</w:t>
      </w:r>
    </w:p>
    <w:p>
      <w:r>
        <w:t>这里的透明经济不是“把每个人的全部能力和弱点都读出来”。人的 DIKWP 记录是任务、语境、时间、关系和授权限定的证据集合，不是完整人格，也不是可被机构永久使用的单一等级。技术可观察性本身不能产生公开权、交易权或处置权。</w:t>
      </w:r>
    </w:p>
    <w:p>
      <w:r>
        <w:t>应透明的是五类关系：需求是否真实、结果如何被验证、贡献来自何处、谁控制分发与交易、收益及损害怎样分配。应受保护的是与任务无关的生活、信念、健康资料、身份信息和退出权。程序默认只生成本地文件；公开回执主动省略详细财务与证据。</w:t>
      </w:r>
    </w:p>
    <w:p>
      <w:r>
        <w:t>信息或代码的复制成本降低，并不自动使收入分配平等。即使所有人使用相同模型，客户入口、数据许可、工作信誉、现场责任、资本缓冲和协商能力仍可能不对称。OECD 对数字市场的分析强调用户能动性、信息不对称、转换障碍与干预的双向影响；这些机制值得审查，但不能直接证明某个个人必然失败。[S07]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DE2"/>
          <w:bottom w:val="single" w:sz="4" w:color="CDDDE2"/>
          <w:insideH w:val="single" w:sz="4" w:color="CDDDE2"/>
        </w:tblBorders>
      </w:tblPr>
      <w:tblGrid>
        <w:gridCol w:w="4752"/>
        <w:gridCol w:w="4752"/>
      </w:tblGrid>
      <w:tr>
        <w:trPr>
          <w:tblHeader/>
          <w:cantSplit/>
        </w:trPr>
        <w:tc>
          <w:tcPr>
            <w:tcW w:type="dxa" w:w="4757"/>
            <w:shd w:fill="123242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必须区分</w:t>
            </w:r>
          </w:p>
        </w:tc>
        <w:tc>
          <w:tcPr>
            <w:tcW w:type="dxa" w:w="4757"/>
            <w:shd w:fill="123242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本版处理</w:t>
            </w:r>
          </w:p>
        </w:tc>
      </w:tr>
      <w:tr>
        <w:trPr>
          <w:cantSplit/>
          <w:cantSplit/>
        </w:trPr>
        <w:tc>
          <w:tcPr>
            <w:tcW w:type="dxa" w:w="4752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创造价值 / 获取收入</w:t>
            </w:r>
          </w:p>
        </w:tc>
        <w:tc>
          <w:tcPr>
            <w:tcW w:type="dxa" w:w="4752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计算现金路径，但不把现金当作人的价值</w:t>
            </w:r>
          </w:p>
        </w:tc>
      </w:tr>
      <w:tr>
        <w:trPr>
          <w:cantSplit/>
          <w:cantSplit/>
        </w:trPr>
        <w:tc>
          <w:tcPr>
            <w:tcW w:type="dxa" w:w="4752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能力 / 有权执行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任务证据与权限门分别登记</w:t>
            </w:r>
          </w:p>
        </w:tc>
      </w:tr>
      <w:tr>
        <w:trPr>
          <w:cantSplit/>
          <w:cantSplit/>
        </w:trPr>
        <w:tc>
          <w:tcPr>
            <w:tcW w:type="dxa" w:w="4752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先发优势 / 永久垄断</w:t>
            </w:r>
          </w:p>
        </w:tc>
        <w:tc>
          <w:tcPr>
            <w:tcW w:type="dxa" w:w="4752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更改反馈机制，比较不同结果</w:t>
            </w:r>
          </w:p>
        </w:tc>
      </w:tr>
      <w:tr>
        <w:trPr>
          <w:cantSplit/>
          <w:cantSplit/>
        </w:trPr>
        <w:tc>
          <w:tcPr>
            <w:tcW w:type="dxa" w:w="4752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公开透明 / 全面监控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本地最少数据，主动选择分享</w:t>
            </w:r>
          </w:p>
        </w:tc>
      </w:tr>
      <w:tr>
        <w:trPr>
          <w:cantSplit/>
          <w:cantSplit/>
        </w:trPr>
        <w:tc>
          <w:tcPr>
            <w:tcW w:type="dxa" w:w="4752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重新分配 / 创造新需求</w:t>
            </w:r>
          </w:p>
        </w:tc>
        <w:tc>
          <w:tcPr>
            <w:tcW w:type="dxa" w:w="4752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固定池模拟禁止凭空增加总量</w:t>
            </w:r>
          </w:p>
        </w:tc>
      </w:tr>
    </w:tbl>
    <w:p>
      <w:pPr>
        <w:spacing w:after="0"/>
      </w:pPr>
    </w:p>
    <w:p>
      <w:pPr>
        <w:pStyle w:val="Callout"/>
        <w:keepLines/>
        <w:shd w:fill="E7F3F2"/>
        <w:pBdr>
          <w:left w:val="single" w:sz="20" w:color="096C75"/>
        </w:pBdr>
      </w:pPr>
      <w:r>
        <w:t>系统目标：让普通人更早发现真实约束，减少无依据投入，同时使具备现实证据的新路径能够重新进入，而不是永久排除后来者。</w:t>
      </w:r>
    </w:p>
    <w:p>
      <w:r>
        <w:br w:type="page"/>
      </w:r>
    </w:p>
    <w:p>
      <w:pPr>
        <w:pStyle w:val="Kicker"/>
      </w:pPr>
      <w:r>
        <w:t>DIKWP &amp; EVIDENCE</w:t>
      </w:r>
    </w:p>
    <w:p>
      <w:pPr>
        <w:pStyle w:val="Heading1"/>
      </w:pPr>
      <w:r>
        <w:t>04 从个人评分转为任务证据合同</w:t>
      </w:r>
    </w:p>
    <w:p>
      <w:r>
        <w:t>方法来源于用户提供的 DIKWP 原生语义连续规范：多记录、显式路径、W 实际影响 P、后继保留前序和差异，以及内部闭合不得冒充外部事实。本版只实现这一方法的工程投影，不宣称已形式证明其全部本体主张。[S08]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DE2"/>
          <w:bottom w:val="single" w:sz="4" w:color="CDDDE2"/>
          <w:insideH w:val="single" w:sz="4" w:color="CDDDE2"/>
        </w:tblBorders>
      </w:tblPr>
      <w:tblGrid>
        <w:gridCol w:w="4752"/>
        <w:gridCol w:w="4752"/>
      </w:tblGrid>
      <w:tr>
        <w:trPr>
          <w:tblHeader/>
          <w:cantSplit/>
        </w:trPr>
        <w:tc>
          <w:tcPr>
            <w:tcW w:type="dxa" w:w="4757"/>
            <w:shd w:fill="123242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757"/>
            <w:shd w:fill="123242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在本系统中的作用</w:t>
            </w:r>
          </w:p>
        </w:tc>
      </w:tr>
      <w:tr>
        <w:trPr>
          <w:cantSplit/>
          <w:cantSplit/>
        </w:trPr>
        <w:tc>
          <w:tcPr>
            <w:tcW w:type="dxa" w:w="4752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D</w:t>
            </w:r>
          </w:p>
        </w:tc>
        <w:tc>
          <w:tcPr>
            <w:tcW w:type="dxa" w:w="4752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保存输入、来源、日期与可重复的记录指向</w:t>
            </w:r>
          </w:p>
        </w:tc>
      </w:tr>
      <w:tr>
        <w:trPr>
          <w:cantSplit/>
          <w:cantSplit/>
        </w:trPr>
        <w:tc>
          <w:tcPr>
            <w:tcW w:type="dxa" w:w="4752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I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保存缺失、冲突、约束和新结果造成的差异</w:t>
            </w:r>
          </w:p>
        </w:tc>
      </w:tr>
      <w:tr>
        <w:trPr>
          <w:cantSplit/>
          <w:cantSplit/>
        </w:trPr>
        <w:tc>
          <w:tcPr>
            <w:tcW w:type="dxa" w:w="4752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K</w:t>
            </w:r>
          </w:p>
        </w:tc>
        <w:tc>
          <w:tcPr>
            <w:tcW w:type="dxa" w:w="4752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保存当前声明范围内的计算结论</w:t>
            </w:r>
          </w:p>
        </w:tc>
      </w:tr>
      <w:tr>
        <w:trPr>
          <w:cantSplit/>
          <w:cantSplit/>
        </w:trPr>
        <w:tc>
          <w:tcPr>
            <w:tcW w:type="dxa" w:w="4752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W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使权限、损失上限和隐私约束进入筛选</w:t>
            </w:r>
          </w:p>
        </w:tc>
      </w:tr>
      <w:tr>
        <w:trPr>
          <w:cantSplit/>
          <w:cantSplit/>
        </w:trPr>
        <w:tc>
          <w:tcPr>
            <w:tcW w:type="dxa" w:w="4752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P</w:t>
            </w:r>
          </w:p>
        </w:tc>
        <w:tc>
          <w:tcPr>
            <w:tcW w:type="dxa" w:w="4752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把输入、评估输出、复测和下一行动连接起来</w:t>
            </w:r>
          </w:p>
        </w:tc>
      </w:tr>
    </w:tbl>
    <w:p>
      <w:pPr>
        <w:spacing w:after="0"/>
      </w:pPr>
    </w:p>
    <w:p>
      <w:r>
        <w:t>每项机会必须分别具有需求、交付、客户入口三类记录，以及所需 DIKWP 角色的能力记录。记录包含操作范围、观察日期、有效期、样本数量、结果、来源和评审者。仅有 SELF_REPORT、过期记录、不相干任务或未通过结果，均不会通过证据门；数量堆积不能补偿缺失的关键角色。</w:t>
      </w:r>
    </w:p>
    <w:p>
      <w:r>
        <w:t>REVIEWED 表示“提交材料声明已评审”，而不是软件已经认证评审者身份或查阅原件。所有示例的评审者与记录均为虚构。即使用户将数据标记为 USER_SUBMITTED，输出也保持 empirical_validation=false，直到另行完成真实世界验证。</w:t>
      </w:r>
    </w:p>
    <w:p>
      <w:r>
        <w:t>授权必须绑定本人别名、目的和到期日期；撤销或过期后，评估被拒绝。示例中的授权仅控制本地评估，不是远程软件或第三方数据的有效访问凭证。</w:t>
      </w:r>
    </w:p>
    <w:p>
      <w:r>
        <w:br w:type="page"/>
      </w:r>
    </w:p>
    <w:p>
      <w:pPr>
        <w:pStyle w:val="Kicker"/>
      </w:pPr>
      <w:r>
        <w:t>INTERVAL ECONOMICS</w:t>
      </w:r>
    </w:p>
    <w:p>
      <w:pPr>
        <w:pStyle w:val="Heading1"/>
      </w:pPr>
      <w:r>
        <w:t>05 可独立重算的现金与时间边界</w:t>
      </w:r>
    </w:p>
    <w:p>
      <w:r>
        <w:t>本版用整数分计算钱，用整数分钟和件数约束时间与交付，不把所有风险压成一个总分。先声明期限、可投入现金、可接受损失和本期现金结余目标；再声明价格、单位交付成本、获客成本和需求上下界。默认预筹全部交付费用，不假定未来收入会及时到账。</w:t>
      </w:r>
    </w:p>
    <w:p>
      <w:pPr>
        <w:pStyle w:val="Code"/>
      </w:pPr>
      <w:r>
        <w:t>capacity = max(0, available_minutes - setup_minutes) // minutes_per_unit</w:t>
        <w:br/>
        <w:t>q = demand interval clipped to capacity</w:t>
        <w:br/>
        <w:t>m_low = price_low - cost_high - acquisition_high - route_cost</w:t>
        <w:br/>
        <w:t>m_high = price_high - cost_low - acquisition_low - route_cost</w:t>
        <w:br/>
        <w:t>net_low = min(q_low*m_low, q_high*m_low) - overhead</w:t>
        <w:br/>
        <w:t>net_high = max(q_low*m_high, q_high*m_high) - overhead</w:t>
      </w:r>
    </w:p>
    <w:p>
      <w:r>
        <w:t>负利润时卖得越多可能亏得越多，所以不能简单用“低销量×低利润”作为最坏边界。上述 min/max 处理这一符号变化。模型区间是人为声明的情景边界，不是统计置信区间；它不自动估计需求弹性、价格相关性或竞争者反应。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DE2"/>
          <w:bottom w:val="single" w:sz="4" w:color="CDDDE2"/>
          <w:insideH w:val="single" w:sz="4" w:color="CDDDE2"/>
        </w:tblBorders>
      </w:tblPr>
      <w:tblGrid>
        <w:gridCol w:w="3168"/>
        <w:gridCol w:w="3168"/>
        <w:gridCol w:w="3168"/>
      </w:tblGrid>
      <w:tr>
        <w:trPr>
          <w:tblHeader/>
          <w:cantSplit/>
        </w:trPr>
        <w:tc>
          <w:tcPr>
            <w:tcW w:type="dxa" w:w="3172"/>
            <w:shd w:fill="123242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合成本地维护例</w:t>
            </w:r>
          </w:p>
        </w:tc>
        <w:tc>
          <w:tcPr>
            <w:tcW w:type="dxa" w:w="3172"/>
            <w:shd w:fill="123242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基准</w:t>
            </w:r>
          </w:p>
        </w:tc>
        <w:tc>
          <w:tcPr>
            <w:tcW w:type="dxa" w:w="3172"/>
            <w:shd w:fill="123242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价格/需求冲击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可交付量</w:t>
            </w:r>
          </w:p>
        </w:tc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8–12 单</w:t>
            </w:r>
          </w:p>
        </w:tc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6–9 单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现金结余范围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874.00–2,466.00 USD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294.00–1,272.00 USD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预筹现金上界</w:t>
            </w:r>
          </w:p>
        </w:tc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1,014.00 USD</w:t>
            </w:r>
          </w:p>
        </w:tc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924.00 USD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本期目标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250.00 USD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250.00 USD</w:t>
            </w:r>
          </w:p>
        </w:tc>
      </w:tr>
    </w:tbl>
    <w:p>
      <w:pPr>
        <w:spacing w:after="0"/>
      </w:pPr>
    </w:p>
    <w:p>
      <w:r>
        <w:t>计算结果在两种声明情景下达标，并不意味着真实客户存在。个人生活成本、税费、债务服务和未计价劳动不自动包含在“现金结余”中；需要使用者显式补入。各机会分别使用整份预算，不能把多个单项达标结果直接拼成整体可执行组合。</w:t>
      </w:r>
    </w:p>
    <w:p>
      <w:r>
        <w:br w:type="page"/>
      </w:r>
    </w:p>
    <w:p>
      <w:pPr>
        <w:pStyle w:val="Kicker"/>
      </w:pPr>
      <w:r>
        <w:t>SCOPED DECISIONS</w:t>
      </w:r>
    </w:p>
    <w:p>
      <w:pPr>
        <w:pStyle w:val="Heading1"/>
      </w:pPr>
      <w:r>
        <w:t>06 “有路”“缺证据”和“当前无路”</w:t>
      </w:r>
    </w:p>
    <w:p>
      <w:r>
        <w:t>普通人需要明确判断，但明确不等于绝对化。新版将证据缺失、权利阻断、资源不足、情景可行和情景不可行分别输出，不再用一个“已验证机会”标签覆盖这些差别。所有结论只回答当前候选集、目标、期限和输入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DE2"/>
          <w:bottom w:val="single" w:sz="4" w:color="CDDDE2"/>
          <w:insideH w:val="single" w:sz="4" w:color="CDDDE2"/>
        </w:tblBorders>
      </w:tblPr>
      <w:tblGrid>
        <w:gridCol w:w="4752"/>
        <w:gridCol w:w="4752"/>
      </w:tblGrid>
      <w:tr>
        <w:trPr>
          <w:tblHeader/>
          <w:cantSplit/>
        </w:trPr>
        <w:tc>
          <w:tcPr>
            <w:tcW w:type="dxa" w:w="4757"/>
            <w:shd w:fill="123242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4757"/>
            <w:shd w:fill="123242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正确含义</w:t>
            </w:r>
          </w:p>
        </w:tc>
      </w:tr>
      <w:tr>
        <w:trPr>
          <w:cantSplit/>
          <w:cantSplit/>
        </w:trPr>
        <w:tc>
          <w:tcPr>
            <w:tcW w:type="dxa" w:w="4752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声明情景内稳健</w:t>
            </w:r>
          </w:p>
        </w:tc>
        <w:tc>
          <w:tcPr>
            <w:tcW w:type="dxa" w:w="4752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所有列出的下界达标；尚非现实证明</w:t>
            </w:r>
          </w:p>
        </w:tc>
      </w:tr>
      <w:tr>
        <w:trPr>
          <w:cantSplit/>
          <w:cantSplit/>
        </w:trPr>
        <w:tc>
          <w:tcPr>
            <w:tcW w:type="dxa" w:w="4752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仅可作有边界试点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有达标可能，但至少一个情景下界不足</w:t>
            </w:r>
          </w:p>
        </w:tc>
      </w:tr>
      <w:tr>
        <w:trPr>
          <w:cantSplit/>
          <w:cantSplit/>
        </w:trPr>
        <w:tc>
          <w:tcPr>
            <w:tcW w:type="dxa" w:w="4752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证据不足</w:t>
            </w:r>
          </w:p>
        </w:tc>
        <w:tc>
          <w:tcPr>
            <w:tcW w:type="dxa" w:w="4752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先补充资料；不是人的能力不足</w:t>
            </w:r>
          </w:p>
        </w:tc>
      </w:tr>
      <w:tr>
        <w:trPr>
          <w:cantSplit/>
          <w:cantSplit/>
        </w:trPr>
        <w:tc>
          <w:tcPr>
            <w:tcW w:type="dxa" w:w="4752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当前范围无路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每条获准路线的上界都达不到目标</w:t>
            </w:r>
          </w:p>
        </w:tc>
      </w:tr>
      <w:tr>
        <w:trPr>
          <w:cantSplit/>
          <w:cantSplit/>
        </w:trPr>
        <w:tc>
          <w:tcPr>
            <w:tcW w:type="dxa" w:w="4752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资源阻断</w:t>
            </w:r>
          </w:p>
        </w:tc>
        <w:tc>
          <w:tcPr>
            <w:tcW w:type="dxa" w:w="4752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预算、时间或损失上限不允许继续</w:t>
            </w:r>
          </w:p>
        </w:tc>
      </w:tr>
      <w:tr>
        <w:trPr>
          <w:cantSplit/>
          <w:cantSplit/>
        </w:trPr>
        <w:tc>
          <w:tcPr>
            <w:tcW w:type="dxa" w:w="4752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权限/执行阻断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存在未通过的硬门，不能拿收益抵消</w:t>
            </w:r>
          </w:p>
        </w:tc>
      </w:tr>
    </w:tbl>
    <w:p>
      <w:pPr>
        <w:spacing w:after="0"/>
      </w:pPr>
    </w:p>
    <w:p>
      <w:r>
        <w:t>合成“同质化摘要转售”例中，最坏现金结余为 -237.20 USD，最好为 -196.00 USD，仍低于 250.00 USD 的目标。软件因此给出局部无路结论，列出需要改变的价格、需求、成本或目标。它不会建议继续购买课程来掩盖不成立的单位经济性。</w:t>
      </w:r>
    </w:p>
    <w:p>
      <w:r>
        <w:t>同一案例若只有未经评审的自述，则输出“证据不足”，而不是无路。若原本稳健的维护项目将目标提高到 600.00 USD，则变为有边界试点；若预算降到 100.00 USD，则变为资源阻断。改变一个条件，结论必须真实改变。</w:t>
      </w:r>
    </w:p>
    <w:p>
      <w:pPr>
        <w:pStyle w:val="Callout"/>
        <w:keepLines/>
        <w:shd w:fill="E7F3F2"/>
        <w:pBdr>
          <w:left w:val="single" w:sz="20" w:color="096C75"/>
        </w:pBdr>
      </w:pPr>
      <w:r>
        <w:t>无路后的首要动作是停止这条未被支持的投入，保护基本生活，寻找新需求或新的合作结构；不是停止个人发展，更不是把局部标签公开成一个人的终身身份。</w:t>
      </w:r>
    </w:p>
    <w:p>
      <w:r>
        <w:br w:type="page"/>
      </w:r>
    </w:p>
    <w:p>
      <w:pPr>
        <w:pStyle w:val="Kicker"/>
      </w:pPr>
      <w:r>
        <w:t>AUTHORIZED EXECUTION</w:t>
      </w:r>
    </w:p>
    <w:p>
      <w:pPr>
        <w:pStyle w:val="Heading1"/>
      </w:pPr>
      <w:r>
        <w:t>07 在完整约束之后比较能耗</w:t>
      </w:r>
    </w:p>
    <w:p>
      <w:r>
        <w:t>模型原生、生成代码、本地 API、远程 API、浏览器、GUI、联邦节点、人类和物理路径都可以登记为候选，但本版只比较声明，不实际调用这些系统。能力清单必须给出数据等级、授权、质量、可靠性、单次价格、延迟、外传量和能耗边界。</w:t>
      </w:r>
    </w:p>
    <w:p>
      <w:r>
        <w:t>与旧版不同，新版会先对每一条技术上允许的路线计算现金和风险边界。优先保留所有情景都达标且可负担的路线；若没有，则保留损失上限内可检验的试点路线；均不存在时，只产生诊断结果。不能因为低能耗路线更昂贵而错误地忽略另一条可负担路线。</w:t>
      </w:r>
    </w:p>
    <w:p>
      <w:pPr>
        <w:pStyle w:val="Code"/>
      </w:pPr>
      <w:r>
        <w:t>Permission / data / quality / reliability / latency gates</w:t>
        <w:br/>
        <w:t xml:space="preserve">  -&gt; per-route cash and loss stress tests</w:t>
        <w:br/>
        <w:t xml:space="preserve">  -&gt; robust subset, else bounded-pilot subset</w:t>
        <w:br/>
        <w:t xml:space="preserve">  -&gt; comparable energy boundary</w:t>
        <w:br/>
        <w:t xml:space="preserve">  -&gt; minimum upper Joule bound, then cost / latency / egress</w:t>
      </w:r>
    </w:p>
    <w:p>
      <w:r>
        <w:t>焦耳与金钱、等待时间、隐私、语义误差、人工责任不是同一个量。能耗缺失时保留未知；能耗口径不同则不可直接排序；存在硬性焦耳预算却没有可比较数据时拒绝该路线。全部路线缺少可比较能耗且没有硬预算时，可选择最低成本备选，但明确标为“非能耗最优”。</w:t>
      </w:r>
    </w:p>
    <w:p>
      <w:r>
        <w:t>MEASURED 仍表示提交者声称有测量，并要求提供测量记录位置；内核没有读取功率计。样例全部使用估算，并只讨论计算与网络单元，不把一个人的总代谢或人生价值换算为焦耳。示例中远程方案虽便宜，却违反零外传约束，因此不能以低价或低能耗取得执行资格。</w:t>
      </w:r>
    </w:p>
    <w:p>
      <w:pPr>
        <w:pStyle w:val="Callout"/>
        <w:keepLines/>
        <w:shd w:fill="E7F3F2"/>
        <w:pBdr>
          <w:left w:val="single" w:sz="20" w:color="096C75"/>
        </w:pBdr>
      </w:pPr>
      <w:r>
        <w:t>接口能够到达，不等于权限已经取得。用户材料本身明确提出了这一分界；新版将它落实为独立的硬约束，而不把 GUI 作为绕权路线。[S01]</w:t>
      </w:r>
    </w:p>
    <w:p>
      <w:r>
        <w:br w:type="page"/>
      </w:r>
    </w:p>
    <w:p>
      <w:pPr>
        <w:pStyle w:val="Kicker"/>
      </w:pPr>
      <w:r>
        <w:t>COUNTEREXAMPLES INCLUDED</w:t>
      </w:r>
    </w:p>
    <w:p>
      <w:pPr>
        <w:pStyle w:val="Heading1"/>
      </w:pPr>
      <w:r>
        <w:t>08 先发优势与后来者：两个相反模型</w:t>
      </w:r>
    </w:p>
    <w:p>
      <w:r>
        <w:t>“最先进入者占尽机会”不是单靠 AI 更强就能推出的结论。本版提供一个固定价值池实验：参与者质量相同，最初曝光不同；下一轮分配依赖前轮份额和显式强化指数。保持其他条件不变，只改变强化指数，就可能从优势衰减转向集中。</w:t>
      </w:r>
    </w:p>
    <w:p>
      <w:r>
        <w:t>这是机制敏感性演示，不是用公开数据拟合的市场预测。实验没有价格反应、进入成本、退出、生产和新增需求；每轮只分配同一个 100,000 分的池。透明规则可以重新分配份额，却不能凭空造出买家或收入。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DE2"/>
          <w:bottom w:val="single" w:sz="4" w:color="CDDDE2"/>
          <w:insideH w:val="single" w:sz="4" w:color="CDDDE2"/>
        </w:tblBorders>
      </w:tblPr>
      <w:tblGrid>
        <w:gridCol w:w="3168"/>
        <w:gridCol w:w="3168"/>
        <w:gridCol w:w="3168"/>
      </w:tblGrid>
      <w:tr>
        <w:trPr>
          <w:tblHeader/>
          <w:cantSplit/>
        </w:trPr>
        <w:tc>
          <w:tcPr>
            <w:tcW w:type="dxa" w:w="3172"/>
            <w:shd w:fill="123242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第 12 轮，合成数据</w:t>
            </w:r>
          </w:p>
        </w:tc>
        <w:tc>
          <w:tcPr>
            <w:tcW w:type="dxa" w:w="3172"/>
            <w:shd w:fill="123242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最大份额</w:t>
            </w:r>
          </w:p>
        </w:tc>
        <w:tc>
          <w:tcPr>
            <w:tcW w:type="dxa" w:w="3172"/>
            <w:shd w:fill="123242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HHI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强化指数 2：无新增规则</w:t>
            </w:r>
          </w:p>
        </w:tc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96.351%</w:t>
            </w:r>
          </w:p>
        </w:tc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0.928499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强化指数 2：限额+新人底额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20.000%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0.166933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强化指数 1：无新增规则</w:t>
            </w:r>
          </w:p>
        </w:tc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10.241%</w:t>
            </w:r>
          </w:p>
        </w:tc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0.100006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强化指数 1：限额+新人底额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15.908%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0.123264</w:t>
            </w:r>
          </w:p>
        </w:tc>
      </w:tr>
    </w:tbl>
    <w:p>
      <w:pPr>
        <w:spacing w:after="0"/>
      </w:pPr>
    </w:p>
    <w:p>
      <w:r>
        <w:t>最后两行是故意保留的反例：当原有机制本来就在走向均衡时，持续倾向新人群体的分配反而提高 HHI。系统不会为维护“透明政策一定正确”而删除这个结果。限额和新人底额若在数学上不相容，程序直接报告制度不可行，不通过再次归一化偷偷突破限额。</w:t>
      </w:r>
    </w:p>
    <w:p>
      <w:r>
        <w:t>后来者的“出路”应通过任务重新界定和现实需求检验：本地维护、适用规则、长期关系、授权数据、客户验收或协作所有权可能提供不同接口，但都不是天然不可替代的职业。默认晚入场案例只改变描述而保持条件相同，检验系统不因“后来者”标签自动扣分；它不证明所有晚入场者处境相同。</w:t>
      </w:r>
    </w:p>
    <w:p>
      <w:r>
        <w:br w:type="page"/>
      </w:r>
    </w:p>
    <w:p>
      <w:pPr>
        <w:pStyle w:val="Kicker"/>
      </w:pPr>
      <w:r>
        <w:t>EXACT ACCOUNTING</w:t>
      </w:r>
    </w:p>
    <w:p>
      <w:pPr>
        <w:pStyle w:val="Heading1"/>
      </w:pPr>
      <w:r>
        <w:t>09 贡献结算：协商规则与逐分守恒</w:t>
      </w:r>
    </w:p>
    <w:p>
      <w:r>
        <w:t>DIKWP 贡献不等于一个由模型自动读出的客观工资表。记录可以表明谁提供了材料、发现了问题、形成了方法、承担了审核、定义并验收了目的；但分配权重仍需参与者事先协商。样例使用明确的贡献单位，而不是把人的人格、智力或长期价值换算为分成。</w:t>
      </w:r>
    </w:p>
    <w:p>
      <w:r>
        <w:t>分配顺序为：先保留声明的修复准备金，再从余额按协商比例划分公共贡献与新人试验池，最后按单位分配剩余金额。争议和未核验贡献仍进入分母，但对应份额进入暂存，不能直接分给已获认可的一方。修复要求超过总池时，记录缺口，不创造不存在的资金。</w:t>
      </w:r>
    </w:p>
    <w:p>
      <w:pPr>
        <w:pStyle w:val="Code"/>
      </w:pPr>
      <w:r>
        <w:t>gross = repair_reserve + commons + newcomer_pool</w:t>
        <w:br/>
        <w:t xml:space="preserve">      + planned_payouts + held_amount</w:t>
        <w:br/>
        <w:t>real_funds_moved = false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DE2"/>
          <w:bottom w:val="single" w:sz="4" w:color="CDDDE2"/>
          <w:insideH w:val="single" w:sz="4" w:color="CDDDE2"/>
        </w:tblBorders>
      </w:tblPr>
      <w:tblGrid>
        <w:gridCol w:w="4752"/>
        <w:gridCol w:w="4752"/>
      </w:tblGrid>
      <w:tr>
        <w:trPr>
          <w:tblHeader/>
          <w:cantSplit/>
        </w:trPr>
        <w:tc>
          <w:tcPr>
            <w:tcW w:type="dxa" w:w="4757"/>
            <w:shd w:fill="123242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合成案例，金额单位为分</w:t>
            </w:r>
          </w:p>
        </w:tc>
        <w:tc>
          <w:tcPr>
            <w:tcW w:type="dxa" w:w="4757"/>
            <w:shd w:fill="123242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金额</w:t>
            </w:r>
          </w:p>
        </w:tc>
      </w:tr>
      <w:tr>
        <w:trPr>
          <w:cantSplit/>
          <w:cantSplit/>
        </w:trPr>
        <w:tc>
          <w:tcPr>
            <w:tcW w:type="dxa" w:w="4752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总额</w:t>
            </w:r>
          </w:p>
        </w:tc>
        <w:tc>
          <w:tcPr>
            <w:tcW w:type="dxa" w:w="4752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100,003</w:t>
            </w:r>
          </w:p>
        </w:tc>
      </w:tr>
      <w:tr>
        <w:trPr>
          <w:cantSplit/>
          <w:cantSplit/>
        </w:trPr>
        <w:tc>
          <w:tcPr>
            <w:tcW w:type="dxa" w:w="4752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修复准备金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10,000</w:t>
            </w:r>
          </w:p>
        </w:tc>
      </w:tr>
      <w:tr>
        <w:trPr>
          <w:cantSplit/>
          <w:cantSplit/>
        </w:trPr>
        <w:tc>
          <w:tcPr>
            <w:tcW w:type="dxa" w:w="4752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公共贡献池</w:t>
            </w:r>
          </w:p>
        </w:tc>
        <w:tc>
          <w:tcPr>
            <w:tcW w:type="dxa" w:w="4752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9,000</w:t>
            </w:r>
          </w:p>
        </w:tc>
      </w:tr>
      <w:tr>
        <w:trPr>
          <w:cantSplit/>
          <w:cantSplit/>
        </w:trPr>
        <w:tc>
          <w:tcPr>
            <w:tcW w:type="dxa" w:w="4752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新人试验池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9,000</w:t>
            </w:r>
          </w:p>
        </w:tc>
      </w:tr>
      <w:tr>
        <w:trPr>
          <w:cantSplit/>
          <w:cantSplit/>
        </w:trPr>
        <w:tc>
          <w:tcPr>
            <w:tcW w:type="dxa" w:w="4752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已认可贡献的拟分配</w:t>
            </w:r>
          </w:p>
        </w:tc>
        <w:tc>
          <w:tcPr>
            <w:tcW w:type="dxa" w:w="4752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57,602</w:t>
            </w:r>
          </w:p>
        </w:tc>
      </w:tr>
      <w:tr>
        <w:trPr>
          <w:cantSplit/>
          <w:cantSplit/>
        </w:trPr>
        <w:tc>
          <w:tcPr>
            <w:tcW w:type="dxa" w:w="4752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争议贡献暂存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14,401</w:t>
            </w:r>
          </w:p>
        </w:tc>
      </w:tr>
    </w:tbl>
    <w:p>
      <w:pPr>
        <w:spacing w:after="0"/>
      </w:pPr>
    </w:p>
    <w:p>
      <w:r>
        <w:t>程序采用最大余数法分配整数分，并以稳定标识处理同余数平局。缺少有效协议或权利确认时，全部金额进入暂存。测试覆盖空贡献、零权重、修复超额、比例超限、争议转认可和随机生成的金额组合。任何结果都必须满足上式；字段好看并不能替代守恒。</w:t>
      </w:r>
    </w:p>
    <w:p>
      <w:pPr>
        <w:pStyle w:val="Callout"/>
        <w:keepLines/>
        <w:shd w:fill="E7F3F2"/>
        <w:pBdr>
          <w:left w:val="single" w:sz="20" w:color="096C75"/>
        </w:pBdr>
      </w:pPr>
      <w:r>
        <w:t>制度边界：准备金、公共池和新人池均是本协议的设计参数，不是普遍法律义务；程序不判定法律责任，不自动处罚，不办理真实付款、退款、税务或托管。</w:t>
      </w:r>
    </w:p>
    <w:p>
      <w:r>
        <w:br w:type="page"/>
      </w:r>
    </w:p>
    <w:p>
      <w:pPr>
        <w:pStyle w:val="Kicker"/>
      </w:pPr>
      <w:r>
        <w:t>FROM PLAN TO EVIDENCE</w:t>
      </w:r>
    </w:p>
    <w:p>
      <w:pPr>
        <w:pStyle w:val="Heading1"/>
      </w:pPr>
      <w:r>
        <w:t>10 普通人的 30 天落地协议</w:t>
      </w:r>
    </w:p>
    <w:p>
      <w:r>
        <w:t>真正的第一步不是购买工具，而是缩小问题。选择一个你能够接触的服务对象、一个可定义的需求和一个可验收结果。其价值可以是节省重复劳动、降低错误、维护设备、提高可读性或提供合规边界内的协调；不能只用“AI 很先进”当需求证明。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DE2"/>
          <w:bottom w:val="single" w:sz="4" w:color="CDDDE2"/>
          <w:insideH w:val="single" w:sz="4" w:color="CDDDE2"/>
        </w:tblBorders>
      </w:tblPr>
      <w:tblGrid>
        <w:gridCol w:w="3168"/>
        <w:gridCol w:w="3168"/>
        <w:gridCol w:w="3168"/>
      </w:tblGrid>
      <w:tr>
        <w:trPr>
          <w:tblHeader/>
          <w:cantSplit/>
        </w:trPr>
        <w:tc>
          <w:tcPr>
            <w:tcW w:type="dxa" w:w="3172"/>
            <w:shd w:fill="123242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172"/>
            <w:shd w:fill="123242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执行动作</w:t>
            </w:r>
          </w:p>
        </w:tc>
        <w:tc>
          <w:tcPr>
            <w:tcW w:type="dxa" w:w="3172"/>
            <w:shd w:fill="123242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应留下的证据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第 1–3 天</w:t>
            </w:r>
          </w:p>
        </w:tc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列出候选、预算、时间和停止条件</w:t>
            </w:r>
          </w:p>
        </w:tc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一页目的与约束合同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第 4–7 天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与真实需求方书面核对范围与验收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需求说明、授权、报价范围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第 8–14 天</w:t>
            </w:r>
          </w:p>
        </w:tc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完成一个低成本可逆样本，计入复核时间</w:t>
            </w:r>
          </w:p>
        </w:tc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输入/输出、工时、错误与修复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第 15–21 天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比较替代方式，检查付费和复用可能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验收、真实采用或付款证据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第 22–30 天</w:t>
            </w:r>
          </w:p>
        </w:tc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更新区间、复核结果并决定继续或退出</w:t>
            </w:r>
          </w:p>
        </w:tc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结果事件、修订理由、下一期限</w:t>
            </w:r>
          </w:p>
        </w:tc>
      </w:tr>
    </w:tbl>
    <w:p>
      <w:pPr>
        <w:spacing w:after="0"/>
      </w:pPr>
    </w:p>
    <w:p>
      <w:r>
        <w:t>对缺钱、缺时间或承担照护的人，缩小试验规模比扩大压力更重要。把必需储备排除在试验预算之外，不借软件结论要求家庭共同承担不可逆损失。若本人已处于明显经济困难，首先稳定基本收入与合法支持渠道；本工具不替代具体地区的专业帮助。</w:t>
      </w:r>
    </w:p>
    <w:p>
      <w:r>
        <w:t>衡量进展要区分：生成了作品、有人愿意使用、有人接受效果、有人按约付款、扣除完整成本后能持续重复。这五个状态不能互相替代。若连续试验没有现实需求或单位经济性仍不成立，应停止该路线，而不是无限积累证书或把失败归咎于个人不够努力。</w:t>
      </w:r>
    </w:p>
    <w:p>
      <w:pPr>
        <w:pStyle w:val="Callout"/>
        <w:keepLines/>
        <w:shd w:fill="E7F3F2"/>
        <w:pBdr>
          <w:left w:val="single" w:sz="20" w:color="096C75"/>
        </w:pBdr>
      </w:pPr>
      <w:r>
        <w:t>重新开启条件必须具体：新增客户记录、可用授权、可复核成果、成本下降、合法的新合作安排或现实制度变化。仅把“我更有信心了”输入模型，不算新证据。</w:t>
      </w:r>
    </w:p>
    <w:p>
      <w:r>
        <w:br w:type="page"/>
      </w:r>
    </w:p>
    <w:p>
      <w:pPr>
        <w:pStyle w:val="Kicker"/>
      </w:pPr>
      <w:r>
        <w:t>LOCAL-FIRST SOFTWARE</w:t>
      </w:r>
    </w:p>
    <w:p>
      <w:pPr>
        <w:pStyle w:val="Heading1"/>
      </w:pPr>
      <w:r>
        <w:t>11 安装、运行与结果回写</w:t>
      </w:r>
    </w:p>
    <w:p>
      <w:r>
        <w:t>解压完整包后，普通读者可以直接打开 lucidecon.html。网页支持中英文、七个合成样例、预算/目标/时间/需求调整、完整 JSON 导入、导出和打印。页面不是伪装成服务器的截图：计算发生在浏览器内存中，没有远程模型或网络数据服务。</w:t>
      </w:r>
    </w:p>
    <w:p>
      <w:pPr>
        <w:pStyle w:val="Code"/>
      </w:pPr>
      <w:r>
        <w:t>python lucidecon.pyz inspect</w:t>
        <w:br/>
        <w:t>python lucidecon.pyz demo --output outputs/first_run</w:t>
        <w:br/>
        <w:t>python lucidecon.pyz init --output my_case.json</w:t>
        <w:br/>
        <w:t>python lucidecon.pyz assess my_case.json --output outputs/me_01</w:t>
        <w:br/>
        <w:t>python lucidecon.pyz replay outputs/me_01</w:t>
        <w:br/>
        <w:t>python lucidecon.pyz verify outputs/me_01/ledger.jsonl</w:t>
      </w:r>
    </w:p>
    <w:p>
      <w:r>
        <w:t>完整内核要求 Python 3.10 或以上，运行时无需第三方依赖。每次使用新的输出目录，避免覆盖历史。Windows 可用 py -3，也提供 run_demo.bat；Linux/macOS 可用 python3 或 run_demo.sh。所有说明命令与本次实际解析器一致。</w:t>
      </w:r>
    </w:p>
    <w:p>
      <w:r>
        <w:t>每次评估输出私人输入、完整评估、最小化公开回执、语义路径、Markdown 报告、JSONL 账本和检查点。record-outcome 命令追加具名结果事件：改善仅提供局部支持；无变化要求修订；恶化要求暂停与检查伤害；未测量继续保留现实债务。</w:t>
      </w:r>
    </w:p>
    <w:p>
      <w:r>
        <w:t>回放从已保存输入重新计算并比较哈希，不只是读取旧结论。已生成语义图登记了 25 种允许的角色对，但只记录实际使用的六条关系；不声称每次运行执行了全部 25 种路径，也不将回放相等当作市场事实为真。</w:t>
      </w:r>
    </w:p>
    <w:p>
      <w:pPr>
        <w:pStyle w:val="Callout"/>
        <w:keepLines/>
        <w:shd w:fill="E7F3F2"/>
        <w:pBdr>
          <w:left w:val="single" w:sz="20" w:color="096C75"/>
        </w:pBdr>
      </w:pPr>
      <w:r>
        <w:t>本地文件是明文，不是安全保险箱。评估日期、同意与证据有效期需要本人更新；浏览器导出和截图仍可能暴露敏感资料，公开回执中的别名和哈希也可能被关联。</w:t>
      </w:r>
    </w:p>
    <w:p>
      <w:r>
        <w:br w:type="page"/>
      </w:r>
    </w:p>
    <w:p>
      <w:pPr>
        <w:pStyle w:val="Kicker"/>
      </w:pPr>
      <w:r>
        <w:t>TESTED SCOPE</w:t>
      </w:r>
    </w:p>
    <w:p>
      <w:pPr>
        <w:pStyle w:val="Heading1"/>
      </w:pPr>
      <w:r>
        <w:t>12 核验、威胁模型与未完成项</w:t>
      </w:r>
    </w:p>
    <w:p>
      <w:r>
        <w:t>本次交付执行 88 项自动测试，其中一项额外检查 250 组确定性随机分配案例。测试涵盖证据范围与到期、拒绝缺失字段和非有限数、负利润区间、经济门优先于能耗、金额守恒、争议暂存、制度不可行、政策反例、账本序号和截断检查。测试通过不等于所有现实判断正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DDDE2"/>
          <w:bottom w:val="single" w:sz="4" w:color="CDDDE2"/>
          <w:insideH w:val="single" w:sz="4" w:color="CDDDE2"/>
        </w:tblBorders>
      </w:tblPr>
      <w:tblGrid>
        <w:gridCol w:w="3168"/>
        <w:gridCol w:w="3168"/>
        <w:gridCol w:w="3168"/>
      </w:tblGrid>
      <w:tr>
        <w:trPr>
          <w:tblHeader/>
          <w:cantSplit/>
        </w:trPr>
        <w:tc>
          <w:tcPr>
            <w:tcW w:type="dxa" w:w="3172"/>
            <w:shd w:fill="123242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核验对象</w:t>
            </w:r>
          </w:p>
        </w:tc>
        <w:tc>
          <w:tcPr>
            <w:tcW w:type="dxa" w:w="3172"/>
            <w:shd w:fill="123242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实际完成</w:t>
            </w:r>
          </w:p>
        </w:tc>
        <w:tc>
          <w:tcPr>
            <w:tcW w:type="dxa" w:w="3172"/>
            <w:shd w:fill="123242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b/>
                <w:color w:val="FFFFFF"/>
                <w:sz w:val="18"/>
              </w:rPr>
              <w:t>不能推出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Python 内核</w:t>
            </w:r>
          </w:p>
        </w:tc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自动测试、样例运行、回放</w:t>
            </w:r>
          </w:p>
        </w:tc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真实需求或稳定收入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浏览器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7 样例核心结果对照及交互检查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所有输入与所有浏览器完全等价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账本</w:t>
            </w:r>
          </w:p>
        </w:tc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格式、序号、链接、哈希、检查点</w:t>
            </w:r>
          </w:p>
        </w:tc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原始资料真实、记录者身份真实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发行包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文件清单、CRC、解压后重运行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第三方安全认证或永久下载可达</w:t>
            </w:r>
          </w:p>
        </w:tc>
      </w:tr>
      <w:tr>
        <w:trPr>
          <w:cantSplit/>
          <w:cantSplit/>
        </w:trPr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报告</w:t>
            </w:r>
          </w:p>
        </w:tc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DOCX 渲染与页面检查</w:t>
            </w:r>
          </w:p>
        </w:tc>
        <w:tc>
          <w:tcPr>
            <w:tcW w:type="dxa" w:w="3168"/>
            <w:vAlign w:val="center"/>
            <w:shd w:fill="F1F6F7"/>
          </w:tcPr>
          <w:p>
            <w:pPr>
              <w:spacing w:after="80" w:before="80" w:line="269" w:lineRule="auto"/>
            </w:pPr>
            <w:r>
              <w:rPr>
                <w:rFonts w:ascii="Calibri" w:hAnsi="Calibri" w:eastAsia="Noto Sans CJK SC"/>
                <w:sz w:val="18"/>
              </w:rPr>
              <w:t>经济理论已被独立验证</w:t>
            </w:r>
          </w:p>
        </w:tc>
      </w:tr>
    </w:tbl>
    <w:p>
      <w:pPr>
        <w:spacing w:after="0"/>
      </w:pPr>
    </w:p>
    <w:p>
      <w:r>
        <w:t>浏览器测试通过在 Chromium 中加载本地 HTML 内容完成；该环境对直接 file:// 导航有管理限制，因此没有把受限环境中的下载行为当作用户设备测试。界面以零外部请求运行，导出功能已检查；但无法从当前环境替用户验证其聊天客户端下载动作。</w:t>
      </w:r>
    </w:p>
    <w:p>
      <w:r>
        <w:t>哈希链可以发现内部不一致，但拥有全部文件写权限的人能够重建整条链。保存在独立位置的检查点能够发现相对该点的改写或尾部截断，仍不能证明内容真实。文件输出与事件追加也不是多租户分布式事务。公开服务化需要另行建设身份、访问控制、加密、并发控制、安全测试和地区性合规审查。</w:t>
      </w:r>
    </w:p>
    <w:p>
      <w:pPr>
        <w:pStyle w:val="Callout"/>
        <w:keepLines/>
        <w:shd w:fill="E7F3F2"/>
        <w:pBdr>
          <w:left w:val="single" w:sz="20" w:color="096C75"/>
        </w:pBdr>
      </w:pPr>
      <w:r>
        <w:t>尚未完成：真实市场实验、独立需求核查、功率计量、真实模型/API 调用、支付托管、招聘或金融决策部署、GitHub 远程发布和外部机构认可。新版交付的是可检查的本地参考系统。</w:t>
      </w:r>
    </w:p>
    <w:p>
      <w:r>
        <w:br w:type="page"/>
      </w:r>
    </w:p>
    <w:p>
      <w:pPr>
        <w:pStyle w:val="Kicker"/>
      </w:pPr>
      <w:r>
        <w:t>SOURCES &amp; PROVENANCE</w:t>
      </w:r>
    </w:p>
    <w:p>
      <w:pPr>
        <w:pStyle w:val="Heading1"/>
      </w:pPr>
      <w:r>
        <w:t>13 来源、归属与阅读范围</w:t>
      </w:r>
    </w:p>
    <w:p>
      <w:r>
        <w:t>以下条目将用户材料、外部研究和本次工程设计分开。用户书稿与文章没有作为开源软件的再分发内容收入发行包。外部来源不为本软件背书。访问与核对日期：2026-09-07。</w:t>
      </w:r>
    </w:p>
    <w:p>
      <w:pPr>
        <w:pStyle w:val="Source"/>
      </w:pPr>
      <w:r>
        <w:t>[S01]  — GPT-6，“强拆”App的墙</w:t>
      </w:r>
    </w:p>
    <w:p>
      <w:pPr>
        <w:pStyle w:val="Source"/>
      </w:pPr>
      <w:r>
        <w:t>粘贴的 markdown (1)。md(4), source paragraphs on interface/permission separation and final untested-effect disclaimer</w:t>
      </w:r>
    </w:p>
    <w:p>
      <w:pPr>
        <w:pStyle w:val="Source"/>
      </w:pPr>
      <w:r>
        <w:t>仅为趋势评论；文末承认未独立实测。</w:t>
      </w:r>
    </w:p>
    <w:p>
      <w:pPr>
        <w:pStyle w:val="Source"/>
      </w:pPr>
      <w:r>
        <w:t>[S02]  — 别学 AI 编程了，AI 编程是一条死路 #AI#</w:t>
      </w:r>
    </w:p>
    <w:p>
      <w:pPr>
        <w:pStyle w:val="Source"/>
      </w:pPr>
      <w:r>
        <w:t>https://mbd.baidu.com/newspage/data/videolanding?nid=sv_10268259270444150443&amp;sourceFrom=share</w:t>
      </w:r>
    </w:p>
    <w:p>
      <w:pPr>
        <w:pStyle w:val="Source"/>
      </w:pPr>
      <w:r>
        <w:t>仅有标题；本次未取得逐字稿。</w:t>
      </w:r>
    </w:p>
    <w:p>
      <w:pPr>
        <w:pStyle w:val="Source"/>
      </w:pPr>
      <w:r>
        <w:t>[S03] ILO / NASK — Generative AI and Jobs: A Refined Global Index of Occupational Exposure (2025-05-20)</w:t>
      </w:r>
    </w:p>
    <w:p>
      <w:pPr>
        <w:pStyle w:val="Source"/>
      </w:pPr>
      <w:r>
        <w:t>https://www.ilo.org/publications/generative-ai-and-jobs-refined-global-index-occupational-exposure</w:t>
      </w:r>
    </w:p>
    <w:p>
      <w:pPr>
        <w:pStyle w:val="Source"/>
      </w:pPr>
      <w:r>
        <w:t>本次检索到摘要；主页面直接访问受限。</w:t>
      </w:r>
    </w:p>
    <w:p>
      <w:pPr>
        <w:pStyle w:val="Source"/>
      </w:pPr>
      <w:r>
        <w:t>[S04] Erik Brynjolfsson, Danielle Li, Lindsey R. Raymond — Generative AI at Work</w:t>
      </w:r>
    </w:p>
    <w:p>
      <w:pPr>
        <w:pStyle w:val="Source"/>
      </w:pPr>
      <w:r>
        <w:t>https://www.nber.org/papers/w31161</w:t>
      </w:r>
    </w:p>
    <w:p>
      <w:pPr>
        <w:pStyle w:val="Source"/>
      </w:pPr>
      <w:r>
        <w:t>检索到工作论文摘要；不作为普遍生产率系数。</w:t>
      </w:r>
    </w:p>
    <w:p>
      <w:pPr>
        <w:pStyle w:val="Source"/>
      </w:pPr>
      <w:r>
        <w:t>[S05] METR — Measuring the Impact of Early-2025 AI on Experienced Open-Source Developer Productivity (2025-07-10)</w:t>
      </w:r>
    </w:p>
    <w:p>
      <w:pPr>
        <w:pStyle w:val="Source"/>
      </w:pPr>
      <w:r>
        <w:t>https://metr.org/blog/2025-07-10-early-2025-ai-experienced-os-dev-study/</w:t>
      </w:r>
    </w:p>
    <w:p>
      <w:pPr>
        <w:pStyle w:val="Source"/>
      </w:pPr>
      <w:r>
        <w:t>历史、情境限定研究。</w:t>
      </w:r>
    </w:p>
    <w:p>
      <w:pPr>
        <w:pStyle w:val="Source"/>
      </w:pPr>
      <w:r>
        <w:t>[S06] METR — We are Changing our Developer Productivity Experiment Design (2026-02-24)</w:t>
      </w:r>
    </w:p>
    <w:p>
      <w:pPr>
        <w:pStyle w:val="Source"/>
      </w:pPr>
      <w:r>
        <w:t>https://metr.org/blog/2026-02-24-uplift-update/</w:t>
      </w:r>
    </w:p>
    <w:p>
      <w:pPr>
        <w:pStyle w:val="Source"/>
      </w:pPr>
      <w:r>
        <w:t>更新强调选择偏差和计量局限。</w:t>
      </w:r>
    </w:p>
    <w:p>
      <w:pPr>
        <w:pStyle w:val="Source"/>
      </w:pPr>
      <w:r>
        <w:t>[S07] OECD — Competition and consumer policy in digital markets (2026-05-28)</w:t>
      </w:r>
    </w:p>
    <w:p>
      <w:pPr>
        <w:pStyle w:val="Source"/>
      </w:pPr>
      <w:r>
        <w:t>https://www.oecd.org/en/publications/competition-and-consumer-policy-in-digital-markets_042c0c49-en/full-report/component-4.html</w:t>
      </w:r>
    </w:p>
    <w:p>
      <w:pPr>
        <w:pStyle w:val="Source"/>
      </w:pPr>
      <w:r>
        <w:t>制度权衡依据；不证明本方案的效果。</w:t>
      </w:r>
    </w:p>
    <w:p>
      <w:pPr>
        <w:pStyle w:val="Source"/>
      </w:pPr>
      <w:r>
        <w:t>[S08] Yucong Duan and Feng Wang — 宇宙的数学新史 / A New Mathematical History of the Universe</w:t>
      </w:r>
    </w:p>
    <w:p>
      <w:pPr>
        <w:pStyle w:val="Source"/>
      </w:pPr>
      <w:r>
        <w:t>Chinese native-semantic reconstruction note; English pp. 2, 8–10</w:t>
      </w:r>
    </w:p>
    <w:p>
      <w:pPr>
        <w:pStyle w:val="Source"/>
      </w:pPr>
      <w:r>
        <w:t>方法性来源；不自动生成外部经济证明。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109" w:right="1195" w:bottom="1008" w:left="1195" w:header="490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F7A"/>
        <w:sz w:val="16"/>
      </w:rPr>
      <w:t xml:space="preserve">明值经济 · 2026.09.07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  <w:spacing w:after="0"/>
    </w:pPr>
    <w:r>
      <w:t>DIKWP  /  LUCIDECON 2.0                                      RESEARCH &amp;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40"/>
    </w:pPr>
    <w:rPr>
      <w:rFonts w:ascii="Calibri" w:hAnsi="Calibri" w:eastAsia="Noto Sans CJK SC"/>
      <w:color w:val="1232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20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12324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20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096C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180"/>
      <w:contextualSpacing/>
    </w:pPr>
    <w:rPr>
      <w:rFonts w:asciiTheme="majorHAnsi" w:eastAsiaTheme="majorEastAsia" w:hAnsiTheme="majorHAnsi" w:cstheme="majorBidi" w:ascii="Calibri" w:hAnsi="Calibri" w:eastAsia="Noto Sans CJK SC"/>
      <w:color w:val="123242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80" w:after="200"/>
    </w:pPr>
    <w:rPr>
      <w:rFonts w:asciiTheme="majorHAnsi" w:eastAsiaTheme="majorEastAsia" w:hAnsiTheme="majorHAnsi" w:cstheme="majorBidi" w:ascii="Calibri" w:hAnsi="Calibri" w:eastAsia="Noto Sans CJK SC"/>
      <w:i/>
      <w:iCs/>
      <w:color w:val="123242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180" w:line="276" w:lineRule="auto"/>
    </w:pPr>
    <w:rPr>
      <w:rFonts w:ascii="Calibri" w:hAnsi="Calibri" w:eastAsia="Noto Sans CJK SC"/>
      <w:b/>
      <w:color w:val="096C75"/>
      <w:sz w:val="18"/>
    </w:rPr>
  </w:style>
  <w:style w:type="paragraph" w:customStyle="1" w:styleId="Callout">
    <w:name w:val="Callout"/>
    <w:pPr>
      <w:spacing w:after="180" w:line="276" w:lineRule="auto" w:before="140"/>
      <w:ind w:left="173" w:right="144"/>
    </w:pPr>
    <w:rPr>
      <w:rFonts w:ascii="Calibri" w:hAnsi="Calibri" w:eastAsia="Noto Sans CJK SC"/>
      <w:color w:val="123242"/>
      <w:sz w:val="20"/>
    </w:rPr>
  </w:style>
  <w:style w:type="paragraph" w:customStyle="1" w:styleId="Code">
    <w:name w:val="Code"/>
    <w:pPr>
      <w:keepLines/>
      <w:spacing w:after="180" w:line="276" w:lineRule="auto"/>
      <w:ind w:left="173"/>
    </w:pPr>
    <w:rPr>
      <w:rFonts w:ascii="Consolas" w:hAnsi="Consolas" w:eastAsia="Noto Sans CJK SC"/>
      <w:color w:val="123242"/>
      <w:sz w:val="16"/>
    </w:rPr>
  </w:style>
  <w:style w:type="paragraph" w:customStyle="1" w:styleId="Source">
    <w:name w:val="Source"/>
    <w:pPr>
      <w:spacing w:after="180" w:line="276" w:lineRule="auto"/>
    </w:pPr>
    <w:rPr>
      <w:rFonts w:ascii="Calibri" w:hAnsi="Calibri" w:eastAsia="Noto Sans CJK SC"/>
      <w:color w:val="566F7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透明经济与普通人机会：证据、可行性及贡献分配</dc:title>
  <dc:subject>DIKWP-LUCIDECON-OS 2.0 recovery and redesign</dc:subject>
  <dc:creator>Yucong Duan</dc:creator>
  <cp:keywords/>
  <dc:description>Newly rebuilt report. Synthetic examples. Not independent market validation.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