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DIKWP  /  LUCIDECON 2.0</w:t>
      </w:r>
    </w:p>
    <w:p>
      <w:pPr>
        <w:spacing w:after="700"/>
      </w:pPr>
    </w:p>
    <w:p>
      <w:pPr>
        <w:pStyle w:val="Title"/>
      </w:pPr>
      <w:r>
        <w:t>Transparent Economy</w:t>
        <w:br/>
        <w:t>and Ordinary-Person</w:t>
        <w:br/>
        <w:t>Opportunity</w:t>
      </w:r>
    </w:p>
    <w:p>
      <w:pPr>
        <w:pStyle w:val="Subtitle"/>
      </w:pPr>
      <w:r>
        <w:t>From capability narratives to evidence, constraints and accountable allocation</w:t>
      </w:r>
    </w:p>
    <w:p>
      <w:pPr>
        <w:pStyle w:val="Kicker"/>
      </w:pPr>
      <w:r>
        <w:t>Recovered and upgraded release  |  7 September 2026</w:t>
      </w:r>
    </w:p>
    <w:p>
      <w:r>
        <w:t>Yucong Duan  ·  DIKWP research programme</w:t>
      </w:r>
    </w:p>
    <w:p>
      <w:r>
        <w:t>This report and its open-source reference system neither invent opportunities for ordinary people nor turn a currently infeasible route into a verdict on a life. They make demand, access, task evidence, economics, permission and allocation jointly inspectable.</w:t>
      </w:r>
    </w:p>
    <w:p>
      <w:pPr>
        <w:pStyle w:val="Callout"/>
        <w:keepLines/>
        <w:shd w:fill="E7F3F2"/>
        <w:pBdr>
          <w:left w:val="single" w:sz="20" w:color="096C75"/>
        </w:pBdr>
      </w:pPr>
      <w:r>
        <w:t>Make value flows and rules transparent. Protect dignity, privacy and future possibility.</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4752"/>
        <w:gridCol w:w="4752"/>
      </w:tblGrid>
      <w:tr>
        <w:trPr>
          <w:tblHeader/>
          <w:cantSplit/>
        </w:trPr>
        <w:tc>
          <w:tcPr>
            <w:tcW w:type="dxa" w:w="4757"/>
            <w:shd w:fill="123242"/>
          </w:tcPr>
          <w:p>
            <w:pPr>
              <w:spacing w:after="80" w:before="80" w:line="269" w:lineRule="auto"/>
            </w:pPr>
            <w:r>
              <w:rPr>
                <w:rFonts w:ascii="Calibri" w:hAnsi="Calibri" w:eastAsia="Noto Sans CJK SC"/>
                <w:b/>
                <w:color w:val="FFFFFF"/>
                <w:sz w:val="18"/>
              </w:rPr>
              <w:t>Artifact</w:t>
            </w:r>
          </w:p>
        </w:tc>
        <w:tc>
          <w:tcPr>
            <w:tcW w:type="dxa" w:w="4757"/>
            <w:shd w:fill="123242"/>
          </w:tcPr>
          <w:p>
            <w:pPr>
              <w:spacing w:after="80" w:before="80" w:line="269" w:lineRule="auto"/>
            </w:pPr>
            <w:r>
              <w:rPr>
                <w:rFonts w:ascii="Calibri" w:hAnsi="Calibri" w:eastAsia="Noto Sans CJK SC"/>
                <w:b/>
                <w:color w:val="FFFFFF"/>
                <w:sz w:val="18"/>
              </w:rPr>
              <w:t>Scope</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2.0.0</w:t>
            </w:r>
          </w:p>
        </w:tc>
        <w:tc>
          <w:tcPr>
            <w:tcW w:type="dxa" w:w="4752"/>
            <w:vAlign w:val="center"/>
            <w:shd w:fill="F1F6F7"/>
          </w:tcPr>
          <w:p>
            <w:pPr>
              <w:spacing w:after="80" w:before="80" w:line="269" w:lineRule="auto"/>
            </w:pPr>
            <w:r>
              <w:rPr>
                <w:rFonts w:ascii="Calibri" w:hAnsi="Calibri" w:eastAsia="Noto Sans CJK SC"/>
                <w:sz w:val="18"/>
              </w:rPr>
              <w:t>Local execution; no third-party runtime packages</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88</w:t>
            </w:r>
          </w:p>
        </w:tc>
        <w:tc>
          <w:tcPr>
            <w:tcW w:type="dxa" w:w="4752"/>
            <w:vAlign w:val="center"/>
            <w:shd w:fill="FFFFFF"/>
          </w:tcPr>
          <w:p>
            <w:pPr>
              <w:spacing w:after="80" w:before="80" w:line="269" w:lineRule="auto"/>
            </w:pPr>
            <w:r>
              <w:rPr>
                <w:rFonts w:ascii="Calibri" w:hAnsi="Calibri" w:eastAsia="Noto Sans CJK SC"/>
                <w:sz w:val="18"/>
              </w:rPr>
              <w:t>Test methods; includes 250 allocation-property cases</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7</w:t>
            </w:r>
          </w:p>
        </w:tc>
        <w:tc>
          <w:tcPr>
            <w:tcW w:type="dxa" w:w="4752"/>
            <w:vAlign w:val="center"/>
            <w:shd w:fill="F1F6F7"/>
          </w:tcPr>
          <w:p>
            <w:pPr>
              <w:spacing w:after="80" w:before="80" w:line="269" w:lineRule="auto"/>
            </w:pPr>
            <w:r>
              <w:rPr>
                <w:rFonts w:ascii="Calibri" w:hAnsi="Calibri" w:eastAsia="Noto Sans CJK SC"/>
                <w:sz w:val="18"/>
              </w:rPr>
              <w:t>Synthetic fixtures and browser core-result comparisons</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0</w:t>
            </w:r>
          </w:p>
        </w:tc>
        <w:tc>
          <w:tcPr>
            <w:tcW w:type="dxa" w:w="4752"/>
            <w:vAlign w:val="center"/>
            <w:shd w:fill="FFFFFF"/>
          </w:tcPr>
          <w:p>
            <w:pPr>
              <w:spacing w:after="80" w:before="80" w:line="269" w:lineRule="auto"/>
            </w:pPr>
            <w:r>
              <w:rPr>
                <w:rFonts w:ascii="Calibri" w:hAnsi="Calibri" w:eastAsia="Noto Sans CJK SC"/>
                <w:sz w:val="18"/>
              </w:rPr>
              <w:t>Real payments, automatic external actions or human-worth scores</w:t>
            </w:r>
          </w:p>
        </w:tc>
      </w:tr>
    </w:tbl>
    <w:p>
      <w:pPr>
        <w:spacing w:after="0"/>
      </w:pPr>
    </w:p>
    <w:p>
      <w:pPr>
        <w:pStyle w:val="Source"/>
      </w:pPr>
      <w:r>
        <w:t>Research and engineering documentation; no income guarantee, legal adjudication, financial advice or hiring evaluation.</w:t>
      </w:r>
    </w:p>
    <w:p>
      <w:r>
        <w:br w:type="page"/>
      </w:r>
    </w:p>
    <w:p>
      <w:pPr>
        <w:pStyle w:val="Kicker"/>
      </w:pPr>
      <w:r>
        <w:t>RELEASE RECOVERY</w:t>
      </w:r>
    </w:p>
    <w:p>
      <w:pPr>
        <w:pStyle w:val="Heading1"/>
      </w:pPr>
      <w:r>
        <w:t>01 Recovery and substantive upgrade</w:t>
      </w:r>
    </w:p>
    <w:p>
      <w:r>
        <w:t>This release rebuilds the deliverables that were unavailable to the user. The working environment retained the previous Python executable, offline page, architecture SVG and a short software inventory, but not the promised full archive or two reports. The new delivery therefore recovers available source, redesigns the critical runtime and rewrites both reports. It is not a relabelling of old links or a byte-preserving restoration of unavailable documents.</w:t>
      </w:r>
    </w:p>
    <w:p>
      <w:r>
        <w:t>RECOVERY.json identifies the recovered executable and its SHA-256. Historical source is retained under legacy/v1_source/ and is not on the new runtime import path. Previous claims about test totals were not carried forward as evidence. New tests, example runs and artifact checks are performed on the files delivered here.</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3168"/>
        <w:gridCol w:w="3168"/>
        <w:gridCol w:w="3168"/>
      </w:tblGrid>
      <w:tr>
        <w:trPr>
          <w:tblHeader/>
          <w:cantSplit/>
        </w:trPr>
        <w:tc>
          <w:tcPr>
            <w:tcW w:type="dxa" w:w="3172"/>
            <w:shd w:fill="123242"/>
          </w:tcPr>
          <w:p>
            <w:pPr>
              <w:spacing w:after="80" w:before="80" w:line="269" w:lineRule="auto"/>
            </w:pPr>
            <w:r>
              <w:rPr>
                <w:rFonts w:ascii="Calibri" w:hAnsi="Calibri" w:eastAsia="Noto Sans CJK SC"/>
                <w:b/>
                <w:color w:val="FFFFFF"/>
                <w:sz w:val="18"/>
              </w:rPr>
              <w:t>Area</w:t>
            </w:r>
          </w:p>
        </w:tc>
        <w:tc>
          <w:tcPr>
            <w:tcW w:type="dxa" w:w="3172"/>
            <w:shd w:fill="123242"/>
          </w:tcPr>
          <w:p>
            <w:pPr>
              <w:spacing w:after="80" w:before="80" w:line="269" w:lineRule="auto"/>
            </w:pPr>
            <w:r>
              <w:rPr>
                <w:rFonts w:ascii="Calibri" w:hAnsi="Calibri" w:eastAsia="Noto Sans CJK SC"/>
                <w:b/>
                <w:color w:val="FFFFFF"/>
                <w:sz w:val="18"/>
              </w:rPr>
              <w:t>Recovered v1 issue</w:t>
            </w:r>
          </w:p>
        </w:tc>
        <w:tc>
          <w:tcPr>
            <w:tcW w:type="dxa" w:w="3172"/>
            <w:shd w:fill="123242"/>
          </w:tcPr>
          <w:p>
            <w:pPr>
              <w:spacing w:after="80" w:before="80" w:line="269" w:lineRule="auto"/>
            </w:pPr>
            <w:r>
              <w:rPr>
                <w:rFonts w:ascii="Calibri" w:hAnsi="Calibri" w:eastAsia="Noto Sans CJK SC"/>
                <w:b/>
                <w:color w:val="FFFFFF"/>
                <w:sz w:val="18"/>
              </w:rPr>
              <w:t>2.0 treatment</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Opportunity</w:t>
            </w:r>
          </w:p>
        </w:tc>
        <w:tc>
          <w:tcPr>
            <w:tcW w:type="dxa" w:w="3168"/>
            <w:vAlign w:val="center"/>
            <w:shd w:fill="F1F6F7"/>
          </w:tcPr>
          <w:p>
            <w:pPr>
              <w:spacing w:after="80" w:before="80" w:line="269" w:lineRule="auto"/>
            </w:pPr>
            <w:r>
              <w:rPr>
                <w:rFonts w:ascii="Calibri" w:hAnsi="Calibri" w:eastAsia="Noto Sans CJK SC"/>
                <w:sz w:val="18"/>
              </w:rPr>
              <w:t>Heuristics could produce a verified-path label</w:t>
            </w:r>
          </w:p>
        </w:tc>
        <w:tc>
          <w:tcPr>
            <w:tcW w:type="dxa" w:w="3168"/>
            <w:vAlign w:val="center"/>
            <w:shd w:fill="F1F6F7"/>
          </w:tcPr>
          <w:p>
            <w:pPr>
              <w:spacing w:after="80" w:before="80" w:line="269" w:lineRule="auto"/>
            </w:pPr>
            <w:r>
              <w:rPr>
                <w:rFonts w:ascii="Calibri" w:hAnsi="Calibri" w:eastAsia="Noto Sans CJK SC"/>
                <w:sz w:val="18"/>
              </w:rPr>
              <w:t>Evidence-scoped scenario decisions</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Allocation</w:t>
            </w:r>
          </w:p>
        </w:tc>
        <w:tc>
          <w:tcPr>
            <w:tcW w:type="dxa" w:w="3168"/>
            <w:vAlign w:val="center"/>
            <w:shd w:fill="FFFFFF"/>
          </w:tcPr>
          <w:p>
            <w:pPr>
              <w:spacing w:after="80" w:before="80" w:line="269" w:lineRule="auto"/>
            </w:pPr>
            <w:r>
              <w:rPr>
                <w:rFonts w:ascii="Calibri" w:hAnsi="Calibri" w:eastAsia="Noto Sans CJK SC"/>
                <w:sz w:val="18"/>
              </w:rPr>
              <w:t>Independent reserves and rounding can over-allocate</w:t>
            </w:r>
          </w:p>
        </w:tc>
        <w:tc>
          <w:tcPr>
            <w:tcW w:type="dxa" w:w="3168"/>
            <w:vAlign w:val="center"/>
            <w:shd w:fill="FFFFFF"/>
          </w:tcPr>
          <w:p>
            <w:pPr>
              <w:spacing w:after="80" w:before="80" w:line="269" w:lineRule="auto"/>
            </w:pPr>
            <w:r>
              <w:rPr>
                <w:rFonts w:ascii="Calibri" w:hAnsi="Calibri" w:eastAsia="Noto Sans CJK SC"/>
                <w:sz w:val="18"/>
              </w:rPr>
              <w:t>Integer cents and conservation</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Energy</w:t>
            </w:r>
          </w:p>
        </w:tc>
        <w:tc>
          <w:tcPr>
            <w:tcW w:type="dxa" w:w="3168"/>
            <w:vAlign w:val="center"/>
            <w:shd w:fill="F1F6F7"/>
          </w:tcPr>
          <w:p>
            <w:pPr>
              <w:spacing w:after="80" w:before="80" w:line="269" w:lineRule="auto"/>
            </w:pPr>
            <w:r>
              <w:rPr>
                <w:rFonts w:ascii="Calibri" w:hAnsi="Calibri" w:eastAsia="Noto Sans CJK SC"/>
                <w:sz w:val="18"/>
              </w:rPr>
              <w:t>Unknown or incomparable metrics were insufficiently separated</w:t>
            </w:r>
          </w:p>
        </w:tc>
        <w:tc>
          <w:tcPr>
            <w:tcW w:type="dxa" w:w="3168"/>
            <w:vAlign w:val="center"/>
            <w:shd w:fill="F1F6F7"/>
          </w:tcPr>
          <w:p>
            <w:pPr>
              <w:spacing w:after="80" w:before="80" w:line="269" w:lineRule="auto"/>
            </w:pPr>
            <w:r>
              <w:rPr>
                <w:rFonts w:ascii="Calibri" w:hAnsi="Calibri" w:eastAsia="Noto Sans CJK SC"/>
                <w:sz w:val="18"/>
              </w:rPr>
              <w:t>Unknown is not zero; explicit fallback</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Ledger</w:t>
            </w:r>
          </w:p>
        </w:tc>
        <w:tc>
          <w:tcPr>
            <w:tcW w:type="dxa" w:w="3168"/>
            <w:vAlign w:val="center"/>
            <w:shd w:fill="FFFFFF"/>
          </w:tcPr>
          <w:p>
            <w:pPr>
              <w:spacing w:after="80" w:before="80" w:line="269" w:lineRule="auto"/>
            </w:pPr>
            <w:r>
              <w:rPr>
                <w:rFonts w:ascii="Calibri" w:hAnsi="Calibri" w:eastAsia="Noto Sans CJK SC"/>
                <w:sz w:val="18"/>
              </w:rPr>
              <w:t>Exact sequence continuity was not required</w:t>
            </w:r>
          </w:p>
        </w:tc>
        <w:tc>
          <w:tcPr>
            <w:tcW w:type="dxa" w:w="3168"/>
            <w:vAlign w:val="center"/>
            <w:shd w:fill="FFFFFF"/>
          </w:tcPr>
          <w:p>
            <w:pPr>
              <w:spacing w:after="80" w:before="80" w:line="269" w:lineRule="auto"/>
            </w:pPr>
            <w:r>
              <w:rPr>
                <w:rFonts w:ascii="Calibri" w:hAnsi="Calibri" w:eastAsia="Noto Sans CJK SC"/>
                <w:sz w:val="18"/>
              </w:rPr>
              <w:t>Sequence, link, hash and checkpoint checks</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Delivery</w:t>
            </w:r>
          </w:p>
        </w:tc>
        <w:tc>
          <w:tcPr>
            <w:tcW w:type="dxa" w:w="3168"/>
            <w:vAlign w:val="center"/>
            <w:shd w:fill="F1F6F7"/>
          </w:tcPr>
          <w:p>
            <w:pPr>
              <w:spacing w:after="80" w:before="80" w:line="269" w:lineRule="auto"/>
            </w:pPr>
            <w:r>
              <w:rPr>
                <w:rFonts w:ascii="Calibri" w:hAnsi="Calibri" w:eastAsia="Noto Sans CJK SC"/>
                <w:sz w:val="18"/>
              </w:rPr>
              <w:t>Unavailable archive and reports</w:t>
            </w:r>
          </w:p>
        </w:tc>
        <w:tc>
          <w:tcPr>
            <w:tcW w:type="dxa" w:w="3168"/>
            <w:vAlign w:val="center"/>
            <w:shd w:fill="F1F6F7"/>
          </w:tcPr>
          <w:p>
            <w:pPr>
              <w:spacing w:after="80" w:before="80" w:line="269" w:lineRule="auto"/>
            </w:pPr>
            <w:r>
              <w:rPr>
                <w:rFonts w:ascii="Calibri" w:hAnsi="Calibri" w:eastAsia="Noto Sans CJK SC"/>
                <w:sz w:val="18"/>
              </w:rPr>
              <w:t>Fresh short-name artifacts and one full bundle</w:t>
            </w:r>
          </w:p>
        </w:tc>
      </w:tr>
    </w:tbl>
    <w:p>
      <w:pPr>
        <w:spacing w:after="0"/>
      </w:pPr>
    </w:p>
    <w:p>
      <w:pPr>
        <w:pStyle w:val="Callout"/>
        <w:keepLines/>
        <w:shd w:fill="E7F3F2"/>
        <w:pBdr>
          <w:left w:val="single" w:sz="20" w:color="096C75"/>
        </w:pBdr>
      </w:pPr>
      <w:r>
        <w:t>Positioning: an executable opportunity experiment and negotiated-allocation tool, not a final authority on human worth, all markets or guaranteed employment.</w:t>
      </w:r>
    </w:p>
    <w:p>
      <w:r>
        <w:br w:type="page"/>
      </w:r>
    </w:p>
    <w:p>
      <w:pPr>
        <w:pStyle w:val="Kicker"/>
      </w:pPr>
      <w:r>
        <w:t>SOURCE DISCIPLINE</w:t>
      </w:r>
    </w:p>
    <w:p>
      <w:pPr>
        <w:pStyle w:val="Heading1"/>
      </w:pPr>
      <w:r>
        <w:t>02 Background materials: support and gaps</w:t>
      </w:r>
    </w:p>
    <w:p>
      <w:r>
        <w:t>The first material is the supplied commentary “GPT-6, breaking down the walls of apps.” It proposes that models may choose among API, browser, code and GUI interfaces while distinguishing reachability from authorization. Its author explicitly acknowledges a lack of independent testing. This report treats it as a trend argument, not verified evidence for the named product dates, benchmarks or runtime parameters. [S01]</w:t>
      </w:r>
    </w:p>
    <w:p>
      <w:r>
        <w:t>The second material is the Baidu video titled “Stop learning AI programming; AI programming is a dead end.” The page title was identifiable, but no transcript was obtained. We test conditions under which that title-level proposition might hold; we do not infer the speaker’s detailed argument, experience, data or qualifications. The analysis and proposed mechanisms below are independent work, not a purported summary of the full video. [S02]</w:t>
      </w:r>
    </w:p>
    <w:p>
      <w:pPr>
        <w:pStyle w:val="Heading2"/>
      </w:pPr>
      <w:r>
        <w:t>External research does not support a universal slogan</w:t>
      </w:r>
    </w:p>
    <w:p>
      <w:r>
        <w:t>The ILO’s 2025 work measures exposure at the task level rather than equating exposure with the disappearance of a whole occupation. NBER research reports productivity gains in a customer-support setting; METR observed a slowdown among a particular early-2025 open-source developer sample. These are different settings, not interchangeable measurements of every worker or task. [S03–S05]</w:t>
      </w:r>
    </w:p>
    <w:p>
      <w:r>
        <w:t>METR’s February 2026 update reports substantial selection and timing problems in its subsequent experiment, weakening any precise estimate of current acceleration. The design response is a small comparison on the participant’s own task with actual acceptance criteria, rather than a future-income promise built from one historical percentage. [S06]</w:t>
      </w:r>
    </w:p>
    <w:p>
      <w:pPr>
        <w:pStyle w:val="Callout"/>
        <w:keepLines/>
        <w:shd w:fill="E7F3F2"/>
        <w:pBdr>
          <w:left w:val="single" w:sz="20" w:color="096C75"/>
        </w:pBdr>
      </w:pPr>
      <w:r>
        <w:t>Supportable distinction: model performance, real delivery efficiency, customer willingness to pay and an individual’s ability to capture income are four different questions.</w:t>
      </w:r>
    </w:p>
    <w:p>
      <w:r>
        <w:br w:type="page"/>
      </w:r>
    </w:p>
    <w:p>
      <w:pPr>
        <w:pStyle w:val="Kicker"/>
      </w:pPr>
      <w:r>
        <w:t>ECONOMY &amp; POWER</w:t>
      </w:r>
    </w:p>
    <w:p>
      <w:pPr>
        <w:pStyle w:val="Heading1"/>
      </w:pPr>
      <w:r>
        <w:t>03 A higher-level definition of transparent economy</w:t>
      </w:r>
    </w:p>
    <w:p>
      <w:r>
        <w:t>Transparent economy does not mean reading out every person’s abilities and weaknesses. A person’s DIKWP records are evidence scoped to tasks, contexts, times, relationships and permissions. They are neither a whole personality nor a permanent institutional rank. Technical observability by itself creates no right to publish, trade or make consequential decisions.</w:t>
      </w:r>
    </w:p>
    <w:p>
      <w:r>
        <w:t>Five relationships should become inspectable: whether the need is real, how outcomes are verified, where contributions originate, who controls distribution and exchange, and how benefits and harms are allocated. Unrelated private life, beliefs, health records, identity details and refusal remain protected. The runtime writes local files only; its minimized public receipt omits detailed financial and evidence fields.</w:t>
      </w:r>
    </w:p>
    <w:p>
      <w:r>
        <w:t>Lower information or code replication costs do not automatically equalize income. People with access to the same model may still differ in customer access, data permission, reputation, situated responsibility, financial buffers and bargaining power. OECD analysis highlights agency, information asymmetry, switching barriers and trade-offs in intervention. Those mechanisms warrant scrutiny but do not establish that a particular person must fail. [S07]</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4752"/>
        <w:gridCol w:w="4752"/>
      </w:tblGrid>
      <w:tr>
        <w:trPr>
          <w:tblHeader/>
          <w:cantSplit/>
        </w:trPr>
        <w:tc>
          <w:tcPr>
            <w:tcW w:type="dxa" w:w="4757"/>
            <w:shd w:fill="123242"/>
          </w:tcPr>
          <w:p>
            <w:pPr>
              <w:spacing w:after="80" w:before="80" w:line="269" w:lineRule="auto"/>
            </w:pPr>
            <w:r>
              <w:rPr>
                <w:rFonts w:ascii="Calibri" w:hAnsi="Calibri" w:eastAsia="Noto Sans CJK SC"/>
                <w:b/>
                <w:color w:val="FFFFFF"/>
                <w:sz w:val="18"/>
              </w:rPr>
              <w:t>Distinction</w:t>
            </w:r>
          </w:p>
        </w:tc>
        <w:tc>
          <w:tcPr>
            <w:tcW w:type="dxa" w:w="4757"/>
            <w:shd w:fill="123242"/>
          </w:tcPr>
          <w:p>
            <w:pPr>
              <w:spacing w:after="80" w:before="80" w:line="269" w:lineRule="auto"/>
            </w:pPr>
            <w:r>
              <w:rPr>
                <w:rFonts w:ascii="Calibri" w:hAnsi="Calibri" w:eastAsia="Noto Sans CJK SC"/>
                <w:b/>
                <w:color w:val="FFFFFF"/>
                <w:sz w:val="18"/>
              </w:rPr>
              <w:t>Treatment in this release</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Value creation / income capture</w:t>
            </w:r>
          </w:p>
        </w:tc>
        <w:tc>
          <w:tcPr>
            <w:tcW w:type="dxa" w:w="4752"/>
            <w:vAlign w:val="center"/>
            <w:shd w:fill="F1F6F7"/>
          </w:tcPr>
          <w:p>
            <w:pPr>
              <w:spacing w:after="80" w:before="80" w:line="269" w:lineRule="auto"/>
            </w:pPr>
            <w:r>
              <w:rPr>
                <w:rFonts w:ascii="Calibri" w:hAnsi="Calibri" w:eastAsia="Noto Sans CJK SC"/>
                <w:sz w:val="18"/>
              </w:rPr>
              <w:t>Calculate a cash path, not human worth</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Capability / authority</w:t>
            </w:r>
          </w:p>
        </w:tc>
        <w:tc>
          <w:tcPr>
            <w:tcW w:type="dxa" w:w="4752"/>
            <w:vAlign w:val="center"/>
            <w:shd w:fill="FFFFFF"/>
          </w:tcPr>
          <w:p>
            <w:pPr>
              <w:spacing w:after="80" w:before="80" w:line="269" w:lineRule="auto"/>
            </w:pPr>
            <w:r>
              <w:rPr>
                <w:rFonts w:ascii="Calibri" w:hAnsi="Calibri" w:eastAsia="Noto Sans CJK SC"/>
                <w:sz w:val="18"/>
              </w:rPr>
              <w:t>Separate evidence from permission gates</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Early advantage / permanent monopoly</w:t>
            </w:r>
          </w:p>
        </w:tc>
        <w:tc>
          <w:tcPr>
            <w:tcW w:type="dxa" w:w="4752"/>
            <w:vAlign w:val="center"/>
            <w:shd w:fill="F1F6F7"/>
          </w:tcPr>
          <w:p>
            <w:pPr>
              <w:spacing w:after="80" w:before="80" w:line="269" w:lineRule="auto"/>
            </w:pPr>
            <w:r>
              <w:rPr>
                <w:rFonts w:ascii="Calibri" w:hAnsi="Calibri" w:eastAsia="Noto Sans CJK SC"/>
                <w:sz w:val="18"/>
              </w:rPr>
              <w:t>Compare different feedback mechanisms</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Transparency / surveillance</w:t>
            </w:r>
          </w:p>
        </w:tc>
        <w:tc>
          <w:tcPr>
            <w:tcW w:type="dxa" w:w="4752"/>
            <w:vAlign w:val="center"/>
            <w:shd w:fill="FFFFFF"/>
          </w:tcPr>
          <w:p>
            <w:pPr>
              <w:spacing w:after="80" w:before="80" w:line="269" w:lineRule="auto"/>
            </w:pPr>
            <w:r>
              <w:rPr>
                <w:rFonts w:ascii="Calibri" w:hAnsi="Calibri" w:eastAsia="Noto Sans CJK SC"/>
                <w:sz w:val="18"/>
              </w:rPr>
              <w:t>Local minimal data and deliberate sharing</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Redistribution / new demand</w:t>
            </w:r>
          </w:p>
        </w:tc>
        <w:tc>
          <w:tcPr>
            <w:tcW w:type="dxa" w:w="4752"/>
            <w:vAlign w:val="center"/>
            <w:shd w:fill="F1F6F7"/>
          </w:tcPr>
          <w:p>
            <w:pPr>
              <w:spacing w:after="80" w:before="80" w:line="269" w:lineRule="auto"/>
            </w:pPr>
            <w:r>
              <w:rPr>
                <w:rFonts w:ascii="Calibri" w:hAnsi="Calibri" w:eastAsia="Noto Sans CJK SC"/>
                <w:sz w:val="18"/>
              </w:rPr>
              <w:t>Fixed-pool simulation creates no extra value</w:t>
            </w:r>
          </w:p>
        </w:tc>
      </w:tr>
    </w:tbl>
    <w:p>
      <w:pPr>
        <w:spacing w:after="0"/>
      </w:pPr>
    </w:p>
    <w:p>
      <w:pPr>
        <w:pStyle w:val="Callout"/>
        <w:keepLines/>
        <w:shd w:fill="E7F3F2"/>
        <w:pBdr>
          <w:left w:val="single" w:sz="20" w:color="096C75"/>
        </w:pBdr>
      </w:pPr>
      <w:r>
        <w:t>The goal is earlier recognition of real constraints, less unsupported commitment and an explicit way for evidence-backed alternatives to re-enter—not permanent exclusion of latecomers.</w:t>
      </w:r>
    </w:p>
    <w:p>
      <w:r>
        <w:br w:type="page"/>
      </w:r>
    </w:p>
    <w:p>
      <w:pPr>
        <w:pStyle w:val="Kicker"/>
      </w:pPr>
      <w:r>
        <w:t>DIKWP &amp; EVIDENCE</w:t>
      </w:r>
    </w:p>
    <w:p>
      <w:pPr>
        <w:pStyle w:val="Heading1"/>
      </w:pPr>
      <w:r>
        <w:t>04 From personal ratings to task evidence contracts</w:t>
      </w:r>
    </w:p>
    <w:p>
      <w:r>
        <w:t>The methodological source is the supplied DIKWP native-semantic continuity account: multiple records, explicit paths, W affecting P, successors retaining predecessors and differences, and internal closure not substituting for external facts. This release implements an engineering interpretation, not a formal proof of every ontological claim in that account. [S08]</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4752"/>
        <w:gridCol w:w="4752"/>
      </w:tblGrid>
      <w:tr>
        <w:trPr>
          <w:tblHeader/>
          <w:cantSplit/>
        </w:trPr>
        <w:tc>
          <w:tcPr>
            <w:tcW w:type="dxa" w:w="4757"/>
            <w:shd w:fill="123242"/>
          </w:tcPr>
          <w:p>
            <w:pPr>
              <w:spacing w:after="80" w:before="80" w:line="269" w:lineRule="auto"/>
            </w:pPr>
            <w:r>
              <w:rPr>
                <w:rFonts w:ascii="Calibri" w:hAnsi="Calibri" w:eastAsia="Noto Sans CJK SC"/>
                <w:b/>
                <w:color w:val="FFFFFF"/>
                <w:sz w:val="18"/>
              </w:rPr>
              <w:t>Role</w:t>
            </w:r>
          </w:p>
        </w:tc>
        <w:tc>
          <w:tcPr>
            <w:tcW w:type="dxa" w:w="4757"/>
            <w:shd w:fill="123242"/>
          </w:tcPr>
          <w:p>
            <w:pPr>
              <w:spacing w:after="80" w:before="80" w:line="269" w:lineRule="auto"/>
            </w:pPr>
            <w:r>
              <w:rPr>
                <w:rFonts w:ascii="Calibri" w:hAnsi="Calibri" w:eastAsia="Noto Sans CJK SC"/>
                <w:b/>
                <w:color w:val="FFFFFF"/>
                <w:sz w:val="18"/>
              </w:rPr>
              <w:t>Operational interpretation</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D</w:t>
            </w:r>
          </w:p>
        </w:tc>
        <w:tc>
          <w:tcPr>
            <w:tcW w:type="dxa" w:w="4752"/>
            <w:vAlign w:val="center"/>
            <w:shd w:fill="F1F6F7"/>
          </w:tcPr>
          <w:p>
            <w:pPr>
              <w:spacing w:after="80" w:before="80" w:line="269" w:lineRule="auto"/>
            </w:pPr>
            <w:r>
              <w:rPr>
                <w:rFonts w:ascii="Calibri" w:hAnsi="Calibri" w:eastAsia="Noto Sans CJK SC"/>
                <w:sz w:val="18"/>
              </w:rPr>
              <w:t>Retain inputs, dates, sources and reproducible record references</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I</w:t>
            </w:r>
          </w:p>
        </w:tc>
        <w:tc>
          <w:tcPr>
            <w:tcW w:type="dxa" w:w="4752"/>
            <w:vAlign w:val="center"/>
            <w:shd w:fill="FFFFFF"/>
          </w:tcPr>
          <w:p>
            <w:pPr>
              <w:spacing w:after="80" w:before="80" w:line="269" w:lineRule="auto"/>
            </w:pPr>
            <w:r>
              <w:rPr>
                <w:rFonts w:ascii="Calibri" w:hAnsi="Calibri" w:eastAsia="Noto Sans CJK SC"/>
                <w:sz w:val="18"/>
              </w:rPr>
              <w:t>Retain missing evidence, conflicts, constraints and new differences</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K</w:t>
            </w:r>
          </w:p>
        </w:tc>
        <w:tc>
          <w:tcPr>
            <w:tcW w:type="dxa" w:w="4752"/>
            <w:vAlign w:val="center"/>
            <w:shd w:fill="F1F6F7"/>
          </w:tcPr>
          <w:p>
            <w:pPr>
              <w:spacing w:after="80" w:before="80" w:line="269" w:lineRule="auto"/>
            </w:pPr>
            <w:r>
              <w:rPr>
                <w:rFonts w:ascii="Calibri" w:hAnsi="Calibri" w:eastAsia="Noto Sans CJK SC"/>
                <w:sz w:val="18"/>
              </w:rPr>
              <w:t>Store computed conclusions within the declared scope</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W</w:t>
            </w:r>
          </w:p>
        </w:tc>
        <w:tc>
          <w:tcPr>
            <w:tcW w:type="dxa" w:w="4752"/>
            <w:vAlign w:val="center"/>
            <w:shd w:fill="FFFFFF"/>
          </w:tcPr>
          <w:p>
            <w:pPr>
              <w:spacing w:after="80" w:before="80" w:line="269" w:lineRule="auto"/>
            </w:pPr>
            <w:r>
              <w:rPr>
                <w:rFonts w:ascii="Calibri" w:hAnsi="Calibri" w:eastAsia="Noto Sans CJK SC"/>
                <w:sz w:val="18"/>
              </w:rPr>
              <w:t>Make permission, loss limits and privacy affect selection</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P</w:t>
            </w:r>
          </w:p>
        </w:tc>
        <w:tc>
          <w:tcPr>
            <w:tcW w:type="dxa" w:w="4752"/>
            <w:vAlign w:val="center"/>
            <w:shd w:fill="F1F6F7"/>
          </w:tcPr>
          <w:p>
            <w:pPr>
              <w:spacing w:after="80" w:before="80" w:line="269" w:lineRule="auto"/>
            </w:pPr>
            <w:r>
              <w:rPr>
                <w:rFonts w:ascii="Calibri" w:hAnsi="Calibri" w:eastAsia="Noto Sans CJK SC"/>
                <w:sz w:val="18"/>
              </w:rPr>
              <w:t>Connect inputs, assessment outputs, replay and next actions</w:t>
            </w:r>
          </w:p>
        </w:tc>
      </w:tr>
    </w:tbl>
    <w:p>
      <w:pPr>
        <w:spacing w:after="0"/>
      </w:pPr>
    </w:p>
    <w:p>
      <w:r>
        <w:t>Each opportunity requires separate demand, delivery and customer-access records, plus capability records for its required DIKWP roles. Records include operation scope, observation and expiry dates, sample count, outcome, source and reviewer. SELF_REPORT, stale or unrelated records, and non-passing outcomes do not pass the evidence gate. Accumulating unrelated records cannot compensate for a missing required role.</w:t>
      </w:r>
    </w:p>
    <w:p>
      <w:r>
        <w:t>REVIEWED means that the submitted record declares a review. It does not mean that the software authenticated the reviewer or inspected the original source. All example reviewers and records are fictional. Even USER_SUBMITTED cases retain empirical_validation=false: submission is not independent field validation.</w:t>
      </w:r>
    </w:p>
    <w:p>
      <w:r>
        <w:t>Consent is bound to an owner alias, purpose and expiry. Revoked or expired consent blocks assessment. These declarations authorize local analysis only; they are not credentials granting access to external software or third-party data.</w:t>
      </w:r>
    </w:p>
    <w:p>
      <w:r>
        <w:br w:type="page"/>
      </w:r>
    </w:p>
    <w:p>
      <w:pPr>
        <w:pStyle w:val="Kicker"/>
      </w:pPr>
      <w:r>
        <w:t>INTERVAL ECONOMICS</w:t>
      </w:r>
    </w:p>
    <w:p>
      <w:pPr>
        <w:pStyle w:val="Heading1"/>
      </w:pPr>
      <w:r>
        <w:t>05 Recomputable cash and time boundaries</w:t>
      </w:r>
    </w:p>
    <w:p>
      <w:r>
        <w:t>Money is calculated in integer cents; integer minutes and units constrain time and delivery. Risks are not merged into a single score. Declare the horizon, spendable cash, tolerated loss and cash-surplus target, followed by intervals for price, delivery cost, acquisition cost and demand. The model conservatively pre-funds all units; it does not assume future receipts arrive in time.</w:t>
      </w:r>
    </w:p>
    <w:p>
      <w:pPr>
        <w:pStyle w:val="Code"/>
      </w:pPr>
      <w:r>
        <w:t>capacity = max(0, available_minutes - setup_minutes) // minutes_per_unit</w:t>
        <w:br/>
        <w:t>q = demand interval clipped to capacity</w:t>
        <w:br/>
        <w:t>m_low = price_low - cost_high - acquisition_high - route_cost</w:t>
        <w:br/>
        <w:t>m_high = price_high - cost_low - acquisition_low - route_cost</w:t>
        <w:br/>
        <w:t>net_low = min(q_low*m_low, q_high*m_low) - overhead</w:t>
        <w:br/>
        <w:t>net_high = max(q_low*m_high, q_high*m_high) - overhead</w:t>
      </w:r>
    </w:p>
    <w:p>
      <w:r>
        <w:t>When margins are negative, selling more can increase losses. The worst bound cannot therefore always be low volume times low margin. The min/max formulas preserve the sign change. These are declared scenario bounds, not statistical confidence intervals. The engine does not infer demand elasticity, parameter correlation or competitor responses.</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3168"/>
        <w:gridCol w:w="3168"/>
        <w:gridCol w:w="3168"/>
      </w:tblGrid>
      <w:tr>
        <w:trPr>
          <w:tblHeader/>
          <w:cantSplit/>
        </w:trPr>
        <w:tc>
          <w:tcPr>
            <w:tcW w:type="dxa" w:w="3172"/>
            <w:shd w:fill="123242"/>
          </w:tcPr>
          <w:p>
            <w:pPr>
              <w:spacing w:after="80" w:before="80" w:line="269" w:lineRule="auto"/>
            </w:pPr>
            <w:r>
              <w:rPr>
                <w:rFonts w:ascii="Calibri" w:hAnsi="Calibri" w:eastAsia="Noto Sans CJK SC"/>
                <w:b/>
                <w:color w:val="FFFFFF"/>
                <w:sz w:val="18"/>
              </w:rPr>
              <w:t>Synthetic maintenance case</w:t>
            </w:r>
          </w:p>
        </w:tc>
        <w:tc>
          <w:tcPr>
            <w:tcW w:type="dxa" w:w="3172"/>
            <w:shd w:fill="123242"/>
          </w:tcPr>
          <w:p>
            <w:pPr>
              <w:spacing w:after="80" w:before="80" w:line="269" w:lineRule="auto"/>
            </w:pPr>
            <w:r>
              <w:rPr>
                <w:rFonts w:ascii="Calibri" w:hAnsi="Calibri" w:eastAsia="Noto Sans CJK SC"/>
                <w:b/>
                <w:color w:val="FFFFFF"/>
                <w:sz w:val="18"/>
              </w:rPr>
              <w:t>Baseline</w:t>
            </w:r>
          </w:p>
        </w:tc>
        <w:tc>
          <w:tcPr>
            <w:tcW w:type="dxa" w:w="3172"/>
            <w:shd w:fill="123242"/>
          </w:tcPr>
          <w:p>
            <w:pPr>
              <w:spacing w:after="80" w:before="80" w:line="269" w:lineRule="auto"/>
            </w:pPr>
            <w:r>
              <w:rPr>
                <w:rFonts w:ascii="Calibri" w:hAnsi="Calibri" w:eastAsia="Noto Sans CJK SC"/>
                <w:b/>
                <w:color w:val="FFFFFF"/>
                <w:sz w:val="18"/>
              </w:rPr>
              <w:t>Price/demand shock</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Deliverable units</w:t>
            </w:r>
          </w:p>
        </w:tc>
        <w:tc>
          <w:tcPr>
            <w:tcW w:type="dxa" w:w="3168"/>
            <w:vAlign w:val="center"/>
            <w:shd w:fill="F1F6F7"/>
          </w:tcPr>
          <w:p>
            <w:pPr>
              <w:spacing w:after="80" w:before="80" w:line="269" w:lineRule="auto"/>
            </w:pPr>
            <w:r>
              <w:rPr>
                <w:rFonts w:ascii="Calibri" w:hAnsi="Calibri" w:eastAsia="Noto Sans CJK SC"/>
                <w:sz w:val="18"/>
              </w:rPr>
              <w:t>8–12</w:t>
            </w:r>
          </w:p>
        </w:tc>
        <w:tc>
          <w:tcPr>
            <w:tcW w:type="dxa" w:w="3168"/>
            <w:vAlign w:val="center"/>
            <w:shd w:fill="F1F6F7"/>
          </w:tcPr>
          <w:p>
            <w:pPr>
              <w:spacing w:after="80" w:before="80" w:line="269" w:lineRule="auto"/>
            </w:pPr>
            <w:r>
              <w:rPr>
                <w:rFonts w:ascii="Calibri" w:hAnsi="Calibri" w:eastAsia="Noto Sans CJK SC"/>
                <w:sz w:val="18"/>
              </w:rPr>
              <w:t>6–9</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Net cash interval</w:t>
            </w:r>
          </w:p>
        </w:tc>
        <w:tc>
          <w:tcPr>
            <w:tcW w:type="dxa" w:w="3168"/>
            <w:vAlign w:val="center"/>
            <w:shd w:fill="FFFFFF"/>
          </w:tcPr>
          <w:p>
            <w:pPr>
              <w:spacing w:after="80" w:before="80" w:line="269" w:lineRule="auto"/>
            </w:pPr>
            <w:r>
              <w:rPr>
                <w:rFonts w:ascii="Calibri" w:hAnsi="Calibri" w:eastAsia="Noto Sans CJK SC"/>
                <w:sz w:val="18"/>
              </w:rPr>
              <w:t>USD 874.00–2,466.00</w:t>
            </w:r>
          </w:p>
        </w:tc>
        <w:tc>
          <w:tcPr>
            <w:tcW w:type="dxa" w:w="3168"/>
            <w:vAlign w:val="center"/>
            <w:shd w:fill="FFFFFF"/>
          </w:tcPr>
          <w:p>
            <w:pPr>
              <w:spacing w:after="80" w:before="80" w:line="269" w:lineRule="auto"/>
            </w:pPr>
            <w:r>
              <w:rPr>
                <w:rFonts w:ascii="Calibri" w:hAnsi="Calibri" w:eastAsia="Noto Sans CJK SC"/>
                <w:sz w:val="18"/>
              </w:rPr>
              <w:t>USD 294.00–1,272.00</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Pre-funding upper bound</w:t>
            </w:r>
          </w:p>
        </w:tc>
        <w:tc>
          <w:tcPr>
            <w:tcW w:type="dxa" w:w="3168"/>
            <w:vAlign w:val="center"/>
            <w:shd w:fill="F1F6F7"/>
          </w:tcPr>
          <w:p>
            <w:pPr>
              <w:spacing w:after="80" w:before="80" w:line="269" w:lineRule="auto"/>
            </w:pPr>
            <w:r>
              <w:rPr>
                <w:rFonts w:ascii="Calibri" w:hAnsi="Calibri" w:eastAsia="Noto Sans CJK SC"/>
                <w:sz w:val="18"/>
              </w:rPr>
              <w:t>USD 1,014.00</w:t>
            </w:r>
          </w:p>
        </w:tc>
        <w:tc>
          <w:tcPr>
            <w:tcW w:type="dxa" w:w="3168"/>
            <w:vAlign w:val="center"/>
            <w:shd w:fill="F1F6F7"/>
          </w:tcPr>
          <w:p>
            <w:pPr>
              <w:spacing w:after="80" w:before="80" w:line="269" w:lineRule="auto"/>
            </w:pPr>
            <w:r>
              <w:rPr>
                <w:rFonts w:ascii="Calibri" w:hAnsi="Calibri" w:eastAsia="Noto Sans CJK SC"/>
                <w:sz w:val="18"/>
              </w:rPr>
              <w:t>USD 924.00</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Horizon target</w:t>
            </w:r>
          </w:p>
        </w:tc>
        <w:tc>
          <w:tcPr>
            <w:tcW w:type="dxa" w:w="3168"/>
            <w:vAlign w:val="center"/>
            <w:shd w:fill="FFFFFF"/>
          </w:tcPr>
          <w:p>
            <w:pPr>
              <w:spacing w:after="80" w:before="80" w:line="269" w:lineRule="auto"/>
            </w:pPr>
            <w:r>
              <w:rPr>
                <w:rFonts w:ascii="Calibri" w:hAnsi="Calibri" w:eastAsia="Noto Sans CJK SC"/>
                <w:sz w:val="18"/>
              </w:rPr>
              <w:t>USD 250.00</w:t>
            </w:r>
          </w:p>
        </w:tc>
        <w:tc>
          <w:tcPr>
            <w:tcW w:type="dxa" w:w="3168"/>
            <w:vAlign w:val="center"/>
            <w:shd w:fill="FFFFFF"/>
          </w:tcPr>
          <w:p>
            <w:pPr>
              <w:spacing w:after="80" w:before="80" w:line="269" w:lineRule="auto"/>
            </w:pPr>
            <w:r>
              <w:rPr>
                <w:rFonts w:ascii="Calibri" w:hAnsi="Calibri" w:eastAsia="Noto Sans CJK SC"/>
                <w:sz w:val="18"/>
              </w:rPr>
              <w:t>USD 250.00</w:t>
            </w:r>
          </w:p>
        </w:tc>
      </w:tr>
    </w:tbl>
    <w:p>
      <w:pPr>
        <w:spacing w:after="0"/>
      </w:pPr>
    </w:p>
    <w:p>
      <w:r>
        <w:t>Meeting the target in both declared scenarios does not demonstrate that real customers exist. Personal living costs, tax, debt service and unpriced labor are not automatically included in net cash and must be added explicitly where relevant. Each opportunity uses the full budget separately; multiple individually feasible results do not form a jointly funded portfolio.</w:t>
      </w:r>
    </w:p>
    <w:p>
      <w:r>
        <w:br w:type="page"/>
      </w:r>
    </w:p>
    <w:p>
      <w:pPr>
        <w:pStyle w:val="Kicker"/>
      </w:pPr>
      <w:r>
        <w:t>SCOPED DECISIONS</w:t>
      </w:r>
    </w:p>
    <w:p>
      <w:pPr>
        <w:pStyle w:val="Heading1"/>
      </w:pPr>
      <w:r>
        <w:t>06 A route, missing evidence, or no current route</w:t>
      </w:r>
    </w:p>
    <w:p>
      <w:r>
        <w:t>Ordinary people need clear decisions, but clarity does not require absolutism. Missing evidence, rights barriers, inadequate resources and scenario feasibility are different outputs. A single “verified opportunity” badge no longer hides these distinctions. Every result concerns only the submitted candidates, target, horizon and assumptions.</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4752"/>
        <w:gridCol w:w="4752"/>
      </w:tblGrid>
      <w:tr>
        <w:trPr>
          <w:tblHeader/>
          <w:cantSplit/>
        </w:trPr>
        <w:tc>
          <w:tcPr>
            <w:tcW w:type="dxa" w:w="4757"/>
            <w:shd w:fill="123242"/>
          </w:tcPr>
          <w:p>
            <w:pPr>
              <w:spacing w:after="80" w:before="80" w:line="269" w:lineRule="auto"/>
            </w:pPr>
            <w:r>
              <w:rPr>
                <w:rFonts w:ascii="Calibri" w:hAnsi="Calibri" w:eastAsia="Noto Sans CJK SC"/>
                <w:b/>
                <w:color w:val="FFFFFF"/>
                <w:sz w:val="18"/>
              </w:rPr>
              <w:t>Result</w:t>
            </w:r>
          </w:p>
        </w:tc>
        <w:tc>
          <w:tcPr>
            <w:tcW w:type="dxa" w:w="4757"/>
            <w:shd w:fill="123242"/>
          </w:tcPr>
          <w:p>
            <w:pPr>
              <w:spacing w:after="80" w:before="80" w:line="269" w:lineRule="auto"/>
            </w:pPr>
            <w:r>
              <w:rPr>
                <w:rFonts w:ascii="Calibri" w:hAnsi="Calibri" w:eastAsia="Noto Sans CJK SC"/>
                <w:b/>
                <w:color w:val="FFFFFF"/>
                <w:sz w:val="18"/>
              </w:rPr>
              <w:t>Correct interpretation</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Scenario-robust</w:t>
            </w:r>
          </w:p>
        </w:tc>
        <w:tc>
          <w:tcPr>
            <w:tcW w:type="dxa" w:w="4752"/>
            <w:vAlign w:val="center"/>
            <w:shd w:fill="F1F6F7"/>
          </w:tcPr>
          <w:p>
            <w:pPr>
              <w:spacing w:after="80" w:before="80" w:line="269" w:lineRule="auto"/>
            </w:pPr>
            <w:r>
              <w:rPr>
                <w:rFonts w:ascii="Calibri" w:hAnsi="Calibri" w:eastAsia="Noto Sans CJK SC"/>
                <w:sz w:val="18"/>
              </w:rPr>
              <w:t>All listed lower bounds meet the goal; not field proof</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Bounded pilot only</w:t>
            </w:r>
          </w:p>
        </w:tc>
        <w:tc>
          <w:tcPr>
            <w:tcW w:type="dxa" w:w="4752"/>
            <w:vAlign w:val="center"/>
            <w:shd w:fill="FFFFFF"/>
          </w:tcPr>
          <w:p>
            <w:pPr>
              <w:spacing w:after="80" w:before="80" w:line="269" w:lineRule="auto"/>
            </w:pPr>
            <w:r>
              <w:rPr>
                <w:rFonts w:ascii="Calibri" w:hAnsi="Calibri" w:eastAsia="Noto Sans CJK SC"/>
                <w:sz w:val="18"/>
              </w:rPr>
              <w:t>An upside exists, but at least one lower bound misses</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Evidence incomplete</w:t>
            </w:r>
          </w:p>
        </w:tc>
        <w:tc>
          <w:tcPr>
            <w:tcW w:type="dxa" w:w="4752"/>
            <w:vAlign w:val="center"/>
            <w:shd w:fill="F1F6F7"/>
          </w:tcPr>
          <w:p>
            <w:pPr>
              <w:spacing w:after="80" w:before="80" w:line="269" w:lineRule="auto"/>
            </w:pPr>
            <w:r>
              <w:rPr>
                <w:rFonts w:ascii="Calibri" w:hAnsi="Calibri" w:eastAsia="Noto Sans CJK SC"/>
                <w:sz w:val="18"/>
              </w:rPr>
              <w:t>Collect evidence; do not infer personal incapacity</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No current path</w:t>
            </w:r>
          </w:p>
        </w:tc>
        <w:tc>
          <w:tcPr>
            <w:tcW w:type="dxa" w:w="4752"/>
            <w:vAlign w:val="center"/>
            <w:shd w:fill="FFFFFF"/>
          </w:tcPr>
          <w:p>
            <w:pPr>
              <w:spacing w:after="80" w:before="80" w:line="269" w:lineRule="auto"/>
            </w:pPr>
            <w:r>
              <w:rPr>
                <w:rFonts w:ascii="Calibri" w:hAnsi="Calibri" w:eastAsia="Noto Sans CJK SC"/>
                <w:sz w:val="18"/>
              </w:rPr>
              <w:t>Every allowed route’s upper bound misses the target</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Resource blocked</w:t>
            </w:r>
          </w:p>
        </w:tc>
        <w:tc>
          <w:tcPr>
            <w:tcW w:type="dxa" w:w="4752"/>
            <w:vAlign w:val="center"/>
            <w:shd w:fill="F1F6F7"/>
          </w:tcPr>
          <w:p>
            <w:pPr>
              <w:spacing w:after="80" w:before="80" w:line="269" w:lineRule="auto"/>
            </w:pPr>
            <w:r>
              <w:rPr>
                <w:rFonts w:ascii="Calibri" w:hAnsi="Calibri" w:eastAsia="Noto Sans CJK SC"/>
                <w:sz w:val="18"/>
              </w:rPr>
              <w:t>Cash, time or loss limits prevent proceeding</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Rights/route blocked</w:t>
            </w:r>
          </w:p>
        </w:tc>
        <w:tc>
          <w:tcPr>
            <w:tcW w:type="dxa" w:w="4752"/>
            <w:vAlign w:val="center"/>
            <w:shd w:fill="FFFFFF"/>
          </w:tcPr>
          <w:p>
            <w:pPr>
              <w:spacing w:after="80" w:before="80" w:line="269" w:lineRule="auto"/>
            </w:pPr>
            <w:r>
              <w:rPr>
                <w:rFonts w:ascii="Calibri" w:hAnsi="Calibri" w:eastAsia="Noto Sans CJK SC"/>
                <w:sz w:val="18"/>
              </w:rPr>
              <w:t>Hard gates fail; projected rewards cannot offset them</w:t>
            </w:r>
          </w:p>
        </w:tc>
      </w:tr>
    </w:tbl>
    <w:p>
      <w:pPr>
        <w:spacing w:after="0"/>
      </w:pPr>
    </w:p>
    <w:p>
      <w:r>
        <w:t>In the synthetic commodity-summary resale case, the worst cash result is USD -237.20 and the best USD -196.00, below the USD 250.00 target. The tool issues a scoped no-path decision and records the price, demand, cost or target assumptions that would need to change. It does not recommend buying another course to conceal unit economics that do not work.</w:t>
      </w:r>
    </w:p>
    <w:p>
      <w:r>
        <w:t>If that case contains only unreviewed self-report, the result becomes evidence incomplete rather than no path. Raising the maintenance case’s target to USD 600.00 changes it to a bounded pilot; reducing its spendable budget to USD 100.00 produces a resource barrier. Changing a binding condition must genuinely change the conclusion.</w:t>
      </w:r>
    </w:p>
    <w:p>
      <w:pPr>
        <w:pStyle w:val="Callout"/>
        <w:keepLines/>
        <w:shd w:fill="E7F3F2"/>
        <w:pBdr>
          <w:left w:val="single" w:sz="20" w:color="096C75"/>
        </w:pBdr>
      </w:pPr>
      <w:r>
        <w:t>After a no-path result, stop the unsupported commitment, protect essential living needs and investigate different demand or cooperation structures. Do not stop personal development or publish a local label as a lifelong identity.</w:t>
      </w:r>
    </w:p>
    <w:p>
      <w:r>
        <w:br w:type="page"/>
      </w:r>
    </w:p>
    <w:p>
      <w:pPr>
        <w:pStyle w:val="Kicker"/>
      </w:pPr>
      <w:r>
        <w:t>AUTHORIZED EXECUTION</w:t>
      </w:r>
    </w:p>
    <w:p>
      <w:pPr>
        <w:pStyle w:val="Heading1"/>
      </w:pPr>
      <w:r>
        <w:t>07 Compare energy only after complete constraints</w:t>
      </w:r>
    </w:p>
    <w:p>
      <w:r>
        <w:t>Model-native, generated-code, local API, remote API, browser, GUI, federated-node, human and physical routes can be registered as alternatives. This release compares declarations only; it does not invoke those systems. Each manifest declares data classes, authorization, quality, reliability, per-unit price, latency, egress and an energy boundary.</w:t>
      </w:r>
    </w:p>
    <w:p>
      <w:r>
        <w:t>Unlike the recovered version, the new engine stress-tests the economics of every technically allowed route first. It prefers affordable routes meeting the goal in every scenario; otherwise it retains candidate pilots within loss limits. If neither exists, it produces diagnostic-only results. An expensive low-energy route must not hide another affordable route.</w:t>
      </w:r>
    </w:p>
    <w:p>
      <w:pPr>
        <w:pStyle w:val="Code"/>
      </w:pPr>
      <w:r>
        <w:t>Permission / data / quality / reliability / latency gates</w:t>
        <w:br/>
        <w:t xml:space="preserve">  -&gt; per-route cash and loss stress tests</w:t>
        <w:br/>
        <w:t xml:space="preserve">  -&gt; robust subset, else bounded-pilot subset</w:t>
        <w:br/>
        <w:t xml:space="preserve">  -&gt; comparable energy boundary</w:t>
        <w:br/>
        <w:t xml:space="preserve">  -&gt; minimum upper Joule bound, then cost / latency / egress</w:t>
      </w:r>
    </w:p>
    <w:p>
      <w:r>
        <w:t>Joules, money, waiting time, privacy, semantic error and human responsibility are different quantities. Missing energy stays unknown; inconsistent boundaries are not ranked together. A hard Joule budget blocks a route without comparable data. If every route lacks comparable energy and no hard energy budget exists, a cost fallback may be chosen, explicitly without an energy-optimality claim.</w:t>
      </w:r>
    </w:p>
    <w:p>
      <w:r>
        <w:t>MEASURED still means that a submitter declares a measurement and supplies its reference; the core reads no power meter. Examples use estimates for computation and network boundaries, not a person’s metabolism or value. The example remote route is cheaper but violates the zero-egress constraint, so low price or energy does not authorize it.</w:t>
      </w:r>
    </w:p>
    <w:p>
      <w:pPr>
        <w:pStyle w:val="Callout"/>
        <w:keepLines/>
        <w:shd w:fill="E7F3F2"/>
        <w:pBdr>
          <w:left w:val="single" w:sz="20" w:color="096C75"/>
        </w:pBdr>
      </w:pPr>
      <w:r>
        <w:t>Reachable interfaces do not confer permissions. The supplied commentary expressly makes that distinction; the new design preserves it as a separate hard gate rather than treating GUI use as an authorization bypass. [S01]</w:t>
      </w:r>
    </w:p>
    <w:p>
      <w:r>
        <w:br w:type="page"/>
      </w:r>
    </w:p>
    <w:p>
      <w:pPr>
        <w:pStyle w:val="Kicker"/>
      </w:pPr>
      <w:r>
        <w:t>COUNTEREXAMPLES INCLUDED</w:t>
      </w:r>
    </w:p>
    <w:p>
      <w:pPr>
        <w:pStyle w:val="Heading1"/>
      </w:pPr>
      <w:r>
        <w:t>08 First movers and late entrants: opposing models</w:t>
      </w:r>
    </w:p>
    <w:p>
      <w:r>
        <w:t>“Early entrants exhaust every opportunity” does not follow merely from stronger AI. The release includes a fixed-pool experiment with equal entrant quality but unequal initial exposure. Next-round allocation depends on the previous share and an explicit reinforcement exponent. Changing that exponent alone can move the model from fading advantage to concentration.</w:t>
      </w:r>
    </w:p>
    <w:p>
      <w:r>
        <w:t>This is a mechanism-sensitivity demonstration, not a forecast fitted to market data. It contains no endogenous prices, entry cost, exit, production or new demand. Each round allocates the same 100,000-cent pool. A transparency policy can change shares, but cannot manufacture customers or income.</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3168"/>
        <w:gridCol w:w="3168"/>
        <w:gridCol w:w="3168"/>
      </w:tblGrid>
      <w:tr>
        <w:trPr>
          <w:tblHeader/>
          <w:cantSplit/>
        </w:trPr>
        <w:tc>
          <w:tcPr>
            <w:tcW w:type="dxa" w:w="3172"/>
            <w:shd w:fill="123242"/>
          </w:tcPr>
          <w:p>
            <w:pPr>
              <w:spacing w:after="80" w:before="80" w:line="269" w:lineRule="auto"/>
            </w:pPr>
            <w:r>
              <w:rPr>
                <w:rFonts w:ascii="Calibri" w:hAnsi="Calibri" w:eastAsia="Noto Sans CJK SC"/>
                <w:b/>
                <w:color w:val="FFFFFF"/>
                <w:sz w:val="18"/>
              </w:rPr>
              <w:t>Round 12, synthetic</w:t>
            </w:r>
          </w:p>
        </w:tc>
        <w:tc>
          <w:tcPr>
            <w:tcW w:type="dxa" w:w="3172"/>
            <w:shd w:fill="123242"/>
          </w:tcPr>
          <w:p>
            <w:pPr>
              <w:spacing w:after="80" w:before="80" w:line="269" w:lineRule="auto"/>
            </w:pPr>
            <w:r>
              <w:rPr>
                <w:rFonts w:ascii="Calibri" w:hAnsi="Calibri" w:eastAsia="Noto Sans CJK SC"/>
                <w:b/>
                <w:color w:val="FFFFFF"/>
                <w:sz w:val="18"/>
              </w:rPr>
              <w:t>Largest share</w:t>
            </w:r>
          </w:p>
        </w:tc>
        <w:tc>
          <w:tcPr>
            <w:tcW w:type="dxa" w:w="3172"/>
            <w:shd w:fill="123242"/>
          </w:tcPr>
          <w:p>
            <w:pPr>
              <w:spacing w:after="80" w:before="80" w:line="269" w:lineRule="auto"/>
            </w:pPr>
            <w:r>
              <w:rPr>
                <w:rFonts w:ascii="Calibri" w:hAnsi="Calibri" w:eastAsia="Noto Sans CJK SC"/>
                <w:b/>
                <w:color w:val="FFFFFF"/>
                <w:sz w:val="18"/>
              </w:rPr>
              <w:t>HHI</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Exponent 2: baseline</w:t>
            </w:r>
          </w:p>
        </w:tc>
        <w:tc>
          <w:tcPr>
            <w:tcW w:type="dxa" w:w="3168"/>
            <w:vAlign w:val="center"/>
            <w:shd w:fill="F1F6F7"/>
          </w:tcPr>
          <w:p>
            <w:pPr>
              <w:spacing w:after="80" w:before="80" w:line="269" w:lineRule="auto"/>
            </w:pPr>
            <w:r>
              <w:rPr>
                <w:rFonts w:ascii="Calibri" w:hAnsi="Calibri" w:eastAsia="Noto Sans CJK SC"/>
                <w:sz w:val="18"/>
              </w:rPr>
              <w:t>96.351%</w:t>
            </w:r>
          </w:p>
        </w:tc>
        <w:tc>
          <w:tcPr>
            <w:tcW w:type="dxa" w:w="3168"/>
            <w:vAlign w:val="center"/>
            <w:shd w:fill="F1F6F7"/>
          </w:tcPr>
          <w:p>
            <w:pPr>
              <w:spacing w:after="80" w:before="80" w:line="269" w:lineRule="auto"/>
            </w:pPr>
            <w:r>
              <w:rPr>
                <w:rFonts w:ascii="Calibri" w:hAnsi="Calibri" w:eastAsia="Noto Sans CJK SC"/>
                <w:sz w:val="18"/>
              </w:rPr>
              <w:t>0.928499</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Exponent 2: cap + newcomer floor</w:t>
            </w:r>
          </w:p>
        </w:tc>
        <w:tc>
          <w:tcPr>
            <w:tcW w:type="dxa" w:w="3168"/>
            <w:vAlign w:val="center"/>
            <w:shd w:fill="FFFFFF"/>
          </w:tcPr>
          <w:p>
            <w:pPr>
              <w:spacing w:after="80" w:before="80" w:line="269" w:lineRule="auto"/>
            </w:pPr>
            <w:r>
              <w:rPr>
                <w:rFonts w:ascii="Calibri" w:hAnsi="Calibri" w:eastAsia="Noto Sans CJK SC"/>
                <w:sz w:val="18"/>
              </w:rPr>
              <w:t>20.000%</w:t>
            </w:r>
          </w:p>
        </w:tc>
        <w:tc>
          <w:tcPr>
            <w:tcW w:type="dxa" w:w="3168"/>
            <w:vAlign w:val="center"/>
            <w:shd w:fill="FFFFFF"/>
          </w:tcPr>
          <w:p>
            <w:pPr>
              <w:spacing w:after="80" w:before="80" w:line="269" w:lineRule="auto"/>
            </w:pPr>
            <w:r>
              <w:rPr>
                <w:rFonts w:ascii="Calibri" w:hAnsi="Calibri" w:eastAsia="Noto Sans CJK SC"/>
                <w:sz w:val="18"/>
              </w:rPr>
              <w:t>0.166933</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Exponent 1: baseline</w:t>
            </w:r>
          </w:p>
        </w:tc>
        <w:tc>
          <w:tcPr>
            <w:tcW w:type="dxa" w:w="3168"/>
            <w:vAlign w:val="center"/>
            <w:shd w:fill="F1F6F7"/>
          </w:tcPr>
          <w:p>
            <w:pPr>
              <w:spacing w:after="80" w:before="80" w:line="269" w:lineRule="auto"/>
            </w:pPr>
            <w:r>
              <w:rPr>
                <w:rFonts w:ascii="Calibri" w:hAnsi="Calibri" w:eastAsia="Noto Sans CJK SC"/>
                <w:sz w:val="18"/>
              </w:rPr>
              <w:t>10.241%</w:t>
            </w:r>
          </w:p>
        </w:tc>
        <w:tc>
          <w:tcPr>
            <w:tcW w:type="dxa" w:w="3168"/>
            <w:vAlign w:val="center"/>
            <w:shd w:fill="F1F6F7"/>
          </w:tcPr>
          <w:p>
            <w:pPr>
              <w:spacing w:after="80" w:before="80" w:line="269" w:lineRule="auto"/>
            </w:pPr>
            <w:r>
              <w:rPr>
                <w:rFonts w:ascii="Calibri" w:hAnsi="Calibri" w:eastAsia="Noto Sans CJK SC"/>
                <w:sz w:val="18"/>
              </w:rPr>
              <w:t>0.100006</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Exponent 1: cap + newcomer floor</w:t>
            </w:r>
          </w:p>
        </w:tc>
        <w:tc>
          <w:tcPr>
            <w:tcW w:type="dxa" w:w="3168"/>
            <w:vAlign w:val="center"/>
            <w:shd w:fill="FFFFFF"/>
          </w:tcPr>
          <w:p>
            <w:pPr>
              <w:spacing w:after="80" w:before="80" w:line="269" w:lineRule="auto"/>
            </w:pPr>
            <w:r>
              <w:rPr>
                <w:rFonts w:ascii="Calibri" w:hAnsi="Calibri" w:eastAsia="Noto Sans CJK SC"/>
                <w:sz w:val="18"/>
              </w:rPr>
              <w:t>15.908%</w:t>
            </w:r>
          </w:p>
        </w:tc>
        <w:tc>
          <w:tcPr>
            <w:tcW w:type="dxa" w:w="3168"/>
            <w:vAlign w:val="center"/>
            <w:shd w:fill="FFFFFF"/>
          </w:tcPr>
          <w:p>
            <w:pPr>
              <w:spacing w:after="80" w:before="80" w:line="269" w:lineRule="auto"/>
            </w:pPr>
            <w:r>
              <w:rPr>
                <w:rFonts w:ascii="Calibri" w:hAnsi="Calibri" w:eastAsia="Noto Sans CJK SC"/>
                <w:sz w:val="18"/>
              </w:rPr>
              <w:t>0.123264</w:t>
            </w:r>
          </w:p>
        </w:tc>
      </w:tr>
    </w:tbl>
    <w:p>
      <w:pPr>
        <w:spacing w:after="0"/>
      </w:pPr>
    </w:p>
    <w:p>
      <w:r>
        <w:t>The final two rows are an intentional counterexample. When the baseline is already converging toward an even distribution, continuously favoring a newcomer subgroup raises HHI. That result is retained rather than suppressed to protect a claim that a transparency policy is always right. Mathematically incompatible caps and floors are rejected, not silently defeated by renormalization.</w:t>
      </w:r>
    </w:p>
    <w:p>
      <w:r>
        <w:t>A late entrant should test different task definitions and needs: local maintenance, applicable rules, ongoing relationships, authorized data, client acceptance or cooperative ownership may offer alternative interfaces. None is inherently automation-proof. The default late-entry fixture changes the description while holding conditions equal, testing that a “late entrant” label does not itself incur a penalty. It does not assert equal real-world circumstances.</w:t>
      </w:r>
    </w:p>
    <w:p>
      <w:r>
        <w:br w:type="page"/>
      </w:r>
    </w:p>
    <w:p>
      <w:pPr>
        <w:pStyle w:val="Kicker"/>
      </w:pPr>
      <w:r>
        <w:t>EXACT ACCOUNTING</w:t>
      </w:r>
    </w:p>
    <w:p>
      <w:pPr>
        <w:pStyle w:val="Heading1"/>
      </w:pPr>
      <w:r>
        <w:t>09 Contribution allocation: agreement and conservation</w:t>
      </w:r>
    </w:p>
    <w:p>
      <w:r>
        <w:t>DIKWP contribution is not an objective wage table read out automatically by a model. Records can show who supplied materials, found a problem, developed a method, reviewed consequences or defined and accepted a purpose. Allocation weights nevertheless require prior agreement. Examples use explicit contribution units, not personality, intelligence or lifetime worth.</w:t>
      </w:r>
    </w:p>
    <w:p>
      <w:r>
        <w:t>The sequence reserves the declared repair amount first, allocates negotiated commons and newcomer pools from the remainder, and apportions the remaining amount by contribution units. Disputed or unverified units remain in the denominator while their shares are held; they are not silently transferred to accepted claimants. A repair claim exceeding the pool creates a recorded shortfall, not nonexistent funds.</w:t>
      </w:r>
    </w:p>
    <w:p>
      <w:pPr>
        <w:pStyle w:val="Code"/>
      </w:pPr>
      <w:r>
        <w:t>gross = repair_reserve + commons + newcomer_pool</w:t>
        <w:br/>
        <w:t xml:space="preserve">      + planned_payouts + held_amount</w:t>
        <w:br/>
        <w:t>real_funds_moved = false</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4752"/>
        <w:gridCol w:w="4752"/>
      </w:tblGrid>
      <w:tr>
        <w:trPr>
          <w:tblHeader/>
          <w:cantSplit/>
        </w:trPr>
        <w:tc>
          <w:tcPr>
            <w:tcW w:type="dxa" w:w="4757"/>
            <w:shd w:fill="123242"/>
          </w:tcPr>
          <w:p>
            <w:pPr>
              <w:spacing w:after="80" w:before="80" w:line="269" w:lineRule="auto"/>
            </w:pPr>
            <w:r>
              <w:rPr>
                <w:rFonts w:ascii="Calibri" w:hAnsi="Calibri" w:eastAsia="Noto Sans CJK SC"/>
                <w:b/>
                <w:color w:val="FFFFFF"/>
                <w:sz w:val="18"/>
              </w:rPr>
              <w:t>Synthetic allocation, cents</w:t>
            </w:r>
          </w:p>
        </w:tc>
        <w:tc>
          <w:tcPr>
            <w:tcW w:type="dxa" w:w="4757"/>
            <w:shd w:fill="123242"/>
          </w:tcPr>
          <w:p>
            <w:pPr>
              <w:spacing w:after="80" w:before="80" w:line="269" w:lineRule="auto"/>
            </w:pPr>
            <w:r>
              <w:rPr>
                <w:rFonts w:ascii="Calibri" w:hAnsi="Calibri" w:eastAsia="Noto Sans CJK SC"/>
                <w:b/>
                <w:color w:val="FFFFFF"/>
                <w:sz w:val="18"/>
              </w:rPr>
              <w:t>Amount</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Gross</w:t>
            </w:r>
          </w:p>
        </w:tc>
        <w:tc>
          <w:tcPr>
            <w:tcW w:type="dxa" w:w="4752"/>
            <w:vAlign w:val="center"/>
            <w:shd w:fill="F1F6F7"/>
          </w:tcPr>
          <w:p>
            <w:pPr>
              <w:spacing w:after="80" w:before="80" w:line="269" w:lineRule="auto"/>
            </w:pPr>
            <w:r>
              <w:rPr>
                <w:rFonts w:ascii="Calibri" w:hAnsi="Calibri" w:eastAsia="Noto Sans CJK SC"/>
                <w:sz w:val="18"/>
              </w:rPr>
              <w:t>100,003</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Repair reserve</w:t>
            </w:r>
          </w:p>
        </w:tc>
        <w:tc>
          <w:tcPr>
            <w:tcW w:type="dxa" w:w="4752"/>
            <w:vAlign w:val="center"/>
            <w:shd w:fill="FFFFFF"/>
          </w:tcPr>
          <w:p>
            <w:pPr>
              <w:spacing w:after="80" w:before="80" w:line="269" w:lineRule="auto"/>
            </w:pPr>
            <w:r>
              <w:rPr>
                <w:rFonts w:ascii="Calibri" w:hAnsi="Calibri" w:eastAsia="Noto Sans CJK SC"/>
                <w:sz w:val="18"/>
              </w:rPr>
              <w:t>10,000</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Commons pool</w:t>
            </w:r>
          </w:p>
        </w:tc>
        <w:tc>
          <w:tcPr>
            <w:tcW w:type="dxa" w:w="4752"/>
            <w:vAlign w:val="center"/>
            <w:shd w:fill="F1F6F7"/>
          </w:tcPr>
          <w:p>
            <w:pPr>
              <w:spacing w:after="80" w:before="80" w:line="269" w:lineRule="auto"/>
            </w:pPr>
            <w:r>
              <w:rPr>
                <w:rFonts w:ascii="Calibri" w:hAnsi="Calibri" w:eastAsia="Noto Sans CJK SC"/>
                <w:sz w:val="18"/>
              </w:rPr>
              <w:t>9,000</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Newcomer pool</w:t>
            </w:r>
          </w:p>
        </w:tc>
        <w:tc>
          <w:tcPr>
            <w:tcW w:type="dxa" w:w="4752"/>
            <w:vAlign w:val="center"/>
            <w:shd w:fill="FFFFFF"/>
          </w:tcPr>
          <w:p>
            <w:pPr>
              <w:spacing w:after="80" w:before="80" w:line="269" w:lineRule="auto"/>
            </w:pPr>
            <w:r>
              <w:rPr>
                <w:rFonts w:ascii="Calibri" w:hAnsi="Calibri" w:eastAsia="Noto Sans CJK SC"/>
                <w:sz w:val="18"/>
              </w:rPr>
              <w:t>9,000</w:t>
            </w:r>
          </w:p>
        </w:tc>
      </w:tr>
      <w:tr>
        <w:trPr>
          <w:cantSplit/>
          <w:cantSplit/>
        </w:trPr>
        <w:tc>
          <w:tcPr>
            <w:tcW w:type="dxa" w:w="4752"/>
            <w:vAlign w:val="center"/>
            <w:shd w:fill="F1F6F7"/>
          </w:tcPr>
          <w:p>
            <w:pPr>
              <w:spacing w:after="80" w:before="80" w:line="269" w:lineRule="auto"/>
            </w:pPr>
            <w:r>
              <w:rPr>
                <w:rFonts w:ascii="Calibri" w:hAnsi="Calibri" w:eastAsia="Noto Sans CJK SC"/>
                <w:sz w:val="18"/>
              </w:rPr>
              <w:t>Planned accepted payouts</w:t>
            </w:r>
          </w:p>
        </w:tc>
        <w:tc>
          <w:tcPr>
            <w:tcW w:type="dxa" w:w="4752"/>
            <w:vAlign w:val="center"/>
            <w:shd w:fill="F1F6F7"/>
          </w:tcPr>
          <w:p>
            <w:pPr>
              <w:spacing w:after="80" w:before="80" w:line="269" w:lineRule="auto"/>
            </w:pPr>
            <w:r>
              <w:rPr>
                <w:rFonts w:ascii="Calibri" w:hAnsi="Calibri" w:eastAsia="Noto Sans CJK SC"/>
                <w:sz w:val="18"/>
              </w:rPr>
              <w:t>57,602</w:t>
            </w:r>
          </w:p>
        </w:tc>
      </w:tr>
      <w:tr>
        <w:trPr>
          <w:cantSplit/>
          <w:cantSplit/>
        </w:trPr>
        <w:tc>
          <w:tcPr>
            <w:tcW w:type="dxa" w:w="4752"/>
            <w:vAlign w:val="center"/>
            <w:shd w:fill="FFFFFF"/>
          </w:tcPr>
          <w:p>
            <w:pPr>
              <w:spacing w:after="80" w:before="80" w:line="269" w:lineRule="auto"/>
            </w:pPr>
            <w:r>
              <w:rPr>
                <w:rFonts w:ascii="Calibri" w:hAnsi="Calibri" w:eastAsia="Noto Sans CJK SC"/>
                <w:sz w:val="18"/>
              </w:rPr>
              <w:t>Disputed share held</w:t>
            </w:r>
          </w:p>
        </w:tc>
        <w:tc>
          <w:tcPr>
            <w:tcW w:type="dxa" w:w="4752"/>
            <w:vAlign w:val="center"/>
            <w:shd w:fill="FFFFFF"/>
          </w:tcPr>
          <w:p>
            <w:pPr>
              <w:spacing w:after="80" w:before="80" w:line="269" w:lineRule="auto"/>
            </w:pPr>
            <w:r>
              <w:rPr>
                <w:rFonts w:ascii="Calibri" w:hAnsi="Calibri" w:eastAsia="Noto Sans CJK SC"/>
                <w:sz w:val="18"/>
              </w:rPr>
              <w:t>14,401</w:t>
            </w:r>
          </w:p>
        </w:tc>
      </w:tr>
    </w:tbl>
    <w:p>
      <w:pPr>
        <w:spacing w:after="0"/>
      </w:pPr>
    </w:p>
    <w:p>
      <w:r>
        <w:t>Largest-remainder apportionment assigns integer cents with stable-ID tie-breaking. Missing agreement or rights confirmation holds the entire pool. Tests cover no claimants, zero weights, excess repair, invalid rates, disputed-to-accepted transitions and randomized amounts. Every outcome must satisfy the identity above; attractive labels do not substitute for conservation.</w:t>
      </w:r>
    </w:p>
    <w:p>
      <w:pPr>
        <w:pStyle w:val="Callout"/>
        <w:keepLines/>
        <w:shd w:fill="E7F3F2"/>
        <w:pBdr>
          <w:left w:val="single" w:sz="20" w:color="096C75"/>
        </w:pBdr>
      </w:pPr>
      <w:r>
        <w:t>Institutional boundary: reserves and pools are design parameters of this agreement, not universal legal duties. The tool determines no legal liability and performs no penalties, real payments, refunds, taxation or custody.</w:t>
      </w:r>
    </w:p>
    <w:p>
      <w:r>
        <w:br w:type="page"/>
      </w:r>
    </w:p>
    <w:p>
      <w:pPr>
        <w:pStyle w:val="Kicker"/>
      </w:pPr>
      <w:r>
        <w:t>FROM PLAN TO EVIDENCE</w:t>
      </w:r>
    </w:p>
    <w:p>
      <w:pPr>
        <w:pStyle w:val="Heading1"/>
      </w:pPr>
      <w:r>
        <w:t>10 A 30-day protocol for ordinary participants</w:t>
      </w:r>
    </w:p>
    <w:p>
      <w:r>
        <w:t>The first step is not buying a tool but narrowing the problem. Choose a reachable beneficiary, a definable need and an acceptable output. Value might involve less repetitive work, fewer errors, maintenance, better readability or bounded coordination. “AI is advanced” is not evidence of demand.</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3168"/>
        <w:gridCol w:w="3168"/>
        <w:gridCol w:w="3168"/>
      </w:tblGrid>
      <w:tr>
        <w:trPr>
          <w:tblHeader/>
          <w:cantSplit/>
        </w:trPr>
        <w:tc>
          <w:tcPr>
            <w:tcW w:type="dxa" w:w="3172"/>
            <w:shd w:fill="123242"/>
          </w:tcPr>
          <w:p>
            <w:pPr>
              <w:spacing w:after="80" w:before="80" w:line="269" w:lineRule="auto"/>
            </w:pPr>
            <w:r>
              <w:rPr>
                <w:rFonts w:ascii="Calibri" w:hAnsi="Calibri" w:eastAsia="Noto Sans CJK SC"/>
                <w:b/>
                <w:color w:val="FFFFFF"/>
                <w:sz w:val="18"/>
              </w:rPr>
              <w:t>Period</w:t>
            </w:r>
          </w:p>
        </w:tc>
        <w:tc>
          <w:tcPr>
            <w:tcW w:type="dxa" w:w="3172"/>
            <w:shd w:fill="123242"/>
          </w:tcPr>
          <w:p>
            <w:pPr>
              <w:spacing w:after="80" w:before="80" w:line="269" w:lineRule="auto"/>
            </w:pPr>
            <w:r>
              <w:rPr>
                <w:rFonts w:ascii="Calibri" w:hAnsi="Calibri" w:eastAsia="Noto Sans CJK SC"/>
                <w:b/>
                <w:color w:val="FFFFFF"/>
                <w:sz w:val="18"/>
              </w:rPr>
              <w:t>Action</w:t>
            </w:r>
          </w:p>
        </w:tc>
        <w:tc>
          <w:tcPr>
            <w:tcW w:type="dxa" w:w="3172"/>
            <w:shd w:fill="123242"/>
          </w:tcPr>
          <w:p>
            <w:pPr>
              <w:spacing w:after="80" w:before="80" w:line="269" w:lineRule="auto"/>
            </w:pPr>
            <w:r>
              <w:rPr>
                <w:rFonts w:ascii="Calibri" w:hAnsi="Calibri" w:eastAsia="Noto Sans CJK SC"/>
                <w:b/>
                <w:color w:val="FFFFFF"/>
                <w:sz w:val="18"/>
              </w:rPr>
              <w:t>Evidence to retain</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Days 1–3</w:t>
            </w:r>
          </w:p>
        </w:tc>
        <w:tc>
          <w:tcPr>
            <w:tcW w:type="dxa" w:w="3168"/>
            <w:vAlign w:val="center"/>
            <w:shd w:fill="F1F6F7"/>
          </w:tcPr>
          <w:p>
            <w:pPr>
              <w:spacing w:after="80" w:before="80" w:line="269" w:lineRule="auto"/>
            </w:pPr>
            <w:r>
              <w:rPr>
                <w:rFonts w:ascii="Calibri" w:hAnsi="Calibri" w:eastAsia="Noto Sans CJK SC"/>
                <w:sz w:val="18"/>
              </w:rPr>
              <w:t>Declare alternatives, budget, time and stop rules</w:t>
            </w:r>
          </w:p>
        </w:tc>
        <w:tc>
          <w:tcPr>
            <w:tcW w:type="dxa" w:w="3168"/>
            <w:vAlign w:val="center"/>
            <w:shd w:fill="F1F6F7"/>
          </w:tcPr>
          <w:p>
            <w:pPr>
              <w:spacing w:after="80" w:before="80" w:line="269" w:lineRule="auto"/>
            </w:pPr>
            <w:r>
              <w:rPr>
                <w:rFonts w:ascii="Calibri" w:hAnsi="Calibri" w:eastAsia="Noto Sans CJK SC"/>
                <w:sz w:val="18"/>
              </w:rPr>
              <w:t>One-page purpose and constraint contract</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Days 4–7</w:t>
            </w:r>
          </w:p>
        </w:tc>
        <w:tc>
          <w:tcPr>
            <w:tcW w:type="dxa" w:w="3168"/>
            <w:vAlign w:val="center"/>
            <w:shd w:fill="FFFFFF"/>
          </w:tcPr>
          <w:p>
            <w:pPr>
              <w:spacing w:after="80" w:before="80" w:line="269" w:lineRule="auto"/>
            </w:pPr>
            <w:r>
              <w:rPr>
                <w:rFonts w:ascii="Calibri" w:hAnsi="Calibri" w:eastAsia="Noto Sans CJK SC"/>
                <w:sz w:val="18"/>
              </w:rPr>
              <w:t>Confirm scope and acceptance in writing with real users</w:t>
            </w:r>
          </w:p>
        </w:tc>
        <w:tc>
          <w:tcPr>
            <w:tcW w:type="dxa" w:w="3168"/>
            <w:vAlign w:val="center"/>
            <w:shd w:fill="FFFFFF"/>
          </w:tcPr>
          <w:p>
            <w:pPr>
              <w:spacing w:after="80" w:before="80" w:line="269" w:lineRule="auto"/>
            </w:pPr>
            <w:r>
              <w:rPr>
                <w:rFonts w:ascii="Calibri" w:hAnsi="Calibri" w:eastAsia="Noto Sans CJK SC"/>
                <w:sz w:val="18"/>
              </w:rPr>
              <w:t>Need statement, permission and price range</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Days 8–14</w:t>
            </w:r>
          </w:p>
        </w:tc>
        <w:tc>
          <w:tcPr>
            <w:tcW w:type="dxa" w:w="3168"/>
            <w:vAlign w:val="center"/>
            <w:shd w:fill="F1F6F7"/>
          </w:tcPr>
          <w:p>
            <w:pPr>
              <w:spacing w:after="80" w:before="80" w:line="269" w:lineRule="auto"/>
            </w:pPr>
            <w:r>
              <w:rPr>
                <w:rFonts w:ascii="Calibri" w:hAnsi="Calibri" w:eastAsia="Noto Sans CJK SC"/>
                <w:sz w:val="18"/>
              </w:rPr>
              <w:t>Produce one low-cost reversible sample; count review time</w:t>
            </w:r>
          </w:p>
        </w:tc>
        <w:tc>
          <w:tcPr>
            <w:tcW w:type="dxa" w:w="3168"/>
            <w:vAlign w:val="center"/>
            <w:shd w:fill="F1F6F7"/>
          </w:tcPr>
          <w:p>
            <w:pPr>
              <w:spacing w:after="80" w:before="80" w:line="269" w:lineRule="auto"/>
            </w:pPr>
            <w:r>
              <w:rPr>
                <w:rFonts w:ascii="Calibri" w:hAnsi="Calibri" w:eastAsia="Noto Sans CJK SC"/>
                <w:sz w:val="18"/>
              </w:rPr>
              <w:t>Inputs, outputs, hours, errors and repairs</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Days 15–21</w:t>
            </w:r>
          </w:p>
        </w:tc>
        <w:tc>
          <w:tcPr>
            <w:tcW w:type="dxa" w:w="3168"/>
            <w:vAlign w:val="center"/>
            <w:shd w:fill="FFFFFF"/>
          </w:tcPr>
          <w:p>
            <w:pPr>
              <w:spacing w:after="80" w:before="80" w:line="269" w:lineRule="auto"/>
            </w:pPr>
            <w:r>
              <w:rPr>
                <w:rFonts w:ascii="Calibri" w:hAnsi="Calibri" w:eastAsia="Noto Sans CJK SC"/>
                <w:sz w:val="18"/>
              </w:rPr>
              <w:t>Compare alternatives and test adoption/payment</w:t>
            </w:r>
          </w:p>
        </w:tc>
        <w:tc>
          <w:tcPr>
            <w:tcW w:type="dxa" w:w="3168"/>
            <w:vAlign w:val="center"/>
            <w:shd w:fill="FFFFFF"/>
          </w:tcPr>
          <w:p>
            <w:pPr>
              <w:spacing w:after="80" w:before="80" w:line="269" w:lineRule="auto"/>
            </w:pPr>
            <w:r>
              <w:rPr>
                <w:rFonts w:ascii="Calibri" w:hAnsi="Calibri" w:eastAsia="Noto Sans CJK SC"/>
                <w:sz w:val="18"/>
              </w:rPr>
              <w:t>Acceptance, actual use or payment evidence</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Days 22–30</w:t>
            </w:r>
          </w:p>
        </w:tc>
        <w:tc>
          <w:tcPr>
            <w:tcW w:type="dxa" w:w="3168"/>
            <w:vAlign w:val="center"/>
            <w:shd w:fill="F1F6F7"/>
          </w:tcPr>
          <w:p>
            <w:pPr>
              <w:spacing w:after="80" w:before="80" w:line="269" w:lineRule="auto"/>
            </w:pPr>
            <w:r>
              <w:rPr>
                <w:rFonts w:ascii="Calibri" w:hAnsi="Calibri" w:eastAsia="Noto Sans CJK SC"/>
                <w:sz w:val="18"/>
              </w:rPr>
              <w:t>Update intervals and decide whether to continue</w:t>
            </w:r>
          </w:p>
        </w:tc>
        <w:tc>
          <w:tcPr>
            <w:tcW w:type="dxa" w:w="3168"/>
            <w:vAlign w:val="center"/>
            <w:shd w:fill="F1F6F7"/>
          </w:tcPr>
          <w:p>
            <w:pPr>
              <w:spacing w:after="80" w:before="80" w:line="269" w:lineRule="auto"/>
            </w:pPr>
            <w:r>
              <w:rPr>
                <w:rFonts w:ascii="Calibri" w:hAnsi="Calibri" w:eastAsia="Noto Sans CJK SC"/>
                <w:sz w:val="18"/>
              </w:rPr>
              <w:t>Outcome event, revision reasons and deadline</w:t>
            </w:r>
          </w:p>
        </w:tc>
      </w:tr>
    </w:tbl>
    <w:p>
      <w:pPr>
        <w:spacing w:after="0"/>
      </w:pPr>
    </w:p>
    <w:p>
      <w:r>
        <w:t>For someone with limited money, time or care responsibilities, reducing pilot scope matters more than increasing pressure. Exclude essential reserves and do not use the output to impose irreversible losses on a household. Someone already in financial distress should first stabilize basic income and available legitimate support. This tool is not a substitute for locally appropriate professional assistance.</w:t>
      </w:r>
    </w:p>
    <w:p>
      <w:r>
        <w:t>Distinguish five milestones: producing an artifact, someone wishing to use it, accepted outcomes, payment on agreed terms, and repeatability after full costs. None substitutes for the next. If repeated pilots find no real demand or workable unit economics, stop that route rather than endlessly collecting certificates or interpreting failure as insufficient personal effort.</w:t>
      </w:r>
    </w:p>
    <w:p>
      <w:pPr>
        <w:pStyle w:val="Callout"/>
        <w:keepLines/>
        <w:shd w:fill="E7F3F2"/>
        <w:pBdr>
          <w:left w:val="single" w:sz="20" w:color="096C75"/>
        </w:pBdr>
      </w:pPr>
      <w:r>
        <w:t>Reopening conditions must be concrete: new customer records, permission, reviewable work, lower costs, a legitimate cooperation arrangement or institutional change. Greater confidence alone is not new evidence.</w:t>
      </w:r>
    </w:p>
    <w:p>
      <w:r>
        <w:br w:type="page"/>
      </w:r>
    </w:p>
    <w:p>
      <w:pPr>
        <w:pStyle w:val="Kicker"/>
      </w:pPr>
      <w:r>
        <w:t>LOCAL-FIRST SOFTWARE</w:t>
      </w:r>
    </w:p>
    <w:p>
      <w:pPr>
        <w:pStyle w:val="Heading1"/>
      </w:pPr>
      <w:r>
        <w:t>11 Installation, execution and outcome return</w:t>
      </w:r>
    </w:p>
    <w:p>
      <w:r>
        <w:t>After extracting the full bundle, open lucidecon.html. The page supports Chinese and English, seven synthetic fixtures, budget/target/time/demand editing, full JSON import, export and printing. It is not a screenshot masquerading as a server: computation occurs in browser memory, without a remote model or data service.</w:t>
      </w:r>
    </w:p>
    <w:p>
      <w:pPr>
        <w:pStyle w:val="Code"/>
      </w:pPr>
      <w:r>
        <w:t>python lucidecon.pyz inspect</w:t>
        <w:br/>
        <w:t>python lucidecon.pyz demo --output outputs/first_run</w:t>
        <w:br/>
        <w:t>python lucidecon.pyz init --output my_case.json</w:t>
        <w:br/>
        <w:t>python lucidecon.pyz assess my_case.json --output outputs/me_01</w:t>
        <w:br/>
        <w:t>python lucidecon.pyz replay outputs/me_01</w:t>
        <w:br/>
        <w:t>python lucidecon.pyz verify outputs/me_01/ledger.jsonl</w:t>
      </w:r>
    </w:p>
    <w:p>
      <w:r>
        <w:t>The full core requires Python 3.10 or later and no third-party runtime packages. Use a new output directory for every run to preserve history. Windows can use py -3 or run_demo.bat; Linux/macOS can use python3 or run_demo.sh. Documented commands match the parser delivered in this release.</w:t>
      </w:r>
    </w:p>
    <w:p>
      <w:r>
        <w:t>Each assessment writes private input, full analysis, a minimized public receipt, semantic paths, a Markdown report, JSONL ledger and checkpoint. The record-outcome command appends a named outcome event. Improvement supplies provisional local support; no change requests revision; worsening requests a pause and harm review; unmeasured outcomes remain open.</w:t>
      </w:r>
    </w:p>
    <w:p>
      <w:r>
        <w:t>Replay recomputes from saved inputs and compares hashes rather than merely loading the old conclusion. The semantic trace declares 25 allowed role pairs but records only the six relations actually used. It does not claim every pair ran, nor does computational equality establish that the market assumptions are true.</w:t>
      </w:r>
    </w:p>
    <w:p>
      <w:pPr>
        <w:pStyle w:val="Callout"/>
        <w:keepLines/>
        <w:shd w:fill="E7F3F2"/>
        <w:pBdr>
          <w:left w:val="single" w:sz="20" w:color="096C75"/>
        </w:pBdr>
      </w:pPr>
      <w:r>
        <w:t>Local files are plaintext, not a secure vault. Update the assessment date, consent and evidence validity deliberately. Exports and screenshots may expose sensitive information; even minimized aliases and hashes can be linkable.</w:t>
      </w:r>
    </w:p>
    <w:p>
      <w:r>
        <w:br w:type="page"/>
      </w:r>
    </w:p>
    <w:p>
      <w:pPr>
        <w:pStyle w:val="Kicker"/>
      </w:pPr>
      <w:r>
        <w:t>TESTED SCOPE</w:t>
      </w:r>
    </w:p>
    <w:p>
      <w:pPr>
        <w:pStyle w:val="Heading1"/>
      </w:pPr>
      <w:r>
        <w:t>12 Verification, threat model and open work</w:t>
      </w:r>
    </w:p>
    <w:p>
      <w:r>
        <w:t>The release runs 88 automated test methods, including a test exercising 250 deterministic randomized allocation cases. Coverage includes evidence scope and expiry, missing and non-finite inputs, negative-margin bounds, economics before energy, cash conservation, disputed holds, infeasible policies, policy counterexamples, ledger sequencing and truncation checks. Passing these tests does not validate every real-world judgment.</w:t>
      </w:r>
    </w:p>
    <w:tbl>
      <w:tblPr>
        <w:tblW w:type="auto" w:w="0"/>
        <w:jc w:val="center"/>
        <w:tblLayout w:type="fixed"/>
        <w:tblLook w:firstColumn="1" w:firstRow="1" w:lastColumn="0" w:lastRow="0" w:noHBand="0" w:noVBand="1" w:val="04A0"/>
        <w:tblBorders>
          <w:top w:val="single" w:sz="4" w:color="CDDDE2"/>
          <w:bottom w:val="single" w:sz="4" w:color="CDDDE2"/>
          <w:insideH w:val="single" w:sz="4" w:color="CDDDE2"/>
        </w:tblBorders>
      </w:tblPr>
      <w:tblGrid>
        <w:gridCol w:w="3168"/>
        <w:gridCol w:w="3168"/>
        <w:gridCol w:w="3168"/>
      </w:tblGrid>
      <w:tr>
        <w:trPr>
          <w:tblHeader/>
          <w:cantSplit/>
        </w:trPr>
        <w:tc>
          <w:tcPr>
            <w:tcW w:type="dxa" w:w="3172"/>
            <w:shd w:fill="123242"/>
          </w:tcPr>
          <w:p>
            <w:pPr>
              <w:spacing w:after="80" w:before="80" w:line="269" w:lineRule="auto"/>
            </w:pPr>
            <w:r>
              <w:rPr>
                <w:rFonts w:ascii="Calibri" w:hAnsi="Calibri" w:eastAsia="Noto Sans CJK SC"/>
                <w:b/>
                <w:color w:val="FFFFFF"/>
                <w:sz w:val="18"/>
              </w:rPr>
              <w:t>Check</w:t>
            </w:r>
          </w:p>
        </w:tc>
        <w:tc>
          <w:tcPr>
            <w:tcW w:type="dxa" w:w="3172"/>
            <w:shd w:fill="123242"/>
          </w:tcPr>
          <w:p>
            <w:pPr>
              <w:spacing w:after="80" w:before="80" w:line="269" w:lineRule="auto"/>
            </w:pPr>
            <w:r>
              <w:rPr>
                <w:rFonts w:ascii="Calibri" w:hAnsi="Calibri" w:eastAsia="Noto Sans CJK SC"/>
                <w:b/>
                <w:color w:val="FFFFFF"/>
                <w:sz w:val="18"/>
              </w:rPr>
              <w:t>Completed</w:t>
            </w:r>
          </w:p>
        </w:tc>
        <w:tc>
          <w:tcPr>
            <w:tcW w:type="dxa" w:w="3172"/>
            <w:shd w:fill="123242"/>
          </w:tcPr>
          <w:p>
            <w:pPr>
              <w:spacing w:after="80" w:before="80" w:line="269" w:lineRule="auto"/>
            </w:pPr>
            <w:r>
              <w:rPr>
                <w:rFonts w:ascii="Calibri" w:hAnsi="Calibri" w:eastAsia="Noto Sans CJK SC"/>
                <w:b/>
                <w:color w:val="FFFFFF"/>
                <w:sz w:val="18"/>
              </w:rPr>
              <w:t>Does not establish</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Python core</w:t>
            </w:r>
          </w:p>
        </w:tc>
        <w:tc>
          <w:tcPr>
            <w:tcW w:type="dxa" w:w="3168"/>
            <w:vAlign w:val="center"/>
            <w:shd w:fill="F1F6F7"/>
          </w:tcPr>
          <w:p>
            <w:pPr>
              <w:spacing w:after="80" w:before="80" w:line="269" w:lineRule="auto"/>
            </w:pPr>
            <w:r>
              <w:rPr>
                <w:rFonts w:ascii="Calibri" w:hAnsi="Calibri" w:eastAsia="Noto Sans CJK SC"/>
                <w:sz w:val="18"/>
              </w:rPr>
              <w:t>Tests, fixture execution and replay</w:t>
            </w:r>
          </w:p>
        </w:tc>
        <w:tc>
          <w:tcPr>
            <w:tcW w:type="dxa" w:w="3168"/>
            <w:vAlign w:val="center"/>
            <w:shd w:fill="F1F6F7"/>
          </w:tcPr>
          <w:p>
            <w:pPr>
              <w:spacing w:after="80" w:before="80" w:line="269" w:lineRule="auto"/>
            </w:pPr>
            <w:r>
              <w:rPr>
                <w:rFonts w:ascii="Calibri" w:hAnsi="Calibri" w:eastAsia="Noto Sans CJK SC"/>
                <w:sz w:val="18"/>
              </w:rPr>
              <w:t>Real demand or durable income</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Browser</w:t>
            </w:r>
          </w:p>
        </w:tc>
        <w:tc>
          <w:tcPr>
            <w:tcW w:type="dxa" w:w="3168"/>
            <w:vAlign w:val="center"/>
            <w:shd w:fill="FFFFFF"/>
          </w:tcPr>
          <w:p>
            <w:pPr>
              <w:spacing w:after="80" w:before="80" w:line="269" w:lineRule="auto"/>
            </w:pPr>
            <w:r>
              <w:rPr>
                <w:rFonts w:ascii="Calibri" w:hAnsi="Calibri" w:eastAsia="Noto Sans CJK SC"/>
                <w:sz w:val="18"/>
              </w:rPr>
              <w:t>Seven-fixture core parity and UI checks</w:t>
            </w:r>
          </w:p>
        </w:tc>
        <w:tc>
          <w:tcPr>
            <w:tcW w:type="dxa" w:w="3168"/>
            <w:vAlign w:val="center"/>
            <w:shd w:fill="FFFFFF"/>
          </w:tcPr>
          <w:p>
            <w:pPr>
              <w:spacing w:after="80" w:before="80" w:line="269" w:lineRule="auto"/>
            </w:pPr>
            <w:r>
              <w:rPr>
                <w:rFonts w:ascii="Calibri" w:hAnsi="Calibri" w:eastAsia="Noto Sans CJK SC"/>
                <w:sz w:val="18"/>
              </w:rPr>
              <w:t>Equivalence for every input/browser</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Ledger</w:t>
            </w:r>
          </w:p>
        </w:tc>
        <w:tc>
          <w:tcPr>
            <w:tcW w:type="dxa" w:w="3168"/>
            <w:vAlign w:val="center"/>
            <w:shd w:fill="F1F6F7"/>
          </w:tcPr>
          <w:p>
            <w:pPr>
              <w:spacing w:after="80" w:before="80" w:line="269" w:lineRule="auto"/>
            </w:pPr>
            <w:r>
              <w:rPr>
                <w:rFonts w:ascii="Calibri" w:hAnsi="Calibri" w:eastAsia="Noto Sans CJK SC"/>
                <w:sz w:val="18"/>
              </w:rPr>
              <w:t>Format, sequence, links, hashes and checkpoint</w:t>
            </w:r>
          </w:p>
        </w:tc>
        <w:tc>
          <w:tcPr>
            <w:tcW w:type="dxa" w:w="3168"/>
            <w:vAlign w:val="center"/>
            <w:shd w:fill="F1F6F7"/>
          </w:tcPr>
          <w:p>
            <w:pPr>
              <w:spacing w:after="80" w:before="80" w:line="269" w:lineRule="auto"/>
            </w:pPr>
            <w:r>
              <w:rPr>
                <w:rFonts w:ascii="Calibri" w:hAnsi="Calibri" w:eastAsia="Noto Sans CJK SC"/>
                <w:sz w:val="18"/>
              </w:rPr>
              <w:t>Truth of sources or identity of actors</w:t>
            </w:r>
          </w:p>
        </w:tc>
      </w:tr>
      <w:tr>
        <w:trPr>
          <w:cantSplit/>
          <w:cantSplit/>
        </w:trPr>
        <w:tc>
          <w:tcPr>
            <w:tcW w:type="dxa" w:w="3168"/>
            <w:vAlign w:val="center"/>
            <w:shd w:fill="FFFFFF"/>
          </w:tcPr>
          <w:p>
            <w:pPr>
              <w:spacing w:after="80" w:before="80" w:line="269" w:lineRule="auto"/>
            </w:pPr>
            <w:r>
              <w:rPr>
                <w:rFonts w:ascii="Calibri" w:hAnsi="Calibri" w:eastAsia="Noto Sans CJK SC"/>
                <w:sz w:val="18"/>
              </w:rPr>
              <w:t>Distribution</w:t>
            </w:r>
          </w:p>
        </w:tc>
        <w:tc>
          <w:tcPr>
            <w:tcW w:type="dxa" w:w="3168"/>
            <w:vAlign w:val="center"/>
            <w:shd w:fill="FFFFFF"/>
          </w:tcPr>
          <w:p>
            <w:pPr>
              <w:spacing w:after="80" w:before="80" w:line="269" w:lineRule="auto"/>
            </w:pPr>
            <w:r>
              <w:rPr>
                <w:rFonts w:ascii="Calibri" w:hAnsi="Calibri" w:eastAsia="Noto Sans CJK SC"/>
                <w:sz w:val="18"/>
              </w:rPr>
              <w:t>Manifest, CRC and clean-extract rerun</w:t>
            </w:r>
          </w:p>
        </w:tc>
        <w:tc>
          <w:tcPr>
            <w:tcW w:type="dxa" w:w="3168"/>
            <w:vAlign w:val="center"/>
            <w:shd w:fill="FFFFFF"/>
          </w:tcPr>
          <w:p>
            <w:pPr>
              <w:spacing w:after="80" w:before="80" w:line="269" w:lineRule="auto"/>
            </w:pPr>
            <w:r>
              <w:rPr>
                <w:rFonts w:ascii="Calibri" w:hAnsi="Calibri" w:eastAsia="Noto Sans CJK SC"/>
                <w:sz w:val="18"/>
              </w:rPr>
              <w:t>Security certification or permanent delivery</w:t>
            </w:r>
          </w:p>
        </w:tc>
      </w:tr>
      <w:tr>
        <w:trPr>
          <w:cantSplit/>
          <w:cantSplit/>
        </w:trPr>
        <w:tc>
          <w:tcPr>
            <w:tcW w:type="dxa" w:w="3168"/>
            <w:vAlign w:val="center"/>
            <w:shd w:fill="F1F6F7"/>
          </w:tcPr>
          <w:p>
            <w:pPr>
              <w:spacing w:after="80" w:before="80" w:line="269" w:lineRule="auto"/>
            </w:pPr>
            <w:r>
              <w:rPr>
                <w:rFonts w:ascii="Calibri" w:hAnsi="Calibri" w:eastAsia="Noto Sans CJK SC"/>
                <w:sz w:val="18"/>
              </w:rPr>
              <w:t>Reports</w:t>
            </w:r>
          </w:p>
        </w:tc>
        <w:tc>
          <w:tcPr>
            <w:tcW w:type="dxa" w:w="3168"/>
            <w:vAlign w:val="center"/>
            <w:shd w:fill="F1F6F7"/>
          </w:tcPr>
          <w:p>
            <w:pPr>
              <w:spacing w:after="80" w:before="80" w:line="269" w:lineRule="auto"/>
            </w:pPr>
            <w:r>
              <w:rPr>
                <w:rFonts w:ascii="Calibri" w:hAnsi="Calibri" w:eastAsia="Noto Sans CJK SC"/>
                <w:sz w:val="18"/>
              </w:rPr>
              <w:t>DOCX rendering and page inspection</w:t>
            </w:r>
          </w:p>
        </w:tc>
        <w:tc>
          <w:tcPr>
            <w:tcW w:type="dxa" w:w="3168"/>
            <w:vAlign w:val="center"/>
            <w:shd w:fill="F1F6F7"/>
          </w:tcPr>
          <w:p>
            <w:pPr>
              <w:spacing w:after="80" w:before="80" w:line="269" w:lineRule="auto"/>
            </w:pPr>
            <w:r>
              <w:rPr>
                <w:rFonts w:ascii="Calibri" w:hAnsi="Calibri" w:eastAsia="Noto Sans CJK SC"/>
                <w:sz w:val="18"/>
              </w:rPr>
              <w:t>Independent economic validation</w:t>
            </w:r>
          </w:p>
        </w:tc>
      </w:tr>
    </w:tbl>
    <w:p>
      <w:pPr>
        <w:spacing w:after="0"/>
      </w:pPr>
    </w:p>
    <w:p>
      <w:r>
        <w:t>Browser checks load the local HTML content into Chromium. The environment restricts direct file:// navigation, so restricted-environment navigation is not represented as a test on the user’s device. The interface executes with no external requests and its export control is tested. The user’s chat-client download path cannot be tested from this environment.</w:t>
      </w:r>
    </w:p>
    <w:p>
      <w:r>
        <w:t>A hash chain detects internal inconsistency, but a file administrator can rebuild the entire chain. An independently retained checkpoint detects rewrites or tail truncation relative to that checkpoint, without proving truth. File outputs and event appends are not distributed multi-tenant transactions. Public service deployment requires separate identity, access control, encryption, concurrency controls, security testing and jurisdiction-specific review.</w:t>
      </w:r>
    </w:p>
    <w:p>
      <w:pPr>
        <w:pStyle w:val="Callout"/>
        <w:keepLines/>
        <w:shd w:fill="E7F3F2"/>
        <w:pBdr>
          <w:left w:val="single" w:sz="20" w:color="096C75"/>
        </w:pBdr>
      </w:pPr>
      <w:r>
        <w:t>Not completed: field-market experiments, independent demand checks, power metering, live model/API invocation, payment custody, hiring/financial deployment, remote GitHub publication or institutional endorsement. The deliverable is an inspectable local reference system.</w:t>
      </w:r>
    </w:p>
    <w:p>
      <w:r>
        <w:br w:type="page"/>
      </w:r>
    </w:p>
    <w:p>
      <w:pPr>
        <w:pStyle w:val="Kicker"/>
      </w:pPr>
      <w:r>
        <w:t>SOURCES &amp; PROVENANCE</w:t>
      </w:r>
    </w:p>
    <w:p>
      <w:pPr>
        <w:pStyle w:val="Heading1"/>
      </w:pPr>
      <w:r>
        <w:t>13 Sources, attribution and reading scope</w:t>
      </w:r>
    </w:p>
    <w:p>
      <w:r>
        <w:t>The following separates user materials, external research and this release’s engineering design. User books and the supplied article are not redistributed as open-source package contents. External sources do not endorse this software. Access/review date: 2026-09-07.</w:t>
      </w:r>
    </w:p>
    <w:p>
      <w:pPr>
        <w:pStyle w:val="Source"/>
      </w:pPr>
      <w:r>
        <w:t>[S01]  — GPT-6，“强拆”App的墙</w:t>
      </w:r>
    </w:p>
    <w:p>
      <w:pPr>
        <w:pStyle w:val="Source"/>
      </w:pPr>
      <w:r>
        <w:t>粘贴的 markdown (1)。md(4), source paragraphs on interface/permission separation and final untested-effect disclaimer</w:t>
      </w:r>
    </w:p>
    <w:p>
      <w:pPr>
        <w:pStyle w:val="Source"/>
      </w:pPr>
      <w:r>
        <w:t>Commentary only; author acknowledges no independent test.</w:t>
      </w:r>
    </w:p>
    <w:p>
      <w:pPr>
        <w:pStyle w:val="Source"/>
      </w:pPr>
      <w:r>
        <w:t>[S02]  — 别学 AI 编程了，AI 编程是一条死路 #AI#</w:t>
      </w:r>
    </w:p>
    <w:p>
      <w:pPr>
        <w:pStyle w:val="Source"/>
      </w:pPr>
      <w:r>
        <w:t>https://mbd.baidu.com/newspage/data/videolanding?nid=sv_10268259270444150443&amp;sourceFrom=share</w:t>
      </w:r>
    </w:p>
    <w:p>
      <w:pPr>
        <w:pStyle w:val="Source"/>
      </w:pPr>
      <w:r>
        <w:t>Title only; no transcript obtained.</w:t>
      </w:r>
    </w:p>
    <w:p>
      <w:pPr>
        <w:pStyle w:val="Source"/>
      </w:pPr>
      <w:r>
        <w:t>[S03] ILO / NASK — Generative AI and Jobs: A Refined Global Index of Occupational Exposure (2025-05-20)</w:t>
      </w:r>
    </w:p>
    <w:p>
      <w:pPr>
        <w:pStyle w:val="Source"/>
      </w:pPr>
      <w:r>
        <w:t>https://www.ilo.org/publications/generative-ai-and-jobs-refined-global-index-occupational-exposure</w:t>
      </w:r>
    </w:p>
    <w:p>
      <w:pPr>
        <w:pStyle w:val="Source"/>
      </w:pPr>
      <w:r>
        <w:t>Abstract retrieved; direct main-page access was restricted.</w:t>
      </w:r>
    </w:p>
    <w:p>
      <w:pPr>
        <w:pStyle w:val="Source"/>
      </w:pPr>
      <w:r>
        <w:t>[S04] Erik Brynjolfsson, Danielle Li, Lindsey R. Raymond — Generative AI at Work</w:t>
      </w:r>
    </w:p>
    <w:p>
      <w:pPr>
        <w:pStyle w:val="Source"/>
      </w:pPr>
      <w:r>
        <w:t>https://www.nber.org/papers/w31161</w:t>
      </w:r>
    </w:p>
    <w:p>
      <w:pPr>
        <w:pStyle w:val="Source"/>
      </w:pPr>
      <w:r>
        <w:t>Working-paper abstract retrieved; not a universal productivity coefficient.</w:t>
      </w:r>
    </w:p>
    <w:p>
      <w:pPr>
        <w:pStyle w:val="Source"/>
      </w:pPr>
      <w:r>
        <w:t>[S05] METR — Measuring the Impact of Early-2025 AI on Experienced Open-Source Developer Productivity (2025-07-10)</w:t>
      </w:r>
    </w:p>
    <w:p>
      <w:pPr>
        <w:pStyle w:val="Source"/>
      </w:pPr>
      <w:r>
        <w:t>https://metr.org/blog/2025-07-10-early-2025-ai-experienced-os-dev-study/</w:t>
      </w:r>
    </w:p>
    <w:p>
      <w:pPr>
        <w:pStyle w:val="Source"/>
      </w:pPr>
      <w:r>
        <w:t>Historical, context-specific study.</w:t>
      </w:r>
    </w:p>
    <w:p>
      <w:pPr>
        <w:pStyle w:val="Source"/>
      </w:pPr>
      <w:r>
        <w:t>[S06] METR — We are Changing our Developer Productivity Experiment Design (2026-02-24)</w:t>
      </w:r>
    </w:p>
    <w:p>
      <w:pPr>
        <w:pStyle w:val="Source"/>
      </w:pPr>
      <w:r>
        <w:t>https://metr.org/blog/2026-02-24-uplift-update/</w:t>
      </w:r>
    </w:p>
    <w:p>
      <w:pPr>
        <w:pStyle w:val="Source"/>
      </w:pPr>
      <w:r>
        <w:t>Update emphasizes selection and measurement limitations.</w:t>
      </w:r>
    </w:p>
    <w:p>
      <w:pPr>
        <w:pStyle w:val="Source"/>
      </w:pPr>
      <w:r>
        <w:t>[S07] OECD — Competition and consumer policy in digital markets (2026-05-28)</w:t>
      </w:r>
    </w:p>
    <w:p>
      <w:pPr>
        <w:pStyle w:val="Source"/>
      </w:pPr>
      <w:r>
        <w:t>https://www.oecd.org/en/publications/competition-and-consumer-policy-in-digital-markets_042c0c49-en/full-report/component-4.html</w:t>
      </w:r>
    </w:p>
    <w:p>
      <w:pPr>
        <w:pStyle w:val="Source"/>
      </w:pPr>
      <w:r>
        <w:t>Institutional trade-offs; not evidence of this design’s efficacy.</w:t>
      </w:r>
    </w:p>
    <w:p>
      <w:pPr>
        <w:pStyle w:val="Source"/>
      </w:pPr>
      <w:r>
        <w:t>[S08] Yucong Duan and Feng Wang — 宇宙的数学新史 / A New Mathematical History of the Universe</w:t>
      </w:r>
    </w:p>
    <w:p>
      <w:pPr>
        <w:pStyle w:val="Source"/>
      </w:pPr>
      <w:r>
        <w:t>Chinese native-semantic reconstruction note; English pp. 2, 8–10</w:t>
      </w:r>
    </w:p>
    <w:p>
      <w:pPr>
        <w:pStyle w:val="Source"/>
      </w:pPr>
      <w:r>
        <w:t>Methodological source; not automatic external economic proof.</w:t>
      </w:r>
    </w:p>
    <w:sectPr w:rsidR="00FC693F" w:rsidRPr="0006063C" w:rsidSect="00034616">
      <w:headerReference w:type="default" r:id="rId9"/>
      <w:footerReference w:type="default" r:id="rId10"/>
      <w:pgSz w:w="11905" w:h="16838"/>
      <w:pgMar w:top="1109" w:right="1195" w:bottom="1008" w:left="1195" w:header="490"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F7A"/>
        <w:sz w:val="16"/>
      </w:rPr>
      <w:t xml:space="preserve">LUCIDECON · 2026-09-07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spacing w:after="0"/>
    </w:pPr>
    <w:r>
      <w:t>DIKWP  /  LUCIDECON 2.0                                      RESEARCH &amp;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Calibri" w:hAnsi="Calibri" w:eastAsia="Noto Sans CJK SC"/>
      <w:color w:val="1232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Theme="majorHAnsi" w:eastAsiaTheme="majorEastAsia" w:hAnsiTheme="majorHAnsi" w:cstheme="majorBidi" w:ascii="Calibri" w:hAnsi="Calibri" w:eastAsia="Noto Sans CJK SC"/>
      <w:b/>
      <w:bCs/>
      <w:color w:val="123242"/>
      <w:sz w:val="44"/>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Theme="majorHAnsi" w:eastAsiaTheme="majorEastAsia" w:hAnsiTheme="majorHAnsi" w:cstheme="majorBidi" w:ascii="Calibri" w:hAnsi="Calibri" w:eastAsia="Noto Sans CJK SC"/>
      <w:b/>
      <w:bCs/>
      <w:color w:val="096C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80"/>
      <w:contextualSpacing/>
    </w:pPr>
    <w:rPr>
      <w:rFonts w:asciiTheme="majorHAnsi" w:eastAsiaTheme="majorEastAsia" w:hAnsiTheme="majorHAnsi" w:cstheme="majorBidi" w:ascii="Calibri" w:hAnsi="Calibri" w:eastAsia="Noto Sans CJK SC"/>
      <w:color w:val="12324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200"/>
    </w:pPr>
    <w:rPr>
      <w:rFonts w:asciiTheme="majorHAnsi" w:eastAsiaTheme="majorEastAsia" w:hAnsiTheme="majorHAnsi" w:cstheme="majorBidi" w:ascii="Calibri" w:hAnsi="Calibri" w:eastAsia="Noto Sans CJK SC"/>
      <w:i/>
      <w:iCs/>
      <w:color w:val="123242"/>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80" w:line="276" w:lineRule="auto"/>
    </w:pPr>
    <w:rPr>
      <w:rFonts w:ascii="Calibri" w:hAnsi="Calibri" w:eastAsia="Noto Sans CJK SC"/>
      <w:b/>
      <w:color w:val="096C75"/>
      <w:sz w:val="18"/>
    </w:rPr>
  </w:style>
  <w:style w:type="paragraph" w:customStyle="1" w:styleId="Callout">
    <w:name w:val="Callout"/>
    <w:pPr>
      <w:spacing w:after="180" w:line="276" w:lineRule="auto" w:before="140"/>
      <w:ind w:left="173" w:right="144"/>
    </w:pPr>
    <w:rPr>
      <w:rFonts w:ascii="Calibri" w:hAnsi="Calibri" w:eastAsia="Noto Sans CJK SC"/>
      <w:color w:val="123242"/>
      <w:sz w:val="20"/>
    </w:rPr>
  </w:style>
  <w:style w:type="paragraph" w:customStyle="1" w:styleId="Code">
    <w:name w:val="Code"/>
    <w:pPr>
      <w:keepLines/>
      <w:spacing w:after="180" w:line="276" w:lineRule="auto"/>
      <w:ind w:left="173"/>
    </w:pPr>
    <w:rPr>
      <w:rFonts w:ascii="Consolas" w:hAnsi="Consolas" w:eastAsia="Noto Sans CJK SC"/>
      <w:color w:val="123242"/>
      <w:sz w:val="16"/>
    </w:rPr>
  </w:style>
  <w:style w:type="paragraph" w:customStyle="1" w:styleId="Source">
    <w:name w:val="Source"/>
    <w:pPr>
      <w:spacing w:after="180" w:line="276" w:lineRule="auto"/>
    </w:pPr>
    <w:rPr>
      <w:rFonts w:ascii="Calibri" w:hAnsi="Calibri" w:eastAsia="Noto Sans CJK SC"/>
      <w:color w:val="566F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Transparent Economy and Ordinary-Person Opportunity</dc:title>
  <dc:subject>DIKWP-LUCIDECON-OS 2.0 recovery and redesign</dc:subject>
  <dc:creator>Yucong Duan</dc:creator>
  <cp:keywords/>
  <dc:description>Newly rebuilt report. Synthetic examples. Not independent market validation.</dc:description>
  <cp:lastModifiedBy/>
  <cp:revision>1</cp:revision>
  <dcterms:created xsi:type="dcterms:W3CDTF">2013-12-23T23:15:00Z</dcterms:created>
  <dcterms:modified xsi:type="dcterms:W3CDTF">2013-12-23T23:15:00Z</dcterms:modified>
  <cp:category/>
</cp:coreProperties>
</file>