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 w:eastAsia="Noto Sans CJK SC"/>
          <w:b w:val="0"/>
          <w:color w:val="15374A"/>
          <w:sz w:val="50"/>
        </w:rPr>
        <w:t>DIKWP-PRAXIS-OS 2.0.0</w:t>
      </w:r>
    </w:p>
    <w:p>
      <w:pPr>
        <w:pStyle w:val="Subtitle"/>
      </w:pPr>
      <w:r>
        <w:rPr>
          <w:rFonts w:ascii="DejaVu Sans" w:hAnsi="DejaVu Sans" w:eastAsia="Noto Sans CJK SC"/>
          <w:b w:val="0"/>
          <w:color w:val="126B73"/>
          <w:sz w:val="28"/>
        </w:rPr>
        <w:t>WORLDGATE：行动实证内核</w:t>
      </w:r>
    </w:p>
    <w:p>
      <w:r>
        <w:rPr>
          <w:rFonts w:ascii="DejaVu Sans" w:hAnsi="DejaVu Sans" w:eastAsia="Noto Sans CJK SC"/>
          <w:b w:val="0"/>
          <w:color w:val="126B73"/>
          <w:sz w:val="24"/>
        </w:rPr>
        <w:t>从评测结果走向执行资格、现实观察与受控修订</w:t>
      </w:r>
    </w:p>
    <w:p>
      <w:r>
        <w:rPr>
          <w:rFonts w:ascii="DejaVu Sans" w:hAnsi="DejaVu Sans" w:eastAsia="Noto Sans CJK SC"/>
          <w:b w:val="0"/>
          <w:sz w:val="20"/>
        </w:rPr>
        <w:t>段玉聪 · Yucong Duan</w:t>
      </w:r>
    </w:p>
    <w:p>
      <w:r>
        <w:rPr>
          <w:rFonts w:ascii="DejaVu Sans" w:hAnsi="DejaVu Sans" w:eastAsia="Noto Sans CJK SC"/>
          <w:b w:val="0"/>
          <w:sz w:val="20"/>
        </w:rPr>
        <w:t>工程研究与可执行参考实现 · 2026年9月8日</w:t>
      </w:r>
    </w:p>
    <w:p>
      <w:r>
        <w:rPr>
          <w:rFonts w:ascii="DejaVu Sans" w:hAnsi="DejaVu Sans" w:eastAsia="Noto Sans CJK SC"/>
          <w:b w:val="0"/>
          <w:sz w:val="20"/>
        </w:rPr>
        <w:t>本版把任务证据、有限权限、库存状态、操作预算、结果观察和补偿条件连接为一套实际运行的协议。它不要求先相信某个模型“足够聪明”，而是要求每次受控操作在当下满足已声明条件。</w:t>
      </w:r>
    </w:p>
    <w:p>
      <w:r>
        <w:rPr>
          <w:rFonts w:ascii="DejaVu Sans" w:hAnsi="DejaVu Sans" w:eastAsia="Noto Sans CJK SC"/>
          <w:b w:val="0"/>
          <w:sz w:val="20"/>
        </w:rPr>
      </w:r>
      <w:r>
        <w:rPr>
          <w:rFonts w:ascii="DejaVu Sans" w:hAnsi="DejaVu Sans" w:eastAsia="Noto Sans CJK SC"/>
          <w:b/>
          <w:sz w:val="20"/>
        </w:rPr>
        <w:t>三个不能混同的关系</w:t>
      </w:r>
      <w:r>
        <w:rPr>
          <w:rFonts w:ascii="DejaVu Sans" w:hAnsi="DejaVu Sans" w:eastAsia="Noto Sans CJK SC"/>
          <w:b w:val="0"/>
          <w:sz w:val="20"/>
        </w:rPr>
      </w:r>
    </w:p>
    <w:p>
      <w:r>
        <w:rPr>
          <w:rFonts w:ascii="DejaVu Sans" w:hAnsi="DejaVu Sans" w:eastAsia="Noto Sans CJK SC"/>
          <w:b w:val="0"/>
          <w:sz w:val="20"/>
        </w:rPr>
        <w:t>评测通过不等于获得行动授权；提交完成不等于后置条件得到观察；补偿完成不等于原事件没有发生。</w:t>
      </w:r>
    </w:p>
    <w:p>
      <w:r>
        <w:rPr>
          <w:rFonts w:ascii="DejaVu Sans" w:hAnsi="DejaVu Sans" w:eastAsia="Noto Sans CJK SC"/>
          <w:b w:val="0"/>
          <w:sz w:val="20"/>
        </w:rPr>
      </w:r>
      <w:r>
        <w:rPr>
          <w:rFonts w:ascii="DejaVu Sans" w:hAnsi="DejaVu Sans" w:eastAsia="Noto Sans CJK SC"/>
          <w:b/>
          <w:sz w:val="20"/>
        </w:rPr>
        <w:t>本次实测摘要</w:t>
      </w:r>
      <w:r>
        <w:rPr>
          <w:rFonts w:ascii="DejaVu Sans" w:hAnsi="DejaVu Sans" w:eastAsia="Noto Sans CJK S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自动测试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新增106项＋保留115项，共221项通过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运行时故障场景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23/23按预期结算，185条事件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并发额度争用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24请求、8线程，1次生效、23次拒绝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受控修复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8策略×36开发案例；选定后36保留案例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原版参考实验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432次本地执行，保留原有结果含义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这是一项AI辅助工程交付，不是第三方认证。报告中“已实现”仅指所列模块和本地适用范围。全部参考数据、身份角色和批准均为合成；没有调用真实模型API、资金渠道或生产平台。</w:t>
      </w:r>
    </w:p>
    <w:p>
      <w:r>
        <w:rPr>
          <w:rFonts w:ascii="DejaVu Sans" w:hAnsi="DejaVu Sans" w:eastAsia="Noto Sans CJK SC"/>
          <w:b w:val="0"/>
          <w:sz w:val="20"/>
        </w:rPr>
        <w:t>阅读路径：第1—2节看逐项升级；第3—8节看执行和信任边界；第9—12节看统计、修复与实测；第13—16节看使用、部署与来源。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　逐项升维：从判断转向控制</w:t>
      </w:r>
    </w:p>
    <w:p>
      <w:r>
        <w:rPr>
          <w:rFonts w:ascii="DejaVu Sans" w:hAnsi="DejaVu Sans" w:eastAsia="Noto Sans CJK SC"/>
          <w:b w:val="0"/>
          <w:sz w:val="20"/>
        </w:rPr>
        <w:t>上一版已经包含任务合同、工具读取权限检查、轨迹核验、局部发布登记和结果重开。新版没有把这些既有功能抹去，以制造虚假的比较优势。对照基线是实际恢复的v1源码与测试，而非一个弱化的假想产品。[B1]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600"/>
        <w:gridCol w:w="4406"/>
      </w:tblGrid>
      <w:tr>
        <w:trPr>
          <w:cantSplit/>
          <w:tblHeader/>
        </w:trPr>
        <w:tc>
          <w:tcPr>
            <w:tcW w:type="dxa" w:w="1843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v1实际基础</w:t>
            </w:r>
          </w:p>
        </w:tc>
        <w:tc>
          <w:tcPr>
            <w:tcW w:type="dxa" w:w="440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WORLDGATE新增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评估与行动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本地评测与发布状态登记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对真实本地库存进行受控修改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权限时点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简单读取代理＋事后轨迹检查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prepare和commit两阶段均检查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批准凭证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共享密钥HMAC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不同公钥的Ed25519角色签名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证据有效期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版本化资格记录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过期与撤销直接影响后续提交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并发竞争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每次评估新建环境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同一事务中检查版本和剩余额度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重试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保留失败记录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请求ID与完整载荷绑定，回执复用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回退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局部发布状态回退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满足当前状态条件才执行反向库存操作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完成判定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声明的后置条件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只读观察者签名与实际库存核对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核心变化是将“评估结果作为报告”进一步变为“评估证据参与某个有限行动的准入”。通过证据仍不会自动签发授权；签发授权也不能跳过提交时的状态检查。</w:t>
      </w:r>
    </w:p>
    <w:p>
      <w:r>
        <w:rPr>
          <w:rFonts w:ascii="DejaVu Sans" w:hAnsi="DejaVu Sans" w:eastAsia="Noto Sans CJK SC"/>
          <w:b w:val="0"/>
          <w:sz w:val="20"/>
        </w:rPr>
        <w:t>唯一实际副作用适配器为 inventory.reserve。对任意文件、数据库、浏览器、云平台和支付接口的全面控制仍未实现。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2　逐项升维：从闭环口号转向可复验连接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600"/>
        <w:gridCol w:w="4406"/>
      </w:tblGrid>
      <w:tr>
        <w:trPr>
          <w:cantSplit/>
          <w:tblHeader/>
        </w:trPr>
        <w:tc>
          <w:tcPr>
            <w:tcW w:type="dxa" w:w="1843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00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保留的基础</w:t>
            </w:r>
          </w:p>
        </w:tc>
        <w:tc>
          <w:tcPr>
            <w:tcW w:type="dxa" w:w="440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新增连接及边界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远程结果不明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没有远程副作用协议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两个本地数据库模拟交付与查询；不称为真实网络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来源与真实性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哈希链及重算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签名锚、公钥根固定、新世界重执行；签名不证明事实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连续监测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固定样本bootstrap与Wilson区间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预声明e过程；不替代原有固定样本分析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缺失结果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显示证据不足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暂停有缺口的有序前缀，不跳过慢结果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自动修复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隔离的失败提案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八种预置规则搜索；不是通用模型训练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最小反例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失败分类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有预算的删除极小化；不是全局最小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风险与权限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局部生命周期回退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风险报告→未签名提案→操作员批准→撤销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版本继承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原有115项测试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15个Python源文件逐字节保留，另加新包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完整16项对照位于 docs/comparison.csv，每项给出模块与剩余边界。兼容方式是显式 legacy 子命令，不把旧HMAC批准静默升级为新公钥授权。</w:t>
      </w:r>
    </w:p>
    <w:p>
      <w:r>
        <w:rPr>
          <w:rFonts w:ascii="DejaVu Sans" w:hAnsi="DejaVu Sans" w:eastAsia="Noto Sans CJK SC"/>
          <w:b w:val="0"/>
          <w:sz w:val="20"/>
        </w:rPr>
        <w:t>“颠覆性”在这里指控制对象与结算粒度的变化：从一次发布的平均通过率，变成每次操作的证据、权限、状态、结果和后继。所采用的数据库事务、数字签名和统计基础均有既有来源，本系统不将它们冒称为新发明。[S1—S4]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3　六类角色、四种权力与一条执行链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角色不是模型自己填写的头衔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可以签署或执行的对象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owner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目的、资源、最低库存和单次操作边界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evaluator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限定范围的评测证据及其期限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reviewer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授权内容的独立审核签名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operator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与审核内容完全一致的执行批准及撤销、补偿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executor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具体操作请求，不持有审核批准权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observer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从只读数据库获得的实际后置状态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审核者、操作员、执行者和合同所有者必须是四个不同的配置主体；同一公钥不能复制为不同身份。这个检查阻止简单的密钥别名伪装，但不能验证两把私钥背后是否真是两个自然人。身份登记与密钥保管仍需组织制度。[S3]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执行链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owner contract → evaluator evidence</w:t>
        <w:br/>
        <w:t xml:space="preserve">                  ↓</w:t>
        <w:br/>
        <w:t>reviewer + operator → finite grant</w:t>
        <w:br/>
        <w:t xml:space="preserve">                  ↓</w:t>
        <w:br/>
        <w:t>executor proposal → PREPARED</w:t>
        <w:br/>
        <w:t xml:space="preserve">                  ↓  recheck under transaction</w:t>
        <w:br/>
        <w:t>COMMITTED_PENDING_OBSERVATION</w:t>
        <w:br/>
        <w:t xml:space="preserve">                  ↓  read-only observer</w:t>
        <w:br/>
        <w:t>VERIFIED_LOCAL_EFFECT / RECONCILIATION_REQUIRED</w:t>
      </w:r>
    </w:p>
    <w:p>
      <w:r>
        <w:rPr>
          <w:rFonts w:ascii="DejaVu Sans" w:hAnsi="DejaVu Sans" w:eastAsia="Noto Sans CJK SC"/>
          <w:b w:val="0"/>
          <w:sz w:val="20"/>
        </w:rPr>
        <w:t>四种权力分开：定义目的、判断证据、批准操作、观察结果。默认不提供任意shell或网络调用接口。操作代理必须部署在资源权限边界，不能只是给一个同时持有数据库管理员密码的智能体增加“建议性提示”。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4　把“任务”编译为不可含混的操作合同</w:t>
      </w:r>
    </w:p>
    <w:p>
      <w:r>
        <w:rPr>
          <w:rFonts w:ascii="DejaVu Sans" w:hAnsi="DejaVu Sans" w:eastAsia="Noto Sans CJK SC"/>
          <w:b w:val="0"/>
          <w:sz w:val="20"/>
        </w:rPr>
        <w:t>合同限定操作类型、资源集合、候选版本哈希、最低库存、单次数量和最长租约。证据进一步绑定合同与候选版本、评测范围、来源、案例组数、结果文件哈希和有效期。授权由审核者与操作员对完全相同的载荷分别签名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可执行请求示例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{</w:t>
        <w:br/>
        <w:t xml:space="preserve">  "kind": "action", "tenant": "local",</w:t>
        <w:br/>
        <w:t xml:space="preserve">  "action_id": "request-001", "actor": "executor-person",</w:t>
        <w:br/>
        <w:t xml:space="preserve">  "grant_id": "grant-001",</w:t>
        <w:br/>
        <w:t xml:space="preserve">  "contract_hash": "&lt;reviewed SHA-256&gt;",</w:t>
        <w:br/>
        <w:t xml:space="preserve">  "candidate_hash": "&lt;reviewed SHA-256&gt;",</w:t>
        <w:br/>
        <w:t xml:space="preserve">  "operation": "inventory.reserve",</w:t>
        <w:br/>
        <w:t xml:space="preserve">  "resource": "stock-a", "units": 3,</w:t>
        <w:br/>
        <w:t xml:space="preserve">  "expected_revision": 0</w:t>
        <w:br/>
        <w:t>}</w:t>
      </w:r>
    </w:p>
    <w:p>
      <w:r>
        <w:rPr>
          <w:rFonts w:ascii="DejaVu Sans" w:hAnsi="DejaVu Sans" w:eastAsia="Noto Sans CJK SC"/>
          <w:b w:val="0"/>
          <w:sz w:val="20"/>
        </w:rPr>
        <w:t>示例中的尖括号是需要替换的说明，不是有效哈希。程序拒绝布尔值冒充整数、浮点数量、负数、额外指令字段、未列出的操作，以及租户、候选、合同或资源替换。签名并不会使错误载荷获得资格。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必须保留的区别</w:t>
      </w:r>
    </w:p>
    <w:p>
      <w:r>
        <w:rPr>
          <w:rFonts w:ascii="DejaVu Sans" w:hAnsi="DejaVu Sans" w:eastAsia="Noto Sans CJK SC"/>
          <w:b w:val="0"/>
          <w:sz w:val="20"/>
        </w:rPr>
        <w:t>candidate_hash绑定的是被批准的候选声明；本版不提供远程二进制执行证明。artifact_hash指向评测材料；评估器签名不证明该材料的事实一定真实。旧版订单汇总测试也不能自动授权新版库存操作：操作合同不匹配时拒绝。</w:t>
      </w:r>
    </w:p>
    <w:p>
      <w:r>
        <w:rPr>
          <w:rFonts w:ascii="DejaVu Sans" w:hAnsi="DejaVu Sans" w:eastAsia="Noto Sans CJK SC"/>
          <w:b w:val="0"/>
          <w:sz w:val="20"/>
        </w:rPr>
        <w:t>所有真实CLI调用使用主机时间。SDK中的测试时钟和故障注入参数属于受信任测试驱动，不进入操作请求模式。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5　原子提交：把检查和结果放入同一现实边界</w:t>
      </w:r>
    </w:p>
    <w:p>
      <w:r>
        <w:rPr>
          <w:rFonts w:ascii="DejaVu Sans" w:hAnsi="DejaVu Sans" w:eastAsia="Noto Sans CJK SC"/>
          <w:b w:val="0"/>
          <w:sz w:val="20"/>
        </w:rPr>
        <w:t>prepare只登记请求及预测的前后状态，不扣减库存、不占用额度。commit取得写事务后重新核验：授权仍有效、证据未撤销、租约未过期、资源版本未变化、操作和总额度仍有余量、最低库存不被突破。[S1—S2]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BEGIN IMMEDIATE</w:t>
        <w:br/>
        <w:t xml:space="preserve">  verify authority + evidence + time</w:t>
        <w:br/>
        <w:t xml:space="preserve">  compare current state with prepared state</w:t>
        <w:br/>
        <w:t xml:space="preserve">  verify quantity + remaining quota + floor</w:t>
        <w:br/>
        <w:t xml:space="preserve">  update inventory and revision</w:t>
        <w:br/>
        <w:t xml:space="preserve">  charge grant counters</w:t>
        <w:br/>
        <w:t xml:space="preserve">  persist effect receipt and audit event</w:t>
        <w:br/>
        <w:t>COMMIT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局部不变量及证明思路</w:t>
      </w:r>
    </w:p>
    <w:p>
      <w:r>
        <w:rPr>
          <w:rFonts w:ascii="DejaVu Sans" w:hAnsi="DejaVu Sans" w:eastAsia="Noto Sans CJK SC"/>
          <w:b w:val="0"/>
          <w:sz w:val="20"/>
        </w:rPr>
        <w:t>设库存为x，申请量u，底线m，已用额度b，总额度B。允许提交必须同时满足 x−u≥m 与 b+u≤B。检查与更新由同一个受信任事务串行化，因此下一提交看到的是已更新状态，而不是先前读到的余额。</w:t>
      </w:r>
    </w:p>
    <w:p>
      <w:r>
        <w:rPr>
          <w:rFonts w:ascii="DejaVu Sans" w:hAnsi="DejaVu Sans" w:eastAsia="Noto Sans CJK SC"/>
          <w:b w:val="0"/>
          <w:sz w:val="20"/>
        </w:rPr>
        <w:t>在数据库事务原子性、可信适配器和可信存储成立时，可对成功提交次数归纳：底线不被有效提交突破；计数不超过授权；相同租户和请求ID不能产生第二次库存效应。这个结论不是对任意硬件崩溃、管理员篡改或跨服务事务的全局证明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已执行的并发试验</w:t>
      </w:r>
    </w:p>
    <w:p>
      <w:r>
        <w:rPr>
          <w:rFonts w:ascii="DejaVu Sans" w:hAnsi="DejaVu Sans" w:eastAsia="Noto Sans CJK SC"/>
          <w:b w:val="0"/>
          <w:sz w:val="20"/>
        </w:rPr>
        <w:t>24个不同请求先prepare，再由8个线程争用一次额度。结果是1次COMMITTED_PENDING_OBSERVATION、23次GRANT_BUDGET_EXHAUSTED，库存100变为97。不是24个线程都拿到一个“通过”标签以后再补查。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6　结果观察：接口返回成功以后还没有结束</w:t>
      </w:r>
    </w:p>
    <w:p>
      <w:r>
        <w:rPr>
          <w:rFonts w:ascii="DejaVu Sans" w:hAnsi="DejaVu Sans" w:eastAsia="Noto Sans CJK SC"/>
          <w:b w:val="0"/>
          <w:sz w:val="20"/>
        </w:rPr>
        <w:t>执行回执包括请求哈希、候选与证据引用、原状态、预测后状态以及提交时间。此时只结算为COMMITTED_PENDING_OBSERVATION。观察者通过只读连接读取实际状态，签署请求和回执绑定的观察记录；代理再与当前数据库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观察情况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结算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实际状态与提交后状态相同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VERIFIED_LOCAL_EFFECT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有后续写入，状态不再相同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RECONCILIATION_REQUIRED，暂停该授权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观察之后、接收之前状态又变化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OBSERVER_SNAPSHOT_NOT_CURRENT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执行者自己使用执行密钥声称成功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观察角色检查拒绝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本次测试实际启动了一个独立CLI进程，用观察者密钥和只读数据库连接生成回执，再由主进程核验。这比信任智能体输出中的success=true更强，但仍不等于不同机构、不同硬件或独立传感器的事实认证。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不将正常竞争误写成恶意</w:t>
      </w:r>
    </w:p>
    <w:p>
      <w:r>
        <w:rPr>
          <w:rFonts w:ascii="DejaVu Sans" w:hAnsi="DejaVu Sans" w:eastAsia="Noto Sans CJK SC"/>
          <w:b w:val="0"/>
          <w:sz w:val="20"/>
        </w:rPr>
        <w:t>库存先从100变为97，随后另一个合法动作把它变为92。此时对第一个动作进行观察，当前库存不再是97。系统要求核对历史及并发关系，不直接宣布第一个动作欺骗，也不把第二个动作的结果覆盖掉。</w:t>
      </w:r>
    </w:p>
    <w:p>
      <w:r>
        <w:rPr>
          <w:rFonts w:ascii="DejaVu Sans" w:hAnsi="DejaVu Sans" w:eastAsia="Noto Sans CJK SC"/>
          <w:b w:val="0"/>
          <w:sz w:val="20"/>
        </w:rPr>
        <w:t>签名验证来自经过维护的密码库，而不是自行实现签名数学。它证明记录来自配置公钥所对应的私钥持有者，不证明该观察者不会撒谎。[S3]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7　失败、结果未知与补偿是三种不同状态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提交前后的故障不应混为一次失败</w:t>
      </w:r>
    </w:p>
    <w:p>
      <w:r>
        <w:rPr>
          <w:rFonts w:ascii="DejaVu Sans" w:hAnsi="DejaVu Sans" w:eastAsia="Noto Sans CJK SC"/>
          <w:b w:val="0"/>
          <w:sz w:val="20"/>
        </w:rPr>
        <w:t>在提交前注入故障，库存、额度和回执整体回滚。提交后回复丢失，则库存已经改变；相同请求重试只返回原回执，不再次扣减。演示通过重新打开数据库验证了这两条路径。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两服务之间没有自动获得原子性</w:t>
      </w:r>
    </w:p>
    <w:p>
      <w:r>
        <w:rPr>
          <w:rFonts w:ascii="DejaVu Sans" w:hAnsi="DejaVu Sans" w:eastAsia="Noto Sans CJK SC"/>
          <w:b w:val="0"/>
          <w:sz w:val="20"/>
        </w:rPr>
        <w:t>额外实验使用两个真实本地SQLite数据库，分别代表调用端与提供端。它不是网络连接器，但故意保留了跨边界间隙。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600"/>
        <w:gridCol w:w="4406"/>
      </w:tblGrid>
      <w:tr>
        <w:trPr>
          <w:cantSplit/>
          <w:tblHeader/>
        </w:trPr>
        <w:tc>
          <w:tcPr>
            <w:tcW w:type="dxa" w:w="1843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600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提供端实际效应</w:t>
            </w:r>
          </w:p>
        </w:tc>
        <w:tc>
          <w:tcPr>
            <w:tcW w:type="dxa" w:w="440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调用端处置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扣减7后回复丢失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存在一次效应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UNKNOWN；禁止盲重试，查询后确认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返回成功却未执行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没有记录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不签发完成；要求重试授权审查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发送前进程停止</w:t>
            </w:r>
          </w:p>
        </w:tc>
        <w:tc>
          <w:tcPr>
            <w:tcW w:type="dxa" w:w="3600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没有记录</w:t>
            </w:r>
          </w:p>
        </w:tc>
        <w:tc>
          <w:tcPr>
            <w:tcW w:type="dxa" w:w="440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核对后进入RETRY_AUTHORIZATION_REQUIRED</w:t>
            </w:r>
          </w:p>
        </w:tc>
      </w:tr>
      <w:tr>
        <w:trPr>
          <w:cantSplit/>
        </w:trPr>
        <w:tc>
          <w:tcPr>
            <w:tcW w:type="dxa" w:w="1843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状态接口不可用</w:t>
            </w:r>
          </w:p>
        </w:tc>
        <w:tc>
          <w:tcPr>
            <w:tcW w:type="dxa" w:w="3600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无法判断</w:t>
            </w:r>
          </w:p>
        </w:tc>
        <w:tc>
          <w:tcPr>
            <w:tcW w:type="dxa" w:w="440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保持UNKNOWN，不将未知当失败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参考结果中提供端仅执行一次，库存100变93。没有把HTTP 200或相似确认文字当作实际完成的证据。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补偿不覆盖后来者</w:t>
      </w:r>
    </w:p>
    <w:p>
      <w:r>
        <w:rPr>
          <w:rFonts w:ascii="DejaVu Sans" w:hAnsi="DejaVu Sans" w:eastAsia="Noto Sans CJK SC"/>
          <w:b w:val="0"/>
          <w:sz w:val="20"/>
        </w:rPr>
        <w:t>补偿仅在当前完整状态等于原动作记录的后状态时执行；恢复数量但递增版本，并保留原回执。后来已有写入就返回COMPENSATION_CONFLICT。操作预算不返还，防止通过反复撤回刷新调用额度。对跨服务、物理行动或不可逆操作，本版不承诺能够补偿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8　签名、信任根、重执行与DIKWP责任链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必须在包外保留的东西</w:t>
      </w:r>
    </w:p>
    <w:p>
      <w:r>
        <w:rPr>
          <w:rFonts w:ascii="DejaVu Sans" w:hAnsi="DejaVu Sans" w:eastAsia="Noto Sans CJK SC"/>
          <w:b w:val="0"/>
          <w:sz w:val="20"/>
        </w:rPr>
        <w:t>导出包包含公钥登记和签名锚，但“包里有自己的公钥”不能证明外部来源。replay支持--trust加载独立保留的公钥根；未提供固定根时，只报告自包含签名完整性，不声称已认证来源。即使固定了根，攻击者若整体回退数据库和旧的有效锚，也需要一份包外最新锚才能被识别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不只检查哈希</w:t>
      </w:r>
    </w:p>
    <w:p>
      <w:r>
        <w:rPr>
          <w:rFonts w:ascii="DejaVu Sans" w:hAnsi="DejaVu Sans" w:eastAsia="Noto Sans CJK SC"/>
          <w:b w:val="0"/>
          <w:sz w:val="20"/>
        </w:rPr>
        <w:t>回放在新的临时数据库中，从初始资源开始重新执行成功的签名合同、证据登记、授权、prepare、commit、观察、补偿和撤销。每一步重算结果哈希，最后对照库存、动作、授权计数及证据活动状态。截断签名历史和仅修改最终库存都在实验中被检测到。</w:t>
      </w:r>
    </w:p>
    <w:p>
      <w:r>
        <w:rPr>
          <w:rFonts w:ascii="DejaVu Sans" w:hAnsi="DejaVu Sans" w:eastAsia="Noto Sans CJK SC"/>
          <w:b w:val="0"/>
          <w:sz w:val="20"/>
        </w:rPr>
        <w:t>拒绝记录为了减少内容暴露仅保存原请求哈希，所以不会宣称重新执行了那些拒绝的原始输入。回放也不是重新调用原智能体，更不是再次观察物理世界。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DIKWP的可操作映射</w:t>
      </w:r>
    </w:p>
    <w:p>
      <w:r>
        <w:rPr>
          <w:rFonts w:ascii="DejaVu Sans" w:hAnsi="DejaVu Sans" w:eastAsia="Noto Sans CJK SC"/>
          <w:b w:val="0"/>
          <w:sz w:val="20"/>
        </w:rPr>
        <w:t>D登记输入、证据及观察；I登记拒绝、冲突和撤销；K登记限定范围的执行回执；W通过批准的资源、额度及底线约束实际影响准入；P登记目的和具体动作。事件之间给出真实源、目标和生成内容。</w:t>
      </w:r>
    </w:p>
    <w:p>
      <w:r>
        <w:rPr>
          <w:rFonts w:ascii="DejaVu Sans" w:hAnsi="DejaVu Sans" w:eastAsia="Noto Sans CJK SC"/>
          <w:b w:val="0"/>
          <w:sz w:val="20"/>
        </w:rPr>
        <w:t>系统允许25类有向路线，但只声称参考事件实际出现的路线。反向重执行给出本地状态对应关系，不由此推出所有语义、认知或现实问题已经闭合。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9　连续风险：固定一次阈值，而不是反复挑选显著结果</w:t>
      </w:r>
    </w:p>
    <w:p>
      <w:r>
        <w:rPr>
          <w:rFonts w:ascii="DejaVu Sans" w:hAnsi="DejaVu Sans" w:eastAsia="Noto Sans CJK SC"/>
          <w:b w:val="0"/>
          <w:sz w:val="20"/>
        </w:rPr>
        <w:t>新版保留原有固定样本统计，同时增加一个有明确前提的序贯监测器。设第g组失败为Xg∈{0,1}。零假设是：给定已经观察的历史，下一组的条件失败概率不超过p0。对预先固定的q&gt;p0，定义：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L_t(q) = product_g (q/p0)^Xg × ((1-q)/(1-p0))^(1-Xg)</w:t>
        <w:br/>
        <w:t>E_t    = mean over the fixed alternative set of L_t(q)</w:t>
        <w:br/>
        <w:t>alarm  = first t with E_t &gt;= 1 / alpha_stream</w:t>
        <w:br/>
        <w:t>alpha_stream = family_alpha / predeclared_family_size</w:t>
      </w:r>
    </w:p>
    <w:p>
      <w:r>
        <w:rPr>
          <w:rFonts w:ascii="DejaVu Sans" w:hAnsi="DejaVu Sans" w:eastAsia="Noto Sans CJK SC"/>
          <w:b w:val="0"/>
          <w:sz w:val="20"/>
        </w:rPr>
        <w:t>若真实条件失败概率pt≤p0，一步乘子的条件期望等于1+(pt−p0)(q−p0)/(p0(1−p0))≤1。因此L及固定混合E为非负测试超鞅；在前提成立时，Ville界控制任意时点跨阈值的概率。多条预声明流使用误差预算分配及联合界。这是既有安全任意时点推断思想的具体应用，不是新发明的统计定理。[S4]</w:t>
      </w:r>
    </w:p>
    <w:p>
      <w:r>
        <w:rPr>
          <w:rFonts w:ascii="DejaVu Sans" w:hAnsi="DejaVu Sans" w:eastAsia="Noto Sans CJK SC"/>
          <w:b w:val="0"/>
          <w:sz w:val="20"/>
        </w:rPr>
        <w:t>参考p0=.05，备择q=[.1,.2,.4,.7]，family_alpha=.05，family_size=2，阈值为40。前10组不失败、后15组失败的合成序列在第15组首次触发。全不失败序列只得到“未拒绝零假设”，不是安全证书。</w:t>
      </w:r>
    </w:p>
    <w:p>
      <w:r>
        <w:rPr>
          <w:rFonts w:ascii="DejaVu Sans" w:hAnsi="DejaVu Sans" w:eastAsia="Noto Sans CJK SC"/>
          <w:b w:val="0"/>
          <w:sz w:val="20"/>
        </w:rPr>
        <w:t>缺失第6组结果时只处理前5组，后面的快结果不得越过该缺口。配置、分组、顺序、备择和监测家族必须在看结果之前确定；组标签不能证明总体代表性。一个严重单次事件无需等到统计显著才暂停操作。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10　可控修复：允许提出新规则，不允许自己改写考试</w:t>
      </w:r>
    </w:p>
    <w:p>
      <w:r>
        <w:rPr>
          <w:rFonts w:ascii="DejaVu Sans" w:hAnsi="DejaVu Sans" w:eastAsia="Noto Sans CJK SC"/>
          <w:b w:val="0"/>
          <w:sz w:val="20"/>
        </w:rPr>
        <w:t>本版实现一个可以复现的有限规则搜索，而不是声称“模型自动进化”。待修复的库存提议器有三项布尔规则：严格整数、遵守库存底线、忽略来源文本中的指令。三个开关构成8个候选；每个候选在36个开发案例上实际执行。</w:t>
      </w:r>
    </w:p>
    <w:p>
      <w:r>
        <w:rPr>
          <w:rFonts w:ascii="DejaVu Sans" w:hAnsi="DejaVu Sans" w:eastAsia="Noto Sans CJK SC"/>
          <w:b w:val="0"/>
          <w:sz w:val="20"/>
        </w:rPr>
        <w:t>基线三开关全关时正确15/36。程序先在开发集选择达到全部声明断言且改动数最少的候选，再把候选哈希写入一次性保留集账本，之后才执行36个不同种子生成的保留案例。选中的三个开关全开策略在本次保留案例上达到36/36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控制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实际行为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候选形成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预实现的8种规则组合，不生成任意代码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选择依据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仅开发集，不使用保留集选择候选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消耗时点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评估保留集前先登记候选和数据哈希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再试一次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同一修复家族再次请求被拒绝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部署资格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不自动签发授权，不自动替换生产策略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保留集仍是公开合成数据；本地账本也不能阻止管理员复制或清空数据库。它防止正常工作流中的无痕复用，不声称提供对恶意管理员的隐藏考试系统。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将大失败压缩成可理解的反例</w:t>
      </w:r>
    </w:p>
    <w:p>
      <w:r>
        <w:rPr>
          <w:rFonts w:ascii="DejaVu Sans" w:hAnsi="DejaVu Sans" w:eastAsia="Noto Sans CJK SC"/>
          <w:b w:val="0"/>
          <w:sz w:val="20"/>
        </w:rPr>
        <w:t>另一个模块在限定查询预算内逐条删除输入，只要失败仍然存在就继续压缩。四条订单被压缩为一条金额11的取消订单，仍足以证明“不区分取消状态”的汇总规则错误。它达到当前失败谓词下的删除极小，不代表所有表示下的全局最小反例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11　实测结果：记录实际执行，不展示虚构先进模型榜单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试验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已执行结果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新版自动测试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106/106通过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继承测试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115/115通过；15个旧版源文件未改变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旧版参考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24组×3重复×2条件×3载体＝432次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新版运行时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23个场景按预期结算，185条事件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并发请求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1次库存效应＋23次额度拒绝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独立观察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只读函数及另起CLI进程均有测试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提供端歧义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3个任务，仅1次实际提供端效应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修复搜索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288次开发执行＋36次保留执行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序贯监测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3条明确标记的合成输入序列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旧版两个安全载体的ON正确率仍为100%，不安全载体也达到100%但被权限门拒绝。此处保留这一结果，未把新内核的协议测试冒充为GPT、Claude或商业平台的能力提升。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风险发现怎样影响下一次权限</w:t>
      </w:r>
    </w:p>
    <w:p>
      <w:r>
        <w:rPr>
          <w:rFonts w:ascii="DejaVu Sans" w:hAnsi="DejaVu Sans" w:eastAsia="Noto Sans CJK SC"/>
          <w:b w:val="0"/>
          <w:sz w:val="20"/>
        </w:rPr>
        <w:t>在额外反馈演示中，风险监测结果产生一个未签名撤销提案；另一个合成操作员角色对其签名。系统据此撤销指定证据及派生授权，随后新的库存请求被拒绝。它真实改变了本地授权状态，但不表示发生过自然人的批准或真实生产事故。</w:t>
      </w:r>
    </w:p>
    <w:p>
      <w:r>
        <w:rPr>
          <w:rFonts w:ascii="DejaVu Sans" w:hAnsi="DejaVu Sans" w:eastAsia="Noto Sans CJK SC"/>
          <w:b w:val="0"/>
          <w:sz w:val="20"/>
        </w:rPr>
        <w:t>该反馈演示独立于上述23场景；不能把重复使用的合成监测输入当作新的独立统计样本。所有结果均可在 outputs/reference/ 中定位，测试总数也不把一项测试中的多个断言重复计数。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12　故障目录与可证伪条件</w:t>
      </w:r>
    </w:p>
    <w:p>
      <w:r>
        <w:rPr>
          <w:rFonts w:ascii="DejaVu Sans" w:hAnsi="DejaVu Sans" w:eastAsia="Noto Sans CJK SC"/>
          <w:b w:val="0"/>
          <w:sz w:val="20"/>
        </w:rPr>
        <w:t>23个场景不是“覆盖一切攻击”的比例估计，而是针对已声明控制的回归试验。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故障类别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参考结果及重新打开条件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签名载荷改变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BAD_SIGNATURE；任何改变仍通过即失败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租户、候选、资源替换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拒绝；跨范围生效即失败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负数、布尔、浮点或隐藏指令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类型/字段拒绝；无痕强制转换即失败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prepare后过期或撤销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commit拒绝；旧资格继续生效即失败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读写间状态变化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WORLD_CHANGED；覆盖新状态即失败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提交前崩溃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全部回滚；部分扣减或扣额度即失败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提交后丢失回复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仅复用旧回执；二次扣减即失败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后续写入后的补偿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冲突停止；覆盖后来者即失败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并发额度争用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一次额度只允许一次生效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签名历史截断或最终状态伪改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核验或重执行失败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当前无法排除的反例</w:t>
      </w:r>
    </w:p>
    <w:p>
      <w:r>
        <w:rPr>
          <w:rFonts w:ascii="DejaVu Sans" w:hAnsi="DejaVu Sans" w:eastAsia="Noto Sans CJK SC"/>
          <w:b w:val="0"/>
          <w:sz w:val="20"/>
        </w:rPr>
        <w:t>若不可信智能体仍持有原始数据库或管理员权限，它可以绕过代理；若评估器签署了虚假证据，签名无法恢复事实真相；若观察者读取的是被共同篡改的数据源，“独立密钥”也不是独立现实证据；若整体数据和旧锚一并回退，而外部没有保存更新记录，系统不能知道世界已被回退。</w:t>
      </w:r>
    </w:p>
    <w:p>
      <w:r>
        <w:rPr>
          <w:rFonts w:ascii="DejaVu Sans" w:hAnsi="DejaVu Sans" w:eastAsia="Noto Sans CJK SC"/>
          <w:b w:val="0"/>
          <w:sz w:val="20"/>
        </w:rPr>
        <w:t>这些反例不是文字免责后继续宣布“全面安全”，而是部署准入清单的组成部分。任一关键假设不成立，操作者应缩小作用范围或停止真实接入。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13　从下载到第一次真实本地运行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最短路径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python -m pip install -r requirements.txt</w:t>
        <w:br/>
        <w:t>python dist/praxis_v2.pyz demo --out first-run</w:t>
        <w:br/>
        <w:t>python tools/check.py</w:t>
      </w:r>
    </w:p>
    <w:p>
      <w:r>
        <w:rPr>
          <w:rFonts w:ascii="DejaVu Sans" w:hAnsi="DejaVu Sans" w:eastAsia="Noto Sans CJK SC"/>
          <w:b w:val="0"/>
          <w:sz w:val="20"/>
        </w:rPr>
        <w:t>新内核需要cryptography；本次在Python 3.13.5、SQLite 3.46.1、cryptography 46.0.4上实际测试。Python 3.10及以上为声明支持范围，CI矩阵已经提供，但没有宣称远程CI或其他Python版本在本次执行过。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核验一个记录世界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python dist/praxis_v2.pyz replay   first-run/runtime/verified-and-compensated/world.json   --anchor first-run/runtime/verified-and-compensated/anchor.json   --trust first-run/runtime/verified-and-compensated/trust.json</w:t>
      </w:r>
    </w:p>
    <w:p>
      <w:r>
        <w:rPr>
          <w:rFonts w:ascii="DejaVu Sans" w:hAnsi="DejaVu Sans" w:eastAsia="Noto Sans CJK SC"/>
          <w:b w:val="0"/>
          <w:sz w:val="20"/>
        </w:rPr>
        <w:t>演示中的信任根和回执一起分发，便于复算。真正的来源验证应使用此前独立保留的根和最新锚，而不是只信任刚下载包自带的声明。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受信任服务中的最小SDK</w:t>
      </w:r>
    </w:p>
    <w:p>
      <w:pPr>
        <w:spacing w:before="60" w:after="160" w:line="252" w:lineRule="auto"/>
        <w:ind w:left="144" w:right="86"/>
        <w:keepLines/>
        <w:shd w:fill="EEF4F5"/>
      </w:pPr>
      <w:r>
        <w:rPr>
          <w:rFonts w:ascii="DejaVu Sans Mono" w:hAnsi="DejaVu Sans Mono" w:eastAsia="Noto Sans CJK SC"/>
          <w:b w:val="0"/>
          <w:color w:val="15374A"/>
          <w:sz w:val="16"/>
        </w:rPr>
        <w:t>from praxis_gate.common import load</w:t>
        <w:br/>
        <w:t>from praxis_gate.kernel import WorldGate</w:t>
        <w:br/>
        <w:br/>
        <w:t>gate = WorldGate("world.sqlite")</w:t>
        <w:br/>
        <w:t>request = load("signed_request.json")</w:t>
        <w:br/>
        <w:t>proposal = gate.apply("prepare", request)</w:t>
        <w:br/>
        <w:t>receipt = gate.apply("commit", request)</w:t>
      </w:r>
    </w:p>
    <w:p>
      <w:r>
        <w:rPr>
          <w:rFonts w:ascii="DejaVu Sans" w:hAnsi="DejaVu Sans" w:eastAsia="Noto Sans CJK SC"/>
          <w:b w:val="0"/>
          <w:sz w:val="20"/>
        </w:rPr>
        <w:t>随后由观察者运行observe，再调用attest。网页查看器不替代执行内核，也不会帮助用户伪造签名。init只生成本地沙箱、六组密钥和模板；不会自动签发授权。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14　落地路径：先控制一项资源，再增加适配器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阶段A：本地复验</w:t>
      </w:r>
    </w:p>
    <w:p>
      <w:r>
        <w:rPr>
          <w:rFonts w:ascii="DejaVu Sans" w:hAnsi="DejaVu Sans" w:eastAsia="Noto Sans CJK SC"/>
          <w:b w:val="0"/>
          <w:sz w:val="20"/>
        </w:rPr>
        <w:t>运行全部测试与参考实验，核对源码谱系；故意改变请求、证据、权限、状态和回执，确认失败不会被重试或平均指标掩盖。仅使用合成或已获授权的非敏感数据。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阶段B：团队拥有的非关键资源</w:t>
      </w:r>
    </w:p>
    <w:p>
      <w:r>
        <w:rPr>
          <w:rFonts w:ascii="DejaVu Sans" w:hAnsi="DejaVu Sans" w:eastAsia="Noto Sans CJK SC"/>
          <w:b w:val="0"/>
          <w:sz w:val="20"/>
        </w:rPr>
        <w:t>选择一个确实由团队控制的资源和一个可补偿操作。代理、密钥和数据库运行在智能体不能直接访问的服务账号中。分别落实所有者、审核、操作员和观察者的真实身份与保管制度，定义可信时间、日志保留、隐私、告警和人工协调负责人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阶段C：有额度的小范围接入</w:t>
      </w:r>
    </w:p>
    <w:p>
      <w:r>
        <w:rPr>
          <w:rFonts w:ascii="DejaVu Sans" w:hAnsi="DejaVu Sans" w:eastAsia="Noto Sans CJK SC"/>
          <w:b w:val="0"/>
          <w:sz w:val="20"/>
        </w:rPr>
        <w:t>先运行不产生业务副作用的提案阶段，再由具名操作员批准有限额度。新增适配器必须声明：幂等键、状态查询、作用域、观察位置、事务边界、补偿前置条件、超时状态、敏感数据规则和停止方式。外部接口不满足这些条件时，不应只因为其提供了API就自动接入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普通团队可以先用在哪些地方</w:t>
      </w:r>
    </w:p>
    <w:p>
      <w:r>
        <w:rPr>
          <w:rFonts w:ascii="DejaVu Sans" w:hAnsi="DejaVu Sans" w:eastAsia="Noto Sans CJK SC"/>
          <w:b w:val="0"/>
          <w:sz w:val="20"/>
        </w:rPr>
        <w:t>内部库存或配额预留；测试环境配置变更；有明确版本号的文档索引发布；可审计的数据修订。后面三类仅是适配器设计方向，尚未由本发行包实现。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准入证据</w:t>
      </w:r>
    </w:p>
    <w:p>
      <w:r>
        <w:rPr>
          <w:rFonts w:ascii="DejaVu Sans" w:hAnsi="DejaVu Sans" w:eastAsia="Noto Sans CJK SC"/>
          <w:b w:val="0"/>
          <w:sz w:val="20"/>
        </w:rPr>
        <w:t>至少能证明：操作员可以撤销未来权限；执行者不能修改批准；观察者不会读取执行者的成功文本作为唯一证据；重复请求不会重复生效；补偿不会覆盖后来者；失败和未测结果有实际负责的人。所有高分之外仍需保留一条可以说“不”的执行路径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15　剩余边界、维护与版本责任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754"/>
      </w:tblGrid>
      <w:tr>
        <w:trPr>
          <w:cantSplit/>
          <w:tblHeader/>
        </w:trPr>
        <w:tc>
          <w:tcPr>
            <w:tcW w:type="dxa" w:w="3096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6754"/>
            <w:vAlign w:val="center"/>
            <w:shd w:fill="15374A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/>
                <w:color w:val="FFFFFF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真正执行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本地SQLite库存预留及条件补偿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密码机制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维护库中的Ed25519；无自制降级算法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自然人身份、HSM、密钥轮换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外部制度或后续集成，不假定完成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不可信代码沙箱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未提供；旧版受信任进程桥仍不是沙箱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真实模型与Judge API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未调用；旧版导入式Judge审计保留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生产网络、支付、分布式调度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未实现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无限自学习、任意Prompt自改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未实现；只有有限规则实验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硬件能耗、真实群体风险</w:t>
            </w:r>
          </w:p>
        </w:tc>
        <w:tc>
          <w:tcPr>
            <w:tcW w:type="dxa" w:w="6754"/>
            <w:vAlign w:val="center"/>
            <w:shd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未测量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全域正确、安全或意识</w:t>
            </w:r>
          </w:p>
        </w:tc>
        <w:tc>
          <w:tcPr>
            <w:tcW w:type="dxa" w:w="6754"/>
            <w:vAlign w:val="center"/>
            <w:shd w:fill="F1F5F6"/>
            <w:tcMar>
              <w:top w:w="70" w:type="dxa"/>
              <w:left w:w="85" w:type="dxa"/>
              <w:bottom w:w="70" w:type="dxa"/>
              <w:right w:w="85" w:type="dxa"/>
            </w:tcMar>
          </w:tcPr>
          <w:p>
            <w:pPr>
              <w:spacing w:after="40" w:before="40" w:line="257" w:lineRule="auto"/>
            </w:pPr>
            <w:r>
              <w:rPr>
                <w:rFonts w:ascii="DejaVu Sans" w:hAnsi="DejaVu Sans" w:eastAsia="Noto Sans CJK SC"/>
                <w:b w:val="0"/>
                <w:color w:val="1B2830"/>
                <w:sz w:val="18"/>
              </w:rPr>
              <w:t>不由本发行版建立</w:t>
            </w:r>
          </w:p>
        </w:tc>
      </w:tr>
    </w:tbl>
    <w:p>
      <w:pPr>
        <w:spacing w:after="40"/>
      </w:pPr>
    </w:p>
    <w:p>
      <w:r>
        <w:rPr>
          <w:rFonts w:ascii="DejaVu Sans" w:hAnsi="DejaVu Sans" w:eastAsia="Noto Sans CJK SC"/>
          <w:b w:val="0"/>
          <w:sz w:val="20"/>
        </w:rPr>
        <w:t>本地数据与init创建的私钥为明文；POSIX权限不能替代完整密钥管理，其他系统还需相应ACL。哈希和签名验证也不能替代保密、限流、备份和真实身份核验。SQLite连接的事务和关闭语义已按官方接口处理，但主机、文件系统和数据库仍属于信任基础。[S5]</w:t>
      </w:r>
    </w:p>
    <w:p>
      <w:r>
        <w:rPr>
          <w:rFonts w:ascii="DejaVu Sans" w:hAnsi="DejaVu Sans" w:eastAsia="Noto Sans CJK SC"/>
          <w:b w:val="0"/>
          <w:sz w:val="20"/>
        </w:rPr>
        <w:t>源码、测试、报告、观察记录和核验清单共同形成发行对象。修改适配器、权限规则、统计配置或证据解释时，应建立新版本并重新测试，而不是只更换README中的版本号。</w:t>
      </w:r>
    </w:p>
    <w:p>
      <w:r>
        <w:rPr>
          <w:rFonts w:ascii="DejaVu Sans" w:hAnsi="DejaVu Sans" w:eastAsia="Noto Sans CJK SC"/>
          <w:b w:val="0"/>
          <w:sz w:val="20"/>
        </w:rPr>
        <w:t>GitHub工作流文件已经提供，没有在外部执行过；本次没有发布到任何账户。源码和原创文档采用Apache-2.0，第三方基础研究保持其原始归属。此报告不是原文章作者、数据库项目、密码库或统计论文作者对本系统的认可。</w:t>
      </w:r>
    </w:p>
    <w:p>
      <w:r>
        <w:br w:type="page"/>
      </w:r>
    </w:p>
    <w:p>
      <w:pPr>
        <w:pStyle w:val="Heading1"/>
      </w:pPr>
      <w:r>
        <w:rPr>
          <w:rFonts w:ascii="DejaVu Sans" w:hAnsi="DejaVu Sans" w:eastAsia="Noto Sans CJK SC"/>
          <w:b w:val="0"/>
          <w:color w:val="15374A"/>
          <w:sz w:val="36"/>
        </w:rPr>
        <w:t>16　来源、复核与交付索引</w:t>
      </w:r>
    </w:p>
    <w:p>
      <w:r>
        <w:rPr>
          <w:rFonts w:ascii="DejaVu Sans" w:hAnsi="DejaVu Sans" w:eastAsia="Noto Sans CJK SC"/>
          <w:b w:val="0"/>
          <w:sz w:val="20"/>
        </w:rPr>
        <w:t>[B1] 本次会话提供的DIKWP-PRAXIS-OS v1.0.0源码包。原ZIP SHA-256：</w:t>
      </w:r>
    </w:p>
    <w:p>
      <w:r>
        <w:rPr>
          <w:rFonts w:ascii="DejaVu Sans" w:hAnsi="DejaVu Sans" w:eastAsia="Noto Sans CJK SC"/>
          <w:b w:val="0"/>
          <w:sz w:val="20"/>
        </w:rPr>
        <w:t>9bcbb748b3ca27a1a62128c8107f0593a7a8f272fab32a71811469edf3d26abd</w:t>
      </w:r>
    </w:p>
    <w:p>
      <w:r>
        <w:rPr>
          <w:rFonts w:ascii="DejaVu Sans" w:hAnsi="DejaVu Sans" w:eastAsia="Noto Sans CJK SC"/>
          <w:b w:val="0"/>
          <w:sz w:val="20"/>
        </w:rPr>
        <w:t>逐文件继承核验见 verification/upstream_lineage.json。</w:t>
      </w:r>
    </w:p>
    <w:p>
      <w:r>
        <w:rPr>
          <w:rFonts w:ascii="DejaVu Sans" w:hAnsi="DejaVu Sans" w:eastAsia="Noto Sans CJK SC"/>
          <w:b w:val="0"/>
          <w:sz w:val="20"/>
        </w:rPr>
        <w:t>[S1] SQLite, Transaction.</w:t>
      </w:r>
    </w:p>
    <w:p>
      <w:r>
        <w:rPr>
          <w:rFonts w:ascii="DejaVu Sans" w:hAnsi="DejaVu Sans" w:eastAsia="Noto Sans CJK SC"/>
          <w:b w:val="0"/>
          <w:sz w:val="20"/>
        </w:rPr>
        <w:t>https://www.sqlite.org/lang_transaction.html</w:t>
      </w:r>
    </w:p>
    <w:p>
      <w:r>
        <w:rPr>
          <w:rFonts w:ascii="DejaVu Sans" w:hAnsi="DejaVu Sans" w:eastAsia="Noto Sans CJK SC"/>
          <w:b w:val="0"/>
          <w:sz w:val="20"/>
        </w:rPr>
        <w:t>[S2] SQLite, Isolation.</w:t>
      </w:r>
    </w:p>
    <w:p>
      <w:r>
        <w:rPr>
          <w:rFonts w:ascii="DejaVu Sans" w:hAnsi="DejaVu Sans" w:eastAsia="Noto Sans CJK SC"/>
          <w:b w:val="0"/>
          <w:sz w:val="20"/>
        </w:rPr>
        <w:t>https://www.sqlite.org/isolation.html</w:t>
      </w:r>
    </w:p>
    <w:p>
      <w:r>
        <w:rPr>
          <w:rFonts w:ascii="DejaVu Sans" w:hAnsi="DejaVu Sans" w:eastAsia="Noto Sans CJK SC"/>
          <w:b w:val="0"/>
          <w:sz w:val="20"/>
        </w:rPr>
        <w:t>[S3] PyCA cryptography, Ed25519 signing.</w:t>
      </w:r>
    </w:p>
    <w:p>
      <w:r>
        <w:rPr>
          <w:rFonts w:ascii="DejaVu Sans" w:hAnsi="DejaVu Sans" w:eastAsia="Noto Sans CJK SC"/>
          <w:b w:val="0"/>
          <w:sz w:val="20"/>
        </w:rPr>
        <w:t>https://cryptography.io/en/latest/hazmat/primitives/asymmetric/ed25519/</w:t>
      </w:r>
    </w:p>
    <w:p>
      <w:r>
        <w:rPr>
          <w:rFonts w:ascii="DejaVu Sans" w:hAnsi="DejaVu Sans" w:eastAsia="Noto Sans CJK SC"/>
          <w:b w:val="0"/>
          <w:sz w:val="20"/>
        </w:rPr>
        <w:t>[S4] Ramdas, A., Grünwald, P., Vovk, V., Shafer, G. Game-theoretic statistics and safe anytime-valid inference. Statistical Science, 38(4), 576–601, 2023. DOI: 10.1214/23-STS894.</w:t>
      </w:r>
    </w:p>
    <w:p>
      <w:r>
        <w:rPr>
          <w:rFonts w:ascii="DejaVu Sans" w:hAnsi="DejaVu Sans" w:eastAsia="Noto Sans CJK SC"/>
          <w:b w:val="0"/>
          <w:sz w:val="20"/>
        </w:rPr>
        <w:t>https://arxiv.org/abs/2210.01948</w:t>
      </w:r>
    </w:p>
    <w:p>
      <w:r>
        <w:rPr>
          <w:rFonts w:ascii="DejaVu Sans" w:hAnsi="DejaVu Sans" w:eastAsia="Noto Sans CJK SC"/>
          <w:b w:val="0"/>
          <w:sz w:val="20"/>
        </w:rPr>
        <w:t>[S5] Python documentation, sqlite3.</w:t>
      </w:r>
    </w:p>
    <w:p>
      <w:r>
        <w:rPr>
          <w:rFonts w:ascii="DejaVu Sans" w:hAnsi="DejaVu Sans" w:eastAsia="Noto Sans CJK SC"/>
          <w:b w:val="0"/>
          <w:sz w:val="20"/>
        </w:rPr>
        <w:t>https://docs.python.org/3/library/sqlite3.html</w:t>
      </w:r>
    </w:p>
    <w:p>
      <w:r>
        <w:rPr>
          <w:rFonts w:ascii="DejaVu Sans" w:hAnsi="DejaVu Sans" w:eastAsia="Noto Sans CJK SC"/>
          <w:b w:val="0"/>
          <w:sz w:val="20"/>
        </w:rPr>
        <w:t>网页于2026年9月8日核对；引用支持具体技术基础，不代表合规或安全认证。原背景文章仅作为问题来源；缺失图片未自行重建为原作者架构。</w:t>
      </w:r>
    </w:p>
    <w:p>
      <w:pPr>
        <w:pStyle w:val="Heading2"/>
      </w:pPr>
      <w:r>
        <w:rPr>
          <w:rFonts w:ascii="DejaVu Sans" w:hAnsi="DejaVu Sans" w:eastAsia="Noto Sans CJK SC"/>
          <w:b w:val="0"/>
          <w:color w:val="126B73"/>
          <w:sz w:val="24"/>
        </w:rPr>
        <w:t>交付索引</w:t>
      </w:r>
    </w:p>
    <w:p>
      <w:r>
        <w:rPr>
          <w:rFonts w:ascii="DejaVu Sans" w:hAnsi="DejaVu Sans" w:eastAsia="Noto Sans CJK SC"/>
          <w:b w:val="0"/>
          <w:sz w:val="20"/>
        </w:rPr>
        <w:t>README.md / README_CN.md：起步与边界。docs/comparison.csv：16项对照。docs/PROTOCOL.md：协议与SDK。docs/SECURITY_MODEL.md：信任基础。docs/STATISTICS.md：序贯监测前提。outputs/reference/：实际结果与公钥回执。verification/：测试、源码谱系和发行复验。</w:t>
      </w:r>
    </w:p>
    <w:p>
      <w:r>
        <w:rPr>
          <w:rFonts w:ascii="DejaVu Sans" w:hAnsi="DejaVu Sans" w:eastAsia="Noto Sans CJK SC"/>
          <w:b w:val="0"/>
          <w:sz w:val="20"/>
        </w:rPr>
        <w:t>最终应同时检查代码能否运行、证据是否支持结论，以及该结论是否仍在允许的作用范围内。三者不能相互替代。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037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 w:eastAsia="Noto Sans CJK SC"/>
        <w:b w:val="0"/>
        <w:color w:val="56636C"/>
        <w:sz w:val="16"/>
      </w:rPr>
      <w:t xml:space="preserve">本地工程参考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color="126B73"/>
      </w:pBdr>
    </w:pPr>
    <w:r>
      <w:rPr>
        <w:rFonts w:ascii="DejaVu Sans" w:hAnsi="DejaVu Sans" w:eastAsia="Noto Sans CJK SC"/>
        <w:b w:val="0"/>
        <w:color w:val="56636C"/>
        <w:sz w:val="16"/>
      </w:rPr>
      <w:t>DIKWP / PRAXIS     WORLDGATE 2.0.0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537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26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26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1537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40"/>
    </w:pPr>
    <w:rPr>
      <w:rFonts w:asciiTheme="majorHAnsi" w:eastAsiaTheme="majorEastAsia" w:hAnsiTheme="majorHAnsi" w:cstheme="majorBidi" w:ascii="DejaVu Sans" w:hAnsi="DejaVu Sans"/>
      <w:i/>
      <w:iCs/>
      <w:color w:val="126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DIKWP-PRAXIS-OS 2.0.0 WORLDGATE — 对比升维与工程报告</dc:title>
  <dc:subject>AI-assisted engineering release, bounded local reference implementation</dc:subject>
  <dc:creator>Yucong Duan</dc:creator>
  <cp:keywords/>
  <dc:description>No external certification or endorsement is asserted.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