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DejaVu Sans" w:hAnsi="DejaVu Sans" w:eastAsia="Noto Sans CJK SC"/>
          <w:b w:val="0"/>
          <w:color w:val="15374A"/>
          <w:sz w:val="50"/>
        </w:rPr>
        <w:t>DIKWP-PRAXIS-OS 2.0.0</w:t>
      </w:r>
    </w:p>
    <w:p>
      <w:pPr>
        <w:pStyle w:val="Subtitle"/>
      </w:pPr>
      <w:r>
        <w:rPr>
          <w:rFonts w:ascii="DejaVu Sans" w:hAnsi="DejaVu Sans" w:eastAsia="Noto Sans CJK SC"/>
          <w:b w:val="0"/>
          <w:color w:val="126B73"/>
          <w:sz w:val="28"/>
        </w:rPr>
        <w:t>WORLDGATE</w:t>
      </w:r>
    </w:p>
    <w:p>
      <w:r>
        <w:rPr>
          <w:rFonts w:ascii="DejaVu Sans" w:hAnsi="DejaVu Sans" w:eastAsia="Noto Sans CJK SC"/>
          <w:b w:val="0"/>
          <w:color w:val="126B73"/>
          <w:sz w:val="24"/>
        </w:rPr>
        <w:t>Evidence-bound execution, outcome witnessing and governed adaptation</w:t>
      </w:r>
    </w:p>
    <w:p>
      <w:r>
        <w:rPr>
          <w:rFonts w:ascii="DejaVu Sans" w:hAnsi="DejaVu Sans" w:eastAsia="Noto Sans CJK SC"/>
          <w:b w:val="0"/>
          <w:sz w:val="20"/>
        </w:rPr>
        <w:t>Yucong Duan</w:t>
      </w:r>
    </w:p>
    <w:p>
      <w:r>
        <w:rPr>
          <w:rFonts w:ascii="DejaVu Sans" w:hAnsi="DejaVu Sans" w:eastAsia="Noto Sans CJK SC"/>
          <w:b w:val="0"/>
          <w:sz w:val="20"/>
        </w:rPr>
        <w:t>Engineering research and executable reference release · 8 September 2026</w:t>
      </w:r>
    </w:p>
    <w:p>
      <w:r>
        <w:rPr>
          <w:rFonts w:ascii="DejaVu Sans" w:hAnsi="DejaVu Sans" w:eastAsia="Noto Sans CJK SC"/>
          <w:b w:val="0"/>
          <w:sz w:val="20"/>
        </w:rPr>
        <w:t>This edition connects task evidence, scoped authority, resource state, budgets, observations and compensation into an executable protocol. It does not assume that a sufficiently capable model deserves unrestricted tools. Every governed operation must satisfy its declared conditions at the moment of execution.</w:t>
      </w:r>
    </w:p>
    <w:p>
      <w:r>
        <w:rPr>
          <w:rFonts w:ascii="DejaVu Sans" w:hAnsi="DejaVu Sans" w:eastAsia="Noto Sans CJK SC"/>
          <w:b w:val="0"/>
          <w:sz w:val="20"/>
        </w:rPr>
      </w:r>
      <w:r>
        <w:rPr>
          <w:rFonts w:ascii="DejaVu Sans" w:hAnsi="DejaVu Sans" w:eastAsia="Noto Sans CJK SC"/>
          <w:b/>
          <w:sz w:val="20"/>
        </w:rPr>
        <w:t>Three distinctions</w:t>
      </w:r>
      <w:r>
        <w:rPr>
          <w:rFonts w:ascii="DejaVu Sans" w:hAnsi="DejaVu Sans" w:eastAsia="Noto Sans CJK SC"/>
          <w:b w:val="0"/>
          <w:sz w:val="20"/>
        </w:rPr>
      </w:r>
    </w:p>
    <w:p>
      <w:r>
        <w:rPr>
          <w:rFonts w:ascii="DejaVu Sans" w:hAnsi="DejaVu Sans" w:eastAsia="Noto Sans CJK SC"/>
          <w:b w:val="0"/>
          <w:sz w:val="20"/>
        </w:rPr>
        <w:t>Passing an evaluation is not permission to act. A committed action is not an observed postcondition. Compensation is not erasure of the original event.</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Measured item</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Result</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Automated tests</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106 new + 115 preserved; 221 passed</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Runtime fault cases</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23/23 expected outcomes; 185 events</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Concurrent quota race</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24 requests, 8 workers; 1 effect, 23 denials</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Bounded repair</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8 policies × 36 development cases; 36 reserved cases after selection</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Preserved baseline</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432 local executions with unchanged v1 semantics</w:t>
            </w:r>
          </w:p>
        </w:tc>
      </w:tr>
    </w:tbl>
    <w:p>
      <w:pPr>
        <w:spacing w:after="40"/>
      </w:pPr>
    </w:p>
    <w:p>
      <w:r>
        <w:rPr>
          <w:rFonts w:ascii="DejaVu Sans" w:hAnsi="DejaVu Sans" w:eastAsia="Noto Sans CJK SC"/>
          <w:b w:val="0"/>
          <w:sz w:val="20"/>
        </w:rPr>
        <w:t>This is an AI-assisted engineering release, not independent certification. “Implemented” means the named bounded module, not a universal platform guarantee. All reference data, role identities and approvals are synthetic. No live model API, payment rail or production platform was contacted.</w:t>
      </w:r>
    </w:p>
    <w:p>
      <w:r>
        <w:rPr>
          <w:rFonts w:ascii="DejaVu Sans" w:hAnsi="DejaVu Sans" w:eastAsia="Noto Sans CJK SC"/>
          <w:b w:val="0"/>
          <w:sz w:val="20"/>
        </w:rPr>
        <w:t>Reading map: sections 1–2 compare versions; 3–8 specify execution and trust; 9–12 report inference, repair and experiments; 13–16 cover operation, deployment and sources.</w:t>
      </w:r>
    </w:p>
    <w:p>
      <w:r>
        <w:br w:type="page"/>
      </w:r>
    </w:p>
    <w:p>
      <w:pPr>
        <w:pStyle w:val="Heading1"/>
      </w:pPr>
      <w:r>
        <w:rPr>
          <w:rFonts w:ascii="DejaVu Sans" w:hAnsi="DejaVu Sans" w:eastAsia="Noto Sans CJK SC"/>
          <w:b w:val="0"/>
          <w:color w:val="15374A"/>
          <w:sz w:val="36"/>
        </w:rPr>
        <w:t>1　Dimension shift: from judgment to control</w:t>
      </w:r>
    </w:p>
    <w:p>
      <w:r>
        <w:rPr>
          <w:rFonts w:ascii="DejaVu Sans" w:hAnsi="DejaVu Sans" w:eastAsia="Noto Sans CJK SC"/>
          <w:b w:val="0"/>
          <w:sz w:val="20"/>
        </w:rPr>
        <w:t>Version 1 already included task contracts, a scoped read broker, trace auditing, a local release registry and outcome-led reopening. The comparison retains those capabilities rather than inventing a weak baseline. The baseline is the recovered source and its tests, not a commercial product reimplementation. [B1]</w:t>
      </w:r>
    </w:p>
    <w:tbl>
      <w:tblPr>
        <w:tblW w:type="auto" w:w="0"/>
        <w:jc w:val="center"/>
        <w:tblLayout w:type="fixed"/>
        <w:tblLook w:firstColumn="1" w:firstRow="1" w:lastColumn="0" w:lastRow="0" w:noHBand="0" w:noVBand="1" w:val="04A0"/>
      </w:tblPr>
      <w:tblGrid>
        <w:gridCol w:w="1843"/>
        <w:gridCol w:w="3600"/>
        <w:gridCol w:w="4406"/>
      </w:tblGrid>
      <w:tr>
        <w:trPr>
          <w:cantSplit/>
          <w:tblHeader/>
        </w:trPr>
        <w:tc>
          <w:tcPr>
            <w:tcW w:type="dxa" w:w="1843"/>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Dimension</w:t>
            </w:r>
          </w:p>
        </w:tc>
        <w:tc>
          <w:tcPr>
            <w:tcW w:type="dxa" w:w="3600"/>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Actual v1 baseline</w:t>
            </w:r>
          </w:p>
        </w:tc>
        <w:tc>
          <w:tcPr>
            <w:tcW w:type="dxa" w:w="440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WORLDGATE addition</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Assessment/action</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Evaluation and local registry</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Governed mutation of real local inventory</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Permission timing</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Toy read broker plus trace audit</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Recheck at prepare and commit</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Approval credential</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Shared-key HMAC</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Separate Ed25519 role keys</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Evidence freshness</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Versioned eligibility</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Expiry/revocation blocks future commit</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Concurrency</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Fresh evaluation state</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Version and quota checked atomically</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Retry</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Failure record retention</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ID bound to full request; receipt reuse</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Rollback</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Registry-state rollback</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Conditional inverse inventory operation</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Completion</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Declared postconditions</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Read-only signed snapshot checked against actual state</w:t>
            </w:r>
          </w:p>
        </w:tc>
      </w:tr>
    </w:tbl>
    <w:p>
      <w:pPr>
        <w:spacing w:after="40"/>
      </w:pPr>
    </w:p>
    <w:p>
      <w:r>
        <w:rPr>
          <w:rFonts w:ascii="DejaVu Sans" w:hAnsi="DejaVu Sans" w:eastAsia="Noto Sans CJK SC"/>
          <w:b w:val="0"/>
          <w:sz w:val="20"/>
        </w:rPr>
        <w:t>The core shift is from evidence as a report to evidence as one necessary input to a bounded action authorization. Passing evidence still does not issue a grant, and a grant still does not bypass execution-time state checks.</w:t>
      </w:r>
    </w:p>
    <w:p>
      <w:r>
        <w:rPr>
          <w:rFonts w:ascii="DejaVu Sans" w:hAnsi="DejaVu Sans" w:eastAsia="Noto Sans CJK SC"/>
          <w:b w:val="0"/>
          <w:sz w:val="20"/>
        </w:rPr>
        <w:t xml:space="preserve">Only </w:t>
      </w:r>
      <w:r>
        <w:rPr>
          <w:rFonts w:ascii="DejaVu Sans Mono" w:hAnsi="DejaVu Sans Mono" w:eastAsia="Noto Sans CJK SC"/>
          <w:b w:val="0"/>
          <w:sz w:val="20"/>
        </w:rPr>
        <w:t>inventory.reserve</w:t>
      </w:r>
      <w:r>
        <w:rPr>
          <w:rFonts w:ascii="DejaVu Sans" w:hAnsi="DejaVu Sans" w:eastAsia="Noto Sans CJK SC"/>
          <w:b w:val="0"/>
          <w:sz w:val="20"/>
        </w:rPr>
        <w:t xml:space="preserve"> performs business-state changes in this release. General enforcement over filesystems, browsers, cloud platforms, payment systems and arbitrary databases is not implemented.</w:t>
      </w:r>
    </w:p>
    <w:p>
      <w:r>
        <w:br w:type="page"/>
      </w:r>
    </w:p>
    <w:p>
      <w:pPr>
        <w:pStyle w:val="Heading1"/>
      </w:pPr>
      <w:r>
        <w:rPr>
          <w:rFonts w:ascii="DejaVu Sans" w:hAnsi="DejaVu Sans" w:eastAsia="Noto Sans CJK SC"/>
          <w:b w:val="0"/>
          <w:color w:val="15374A"/>
          <w:sz w:val="36"/>
        </w:rPr>
        <w:t>2　Dimension shift: executable connections</w:t>
      </w:r>
    </w:p>
    <w:tbl>
      <w:tblPr>
        <w:tblW w:type="auto" w:w="0"/>
        <w:jc w:val="center"/>
        <w:tblLayout w:type="fixed"/>
        <w:tblLook w:firstColumn="1" w:firstRow="1" w:lastColumn="0" w:lastRow="0" w:noHBand="0" w:noVBand="1" w:val="04A0"/>
      </w:tblPr>
      <w:tblGrid>
        <w:gridCol w:w="1843"/>
        <w:gridCol w:w="3600"/>
        <w:gridCol w:w="4406"/>
      </w:tblGrid>
      <w:tr>
        <w:trPr>
          <w:cantSplit/>
          <w:tblHeader/>
        </w:trPr>
        <w:tc>
          <w:tcPr>
            <w:tcW w:type="dxa" w:w="1843"/>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Dimension</w:t>
            </w:r>
          </w:p>
        </w:tc>
        <w:tc>
          <w:tcPr>
            <w:tcW w:type="dxa" w:w="3600"/>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Retained foundation</w:t>
            </w:r>
          </w:p>
        </w:tc>
        <w:tc>
          <w:tcPr>
            <w:tcW w:type="dxa" w:w="440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New connection and limitation</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Uncertain delivery</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 remote-effect protocol</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Two local databases exercise status reconciliation; not a real network</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Authenticity</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Hash chain and recomputation</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Signed anchor, pinned public root, fresh-world replay; not truth certification</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Continuous monitoring</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Fixed-sample bootstrap/Wilson</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Predeclared e-process; original analyses remain</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Missing outcomes</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Explicit missing evidence</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Stop at unresolved ordered prefix</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Repair</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Quarantined failure proposals</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Eight predefined policies; not general model training</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Counterexamples</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Failure categories</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Budgeted deletion-minimal reducer, not global minimum</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Risk/authority</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Local lifecycle rollback</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Report → unsigned proposal → operator approval → revocation</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Compatibility</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115 original tests</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15 upstream Python files unchanged, plus a new package</w:t>
            </w:r>
          </w:p>
        </w:tc>
      </w:tr>
    </w:tbl>
    <w:p>
      <w:pPr>
        <w:spacing w:after="40"/>
      </w:pPr>
    </w:p>
    <w:p>
      <w:r>
        <w:rPr>
          <w:rFonts w:ascii="DejaVu Sans" w:hAnsi="DejaVu Sans" w:eastAsia="Noto Sans CJK SC"/>
          <w:b w:val="0"/>
          <w:sz w:val="20"/>
        </w:rPr>
        <w:t xml:space="preserve">The complete 16-row comparison in </w:t>
      </w:r>
      <w:r>
        <w:rPr>
          <w:rFonts w:ascii="DejaVu Sans Mono" w:hAnsi="DejaVu Sans Mono" w:eastAsia="Noto Sans CJK SC"/>
          <w:b w:val="0"/>
          <w:sz w:val="20"/>
        </w:rPr>
        <w:t>docs/comparison.csv</w:t>
      </w:r>
      <w:r>
        <w:rPr>
          <w:rFonts w:ascii="DejaVu Sans" w:hAnsi="DejaVu Sans" w:eastAsia="Noto Sans CJK SC"/>
          <w:b w:val="0"/>
          <w:sz w:val="20"/>
        </w:rPr>
        <w:t xml:space="preserve"> maps each change to an implementation and an explicit boundary. Compatibility is exposed by the </w:t>
      </w:r>
      <w:r>
        <w:rPr>
          <w:rFonts w:ascii="DejaVu Sans Mono" w:hAnsi="DejaVu Sans Mono" w:eastAsia="Noto Sans CJK SC"/>
          <w:b w:val="0"/>
          <w:sz w:val="20"/>
        </w:rPr>
        <w:t>legacy</w:t>
      </w:r>
      <w:r>
        <w:rPr>
          <w:rFonts w:ascii="DejaVu Sans" w:hAnsi="DejaVu Sans" w:eastAsia="Noto Sans CJK SC"/>
          <w:b w:val="0"/>
          <w:sz w:val="20"/>
        </w:rPr>
        <w:t xml:space="preserve"> command; old HMAC approvals are not silently converted into public-key grants.</w:t>
      </w:r>
    </w:p>
    <w:p>
      <w:r>
        <w:rPr>
          <w:rFonts w:ascii="DejaVu Sans" w:hAnsi="DejaVu Sans" w:eastAsia="Noto Sans CJK SC"/>
          <w:b w:val="0"/>
          <w:sz w:val="20"/>
        </w:rPr>
        <w:t>“Disruptive” refers to changing the controlled object and decision granularity: from average release-time pass rates to evidence, permission, state, outcome and succession for each action. Transactions, digital signatures and the statistical foundations are established techniques. Their integration is the engineering contribution; the release does not claim to have invented those foundations. [S1–S4]</w:t>
      </w:r>
    </w:p>
    <w:p>
      <w:r>
        <w:br w:type="page"/>
      </w:r>
    </w:p>
    <w:p>
      <w:pPr>
        <w:pStyle w:val="Heading1"/>
      </w:pPr>
      <w:r>
        <w:rPr>
          <w:rFonts w:ascii="DejaVu Sans" w:hAnsi="DejaVu Sans" w:eastAsia="Noto Sans CJK SC"/>
          <w:b w:val="0"/>
          <w:color w:val="15374A"/>
          <w:sz w:val="36"/>
        </w:rPr>
        <w:t>3　Six roles, distinct powers, one action chain</w:t>
      </w:r>
    </w:p>
    <w:p>
      <w:pPr>
        <w:pStyle w:val="Heading2"/>
      </w:pPr>
      <w:r>
        <w:rPr>
          <w:rFonts w:ascii="DejaVu Sans" w:hAnsi="DejaVu Sans" w:eastAsia="Noto Sans CJK SC"/>
          <w:b w:val="0"/>
          <w:color w:val="126B73"/>
          <w:sz w:val="24"/>
        </w:rPr>
        <w:t>Roles are not titles supplied by an agent</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Role</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Signed object or responsibility</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owner</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Purpose, resources, floor invariant and per-action boundary</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evaluator</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Scoped evaluation evidence and validity interval</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reviewer</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Independent review signature over the proposed grant</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operator</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Identical execution approval; revocation and compensation</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executor</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Concrete action request, without review authority</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observer</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Actual poststate from a read-only database connection</w:t>
            </w:r>
          </w:p>
        </w:tc>
      </w:tr>
    </w:tbl>
    <w:p>
      <w:pPr>
        <w:spacing w:after="40"/>
      </w:pPr>
    </w:p>
    <w:p>
      <w:r>
        <w:rPr>
          <w:rFonts w:ascii="DejaVu Sans" w:hAnsi="DejaVu Sans" w:eastAsia="Noto Sans CJK SC"/>
          <w:b w:val="0"/>
          <w:sz w:val="20"/>
        </w:rPr>
        <w:t>Reviewer, operator, executor and contract owner must be four distinct configured principals. A public key cannot be duplicated under aliases. This prevents simple credential aliasing; it does not establish that two private keys belong to two different natural persons. Identity enrolment and key custody remain organizational obligations. [S3]</w:t>
      </w:r>
    </w:p>
    <w:p>
      <w:pPr>
        <w:spacing w:before="60" w:after="160" w:line="252" w:lineRule="auto"/>
        <w:ind w:left="144" w:right="86"/>
        <w:keepLines/>
        <w:shd w:fill="EEF4F5"/>
      </w:pPr>
      <w:r>
        <w:rPr>
          <w:rFonts w:ascii="DejaVu Sans Mono" w:hAnsi="DejaVu Sans Mono" w:eastAsia="Noto Sans CJK SC"/>
          <w:b w:val="0"/>
          <w:color w:val="15374A"/>
          <w:sz w:val="16"/>
        </w:rPr>
        <w:t>owner contract → evaluator evidence</w:t>
        <w:br/>
        <w:t xml:space="preserve">                  ↓</w:t>
        <w:br/>
        <w:t>reviewer + operator → finite grant</w:t>
        <w:br/>
        <w:t xml:space="preserve">                  ↓</w:t>
        <w:br/>
        <w:t>executor proposal → PREPARED</w:t>
        <w:br/>
        <w:t xml:space="preserve">                  ↓  recheck under transaction</w:t>
        <w:br/>
        <w:t>COMMITTED_PENDING_OBSERVATION</w:t>
        <w:br/>
        <w:t xml:space="preserve">                  ↓  read-only observer</w:t>
        <w:br/>
        <w:t>VERIFIED_LOCAL_EFFECT / RECONCILIATION_REQUIRED</w:t>
      </w:r>
    </w:p>
    <w:p>
      <w:r>
        <w:rPr>
          <w:rFonts w:ascii="DejaVu Sans" w:hAnsi="DejaVu Sans" w:eastAsia="Noto Sans CJK SC"/>
          <w:b w:val="0"/>
          <w:sz w:val="20"/>
        </w:rPr>
        <w:t>Purpose definition, evidence judgment, action approval and outcome observation are separate powers. No arbitrary shell or network operation is exposed. The broker must sit at the resource permission boundary. Adding advisory prompts to an agent that still possesses administrator database credentials is not enforcement.</w:t>
      </w:r>
    </w:p>
    <w:p>
      <w:r>
        <w:br w:type="page"/>
      </w:r>
    </w:p>
    <w:p>
      <w:pPr>
        <w:pStyle w:val="Heading1"/>
      </w:pPr>
      <w:r>
        <w:rPr>
          <w:rFonts w:ascii="DejaVu Sans" w:hAnsi="DejaVu Sans" w:eastAsia="Noto Sans CJK SC"/>
          <w:b w:val="0"/>
          <w:color w:val="15374A"/>
          <w:sz w:val="36"/>
        </w:rPr>
        <w:t>4　Compile a task into an unambiguous action contract</w:t>
      </w:r>
    </w:p>
    <w:p>
      <w:r>
        <w:rPr>
          <w:rFonts w:ascii="DejaVu Sans" w:hAnsi="DejaVu Sans" w:eastAsia="Noto Sans CJK SC"/>
          <w:b w:val="0"/>
          <w:sz w:val="20"/>
        </w:rPr>
        <w:t>The contract fixes the operation, resource set, candidate hash, minimum remaining stock, per-action quantity and maximum lease duration. Evidence additionally binds the contract/candidate, evaluation scope, origin, case-group count, artifact hash and expiry. Reviewer and operator separately sign exactly the same grant body.</w:t>
      </w:r>
    </w:p>
    <w:p>
      <w:pPr>
        <w:pStyle w:val="Heading2"/>
      </w:pPr>
      <w:r>
        <w:rPr>
          <w:rFonts w:ascii="DejaVu Sans" w:hAnsi="DejaVu Sans" w:eastAsia="Noto Sans CJK SC"/>
          <w:b w:val="0"/>
          <w:color w:val="126B73"/>
          <w:sz w:val="24"/>
        </w:rPr>
        <w:t>Executable request shape</w:t>
      </w:r>
    </w:p>
    <w:p>
      <w:pPr>
        <w:spacing w:before="60" w:after="160" w:line="252" w:lineRule="auto"/>
        <w:ind w:left="144" w:right="86"/>
        <w:keepLines/>
        <w:shd w:fill="EEF4F5"/>
      </w:pPr>
      <w:r>
        <w:rPr>
          <w:rFonts w:ascii="DejaVu Sans Mono" w:hAnsi="DejaVu Sans Mono" w:eastAsia="Noto Sans CJK SC"/>
          <w:b w:val="0"/>
          <w:color w:val="15374A"/>
          <w:sz w:val="16"/>
        </w:rPr>
        <w:t>{</w:t>
        <w:br/>
        <w:t xml:space="preserve">  "kind": "action", "tenant": "local",</w:t>
        <w:br/>
        <w:t xml:space="preserve">  "action_id": "request-001", "actor": "executor-person",</w:t>
        <w:br/>
        <w:t xml:space="preserve">  "grant_id": "grant-001",</w:t>
        <w:br/>
        <w:t xml:space="preserve">  "contract_hash": "&lt;reviewed SHA-256&gt;",</w:t>
        <w:br/>
        <w:t xml:space="preserve">  "candidate_hash": "&lt;reviewed SHA-256&gt;",</w:t>
        <w:br/>
        <w:t xml:space="preserve">  "operation": "inventory.reserve",</w:t>
        <w:br/>
        <w:t xml:space="preserve">  "resource": "stock-a", "units": 3,</w:t>
        <w:br/>
        <w:t xml:space="preserve">  "expected_revision": 0</w:t>
        <w:br/>
        <w:t>}</w:t>
      </w:r>
    </w:p>
    <w:p>
      <w:r>
        <w:rPr>
          <w:rFonts w:ascii="DejaVu Sans" w:hAnsi="DejaVu Sans" w:eastAsia="Noto Sans CJK SC"/>
          <w:b w:val="0"/>
          <w:sz w:val="20"/>
        </w:rPr>
        <w:t>The bracketed strings are explanatory placeholders, not valid hashes. The runtime rejects booleans masquerading as integers, fractional or negative quantities, extra instruction fields, unlisted operations, and tenant/candidate/contract/resource substitution. Signing an invalid payload does not make it eligible.</w:t>
      </w:r>
    </w:p>
    <w:p>
      <w:pPr>
        <w:pStyle w:val="Heading2"/>
      </w:pPr>
      <w:r>
        <w:rPr>
          <w:rFonts w:ascii="DejaVu Sans" w:hAnsi="DejaVu Sans" w:eastAsia="Noto Sans CJK SC"/>
          <w:b w:val="0"/>
          <w:color w:val="126B73"/>
          <w:sz w:val="24"/>
        </w:rPr>
        <w:t>Distinctions that remain mandatory</w:t>
      </w:r>
    </w:p>
    <w:p>
      <w:r>
        <w:rPr>
          <w:rFonts w:ascii="DejaVu Sans" w:hAnsi="DejaVu Sans" w:eastAsia="Noto Sans CJK SC"/>
          <w:b w:val="0"/>
          <w:sz w:val="20"/>
        </w:rPr>
        <w:t>The candidate hash binds an approved assertion; this release does not attest which remote binary actually ran. The artifact hash references evaluation material; an evaluator signature does not make those facts true. An old order-summary evaluation cannot automatically authorize an inventory operation: mismatched operation contracts are rejected.</w:t>
      </w:r>
    </w:p>
    <w:p>
      <w:r>
        <w:rPr>
          <w:rFonts w:ascii="DejaVu Sans" w:hAnsi="DejaVu Sans" w:eastAsia="Noto Sans CJK SC"/>
          <w:b w:val="0"/>
          <w:sz w:val="20"/>
        </w:rPr>
        <w:t>The real CLI derives time from the host. SDK test clocks and fault-injection parameters are trusted test-driver inputs, excluded from the signed action schema.</w:t>
      </w:r>
    </w:p>
    <w:p>
      <w:r>
        <w:br w:type="page"/>
      </w:r>
    </w:p>
    <w:p>
      <w:pPr>
        <w:pStyle w:val="Heading1"/>
      </w:pPr>
      <w:r>
        <w:rPr>
          <w:rFonts w:ascii="DejaVu Sans" w:hAnsi="DejaVu Sans" w:eastAsia="Noto Sans CJK SC"/>
          <w:b w:val="0"/>
          <w:color w:val="15374A"/>
          <w:sz w:val="36"/>
        </w:rPr>
        <w:t>5　Atomic commit: checks and effects share one boundary</w:t>
      </w:r>
    </w:p>
    <w:p>
      <w:r>
        <w:rPr>
          <w:rFonts w:ascii="DejaVu Sans" w:hAnsi="DejaVu Sans" w:eastAsia="Noto Sans CJK SC"/>
          <w:b w:val="0"/>
          <w:sz w:val="20"/>
        </w:rPr>
        <w:t>Prepare records the request and proposed before/after state. It does not consume stock or quota. Commit obtains a write transaction, then rechecks active authority, unrevoked evidence, lease freshness, resource revision, per-action/total quotas and the minimum-stock invariant. [S1–S2]</w:t>
      </w:r>
    </w:p>
    <w:p>
      <w:pPr>
        <w:spacing w:before="60" w:after="160" w:line="252" w:lineRule="auto"/>
        <w:ind w:left="144" w:right="86"/>
        <w:keepLines/>
        <w:shd w:fill="EEF4F5"/>
      </w:pPr>
      <w:r>
        <w:rPr>
          <w:rFonts w:ascii="DejaVu Sans Mono" w:hAnsi="DejaVu Sans Mono" w:eastAsia="Noto Sans CJK SC"/>
          <w:b w:val="0"/>
          <w:color w:val="15374A"/>
          <w:sz w:val="16"/>
        </w:rPr>
        <w:t>BEGIN IMMEDIATE</w:t>
        <w:br/>
        <w:t xml:space="preserve">  verify authority + evidence + time</w:t>
        <w:br/>
        <w:t xml:space="preserve">  compare current state with prepared state</w:t>
        <w:br/>
        <w:t xml:space="preserve">  verify quantity + remaining quota + floor</w:t>
        <w:br/>
        <w:t xml:space="preserve">  update inventory and revision</w:t>
        <w:br/>
        <w:t xml:space="preserve">  charge grant counters</w:t>
        <w:br/>
        <w:t xml:space="preserve">  persist effect receipt and audit event</w:t>
        <w:br/>
        <w:t>COMMIT</w:t>
      </w:r>
    </w:p>
    <w:p>
      <w:pPr>
        <w:pStyle w:val="Heading2"/>
      </w:pPr>
      <w:r>
        <w:rPr>
          <w:rFonts w:ascii="DejaVu Sans" w:hAnsi="DejaVu Sans" w:eastAsia="Noto Sans CJK SC"/>
          <w:b w:val="0"/>
          <w:color w:val="126B73"/>
          <w:sz w:val="24"/>
        </w:rPr>
        <w:t>Local invariants and proof sketch</w:t>
      </w:r>
    </w:p>
    <w:p>
      <w:r>
        <w:rPr>
          <w:rFonts w:ascii="DejaVu Sans" w:hAnsi="DejaVu Sans" w:eastAsia="Noto Sans CJK SC"/>
          <w:b w:val="0"/>
          <w:sz w:val="20"/>
        </w:rPr>
        <w:t>Let stock be x, requested units u, floor m, consumed quota b and maximum B. Admission requires both x−u≥m and b+u≤B. The same trusted transaction serializes the checks and updates, so the next writer sees the new state, not an earlier balance.</w:t>
      </w:r>
    </w:p>
    <w:p>
      <w:r>
        <w:rPr>
          <w:rFonts w:ascii="DejaVu Sans" w:hAnsi="DejaVu Sans" w:eastAsia="Noto Sans CJK SC"/>
          <w:b w:val="0"/>
          <w:sz w:val="20"/>
        </w:rPr>
        <w:t>Assuming transaction atomicity, trusted adapter code and trusted storage, induction over successful commits establishes: governed commits preserve the floor; counters do not exceed the grant; one tenant/request ID cannot produce a second inventory effect. This is not a proof covering arbitrary hardware failure, administrator tampering or cross-service transactions.</w:t>
      </w:r>
    </w:p>
    <w:p>
      <w:pPr>
        <w:pStyle w:val="Heading2"/>
      </w:pPr>
      <w:r>
        <w:rPr>
          <w:rFonts w:ascii="DejaVu Sans" w:hAnsi="DejaVu Sans" w:eastAsia="Noto Sans CJK SC"/>
          <w:b w:val="0"/>
          <w:color w:val="126B73"/>
          <w:sz w:val="24"/>
        </w:rPr>
        <w:t>Executed race</w:t>
      </w:r>
    </w:p>
    <w:p>
      <w:r>
        <w:rPr>
          <w:rFonts w:ascii="DejaVu Sans" w:hAnsi="DejaVu Sans" w:eastAsia="Noto Sans CJK SC"/>
          <w:b w:val="0"/>
          <w:sz w:val="20"/>
        </w:rPr>
        <w:t>Twenty-four different requests prepare first, then eight workers contend for a one-call quota. Exactly one reaches COMMITTED_PENDING_OBSERVATION; 23 return GRANT_BUDGET_EXHAUSTED. Stock changes from 100 to 97. The system does not issue 24 passing labels and discover the budget race afterward.</w:t>
      </w:r>
    </w:p>
    <w:p>
      <w:r>
        <w:br w:type="page"/>
      </w:r>
    </w:p>
    <w:p>
      <w:pPr>
        <w:pStyle w:val="Heading1"/>
      </w:pPr>
      <w:r>
        <w:rPr>
          <w:rFonts w:ascii="DejaVu Sans" w:hAnsi="DejaVu Sans" w:eastAsia="Noto Sans CJK SC"/>
          <w:b w:val="0"/>
          <w:color w:val="15374A"/>
          <w:sz w:val="36"/>
        </w:rPr>
        <w:t>6　Outcome witnessing: a success response is not the end</w:t>
      </w:r>
    </w:p>
    <w:p>
      <w:r>
        <w:rPr>
          <w:rFonts w:ascii="DejaVu Sans" w:hAnsi="DejaVu Sans" w:eastAsia="Noto Sans CJK SC"/>
          <w:b w:val="0"/>
          <w:sz w:val="20"/>
        </w:rPr>
        <w:t>The effect receipt includes the request hash, candidate/evidence references, previous state, expected poststate and commit time. The state remains COMMITTED_PENDING_OBSERVATION. An observer reads actual state through a read-only connection and signs a record bound to the request and receipt; the broker then checks that snapshot against the current database.</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Observation</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Outcome</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Actual state matches the committed poststate</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VERIFIED_LOCAL_EFFECT</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 later write changed the state</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RECONCILIATION_REQUIRED; suspend the grant</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State changed after observation but before ingest</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OBSERVER_SNAPSHOT_NOT_CURRENT</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Executor signs its own success using the executor key</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Observer-role verification rejects it</w:t>
            </w:r>
          </w:p>
        </w:tc>
      </w:tr>
    </w:tbl>
    <w:p>
      <w:pPr>
        <w:spacing w:after="40"/>
      </w:pPr>
    </w:p>
    <w:p>
      <w:r>
        <w:rPr>
          <w:rFonts w:ascii="DejaVu Sans" w:hAnsi="DejaVu Sans" w:eastAsia="Noto Sans CJK SC"/>
          <w:b w:val="0"/>
          <w:sz w:val="20"/>
        </w:rPr>
        <w:t xml:space="preserve">The tests actually launch a separate CLI process using the observer key and a read-only database connection, then verify the result in the main process. This is stronger than trusting an agent's </w:t>
      </w:r>
      <w:r>
        <w:rPr>
          <w:rFonts w:ascii="DejaVu Sans Mono" w:hAnsi="DejaVu Sans Mono" w:eastAsia="Noto Sans CJK SC"/>
          <w:b w:val="0"/>
          <w:sz w:val="20"/>
        </w:rPr>
        <w:t>success=true</w:t>
      </w:r>
      <w:r>
        <w:rPr>
          <w:rFonts w:ascii="DejaVu Sans" w:hAnsi="DejaVu Sans" w:eastAsia="Noto Sans CJK SC"/>
          <w:b w:val="0"/>
          <w:sz w:val="20"/>
        </w:rPr>
        <w:t>, but it is not independent institutional, hardware or sensor certification.</w:t>
      </w:r>
    </w:p>
    <w:p>
      <w:pPr>
        <w:pStyle w:val="Heading2"/>
      </w:pPr>
      <w:r>
        <w:rPr>
          <w:rFonts w:ascii="DejaVu Sans" w:hAnsi="DejaVu Sans" w:eastAsia="Noto Sans CJK SC"/>
          <w:b w:val="0"/>
          <w:color w:val="126B73"/>
          <w:sz w:val="24"/>
        </w:rPr>
        <w:t>Do not confuse concurrency with malice</w:t>
      </w:r>
    </w:p>
    <w:p>
      <w:r>
        <w:rPr>
          <w:rFonts w:ascii="DejaVu Sans" w:hAnsi="DejaVu Sans" w:eastAsia="Noto Sans CJK SC"/>
          <w:b w:val="0"/>
          <w:sz w:val="20"/>
        </w:rPr>
        <w:t>Stock first changes from 100 to 97; another valid action then changes it to 92. An observation for the first action no longer sees 97. The system requires reconciliation of the history and concurrency relation. It neither labels the first actor a liar nor overwrites the second action.</w:t>
      </w:r>
    </w:p>
    <w:p>
      <w:r>
        <w:rPr>
          <w:rFonts w:ascii="DejaVu Sans" w:hAnsi="DejaVu Sans" w:eastAsia="Noto Sans CJK SC"/>
          <w:b w:val="0"/>
          <w:sz w:val="20"/>
        </w:rPr>
        <w:t>Signatures use a maintained cryptographic library, not a home-built algorithm. They identify a configured private-key holder; they do not establish that the observer is truthful. [S3]</w:t>
      </w:r>
    </w:p>
    <w:p>
      <w:r>
        <w:br w:type="page"/>
      </w:r>
    </w:p>
    <w:p>
      <w:pPr>
        <w:pStyle w:val="Heading1"/>
      </w:pPr>
      <w:r>
        <w:rPr>
          <w:rFonts w:ascii="DejaVu Sans" w:hAnsi="DejaVu Sans" w:eastAsia="Noto Sans CJK SC"/>
          <w:b w:val="0"/>
          <w:color w:val="15374A"/>
          <w:sz w:val="36"/>
        </w:rPr>
        <w:t>7　Failure, unknown outcome and compensation differ</w:t>
      </w:r>
    </w:p>
    <w:p>
      <w:pPr>
        <w:pStyle w:val="Heading2"/>
      </w:pPr>
      <w:r>
        <w:rPr>
          <w:rFonts w:ascii="DejaVu Sans" w:hAnsi="DejaVu Sans" w:eastAsia="Noto Sans CJK SC"/>
          <w:b w:val="0"/>
          <w:color w:val="126B73"/>
          <w:sz w:val="24"/>
        </w:rPr>
        <w:t>Fault timing matters</w:t>
      </w:r>
    </w:p>
    <w:p>
      <w:r>
        <w:rPr>
          <w:rFonts w:ascii="DejaVu Sans" w:hAnsi="DejaVu Sans" w:eastAsia="Noto Sans CJK SC"/>
          <w:b w:val="0"/>
          <w:sz w:val="20"/>
        </w:rPr>
        <w:t>An injected pre-commit fault rolls back stock, quota and receipt together. A lost response after commit leaves a real effect. Retrying the same request returns the stored receipt without another decrement. The demonstrations reopen the database and test both paths.</w:t>
      </w:r>
    </w:p>
    <w:p>
      <w:pPr>
        <w:pStyle w:val="Heading2"/>
      </w:pPr>
      <w:r>
        <w:rPr>
          <w:rFonts w:ascii="DejaVu Sans" w:hAnsi="DejaVu Sans" w:eastAsia="Noto Sans CJK SC"/>
          <w:b w:val="0"/>
          <w:color w:val="126B73"/>
          <w:sz w:val="24"/>
        </w:rPr>
        <w:t>Atomicity does not automatically cross a service boundary</w:t>
      </w:r>
    </w:p>
    <w:p>
      <w:r>
        <w:rPr>
          <w:rFonts w:ascii="DejaVu Sans" w:hAnsi="DejaVu Sans" w:eastAsia="Noto Sans CJK SC"/>
          <w:b w:val="0"/>
          <w:sz w:val="20"/>
        </w:rPr>
        <w:t>A separate lab uses two real local SQLite databases as caller and provider. It is not a network connector, but deliberately preserves the gap between two commit boundaries.</w:t>
      </w:r>
    </w:p>
    <w:tbl>
      <w:tblPr>
        <w:tblW w:type="auto" w:w="0"/>
        <w:jc w:val="center"/>
        <w:tblLayout w:type="fixed"/>
        <w:tblLook w:firstColumn="1" w:firstRow="1" w:lastColumn="0" w:lastRow="0" w:noHBand="0" w:noVBand="1" w:val="04A0"/>
      </w:tblPr>
      <w:tblGrid>
        <w:gridCol w:w="1843"/>
        <w:gridCol w:w="3600"/>
        <w:gridCol w:w="4406"/>
      </w:tblGrid>
      <w:tr>
        <w:trPr>
          <w:cantSplit/>
          <w:tblHeader/>
        </w:trPr>
        <w:tc>
          <w:tcPr>
            <w:tcW w:type="dxa" w:w="1843"/>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Scenario</w:t>
            </w:r>
          </w:p>
        </w:tc>
        <w:tc>
          <w:tcPr>
            <w:tcW w:type="dxa" w:w="3600"/>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Provider effect</w:t>
            </w:r>
          </w:p>
        </w:tc>
        <w:tc>
          <w:tcPr>
            <w:tcW w:type="dxa" w:w="440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Caller response</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Response lost after reserving 7</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One durable effect</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UNKNOWN; no blind retry; status query confirms</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Success acknowledgment without execution</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 effect record</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 completion certificate; retry needs authorization review</w:t>
            </w:r>
          </w:p>
        </w:tc>
      </w:tr>
      <w:tr>
        <w:trPr>
          <w:cantSplit/>
        </w:trPr>
        <w:tc>
          <w:tcPr>
            <w:tcW w:type="dxa" w:w="1843"/>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Process stops before send</w:t>
            </w:r>
          </w:p>
        </w:tc>
        <w:tc>
          <w:tcPr>
            <w:tcW w:type="dxa" w:w="3600"/>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 effect record</w:t>
            </w:r>
          </w:p>
        </w:tc>
        <w:tc>
          <w:tcPr>
            <w:tcW w:type="dxa" w:w="440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Reconcile, then RETRY_AUTHORIZATION_REQUIRED</w:t>
            </w:r>
          </w:p>
        </w:tc>
      </w:tr>
      <w:tr>
        <w:trPr>
          <w:cantSplit/>
        </w:trPr>
        <w:tc>
          <w:tcPr>
            <w:tcW w:type="dxa" w:w="1843"/>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Status source unavailable</w:t>
            </w:r>
          </w:p>
        </w:tc>
        <w:tc>
          <w:tcPr>
            <w:tcW w:type="dxa" w:w="3600"/>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Unknown</w:t>
            </w:r>
          </w:p>
        </w:tc>
        <w:tc>
          <w:tcPr>
            <w:tcW w:type="dxa" w:w="440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Keep UNKNOWN rather than call it a failure</w:t>
            </w:r>
          </w:p>
        </w:tc>
      </w:tr>
    </w:tbl>
    <w:p>
      <w:pPr>
        <w:spacing w:after="40"/>
      </w:pPr>
    </w:p>
    <w:p>
      <w:r>
        <w:rPr>
          <w:rFonts w:ascii="DejaVu Sans" w:hAnsi="DejaVu Sans" w:eastAsia="Noto Sans CJK SC"/>
          <w:b w:val="0"/>
          <w:sz w:val="20"/>
        </w:rPr>
        <w:t>Only one provider effect occurs in the reference run; stock goes from 100 to 93. HTTP 200 or similar acknowledgment text is not treated as an outcome witness.</w:t>
      </w:r>
    </w:p>
    <w:p>
      <w:pPr>
        <w:pStyle w:val="Heading2"/>
      </w:pPr>
      <w:r>
        <w:rPr>
          <w:rFonts w:ascii="DejaVu Sans" w:hAnsi="DejaVu Sans" w:eastAsia="Noto Sans CJK SC"/>
          <w:b w:val="0"/>
          <w:color w:val="126B73"/>
          <w:sz w:val="24"/>
        </w:rPr>
        <w:t>Compensation preserves later writers</w:t>
      </w:r>
    </w:p>
    <w:p>
      <w:r>
        <w:rPr>
          <w:rFonts w:ascii="DejaVu Sans" w:hAnsi="DejaVu Sans" w:eastAsia="Noto Sans CJK SC"/>
          <w:b w:val="0"/>
          <w:sz w:val="20"/>
        </w:rPr>
        <w:t>Compensation executes only when the current complete state matches the original recorded poststate. It restores the quantity but increments the revision and preserves the old receipt. A later write produces COMPENSATION_CONFLICT. Quota is not refunded, preventing repeated undo from refreshing the call budget. No compensability guarantee is made for remote services, physical actions or irreversible operations.</w:t>
      </w:r>
    </w:p>
    <w:p>
      <w:r>
        <w:br w:type="page"/>
      </w:r>
    </w:p>
    <w:p>
      <w:pPr>
        <w:pStyle w:val="Heading1"/>
      </w:pPr>
      <w:r>
        <w:rPr>
          <w:rFonts w:ascii="DejaVu Sans" w:hAnsi="DejaVu Sans" w:eastAsia="Noto Sans CJK SC"/>
          <w:b w:val="0"/>
          <w:color w:val="15374A"/>
          <w:sz w:val="36"/>
        </w:rPr>
        <w:t>8　Signatures, trust roots, replay and DIKWP responsibility</w:t>
      </w:r>
    </w:p>
    <w:p>
      <w:pPr>
        <w:pStyle w:val="Heading2"/>
      </w:pPr>
      <w:r>
        <w:rPr>
          <w:rFonts w:ascii="DejaVu Sans" w:hAnsi="DejaVu Sans" w:eastAsia="Noto Sans CJK SC"/>
          <w:b w:val="0"/>
          <w:color w:val="126B73"/>
          <w:sz w:val="24"/>
        </w:rPr>
        <w:t>What must be retained outside the imported package</w:t>
      </w:r>
    </w:p>
    <w:p>
      <w:r>
        <w:rPr>
          <w:rFonts w:ascii="DejaVu Sans" w:hAnsi="DejaVu Sans" w:eastAsia="Noto Sans CJK SC"/>
          <w:b w:val="0"/>
          <w:sz w:val="20"/>
        </w:rPr>
        <w:t xml:space="preserve">An export includes a public-key registry and signed anchor, but a package carrying its own keys does not establish external origin. </w:t>
      </w:r>
      <w:r>
        <w:rPr>
          <w:rFonts w:ascii="DejaVu Sans Mono" w:hAnsi="DejaVu Sans Mono" w:eastAsia="Noto Sans CJK SC"/>
          <w:b w:val="0"/>
          <w:sz w:val="20"/>
        </w:rPr>
        <w:t>replay --trust</w:t>
      </w:r>
      <w:r>
        <w:rPr>
          <w:rFonts w:ascii="DejaVu Sans" w:hAnsi="DejaVu Sans" w:eastAsia="Noto Sans CJK SC"/>
          <w:b w:val="0"/>
          <w:sz w:val="20"/>
        </w:rPr>
        <w:t xml:space="preserve"> accepts an independently retained root. Without it, the result reports self-contained signature integrity, not authenticated origin. Even with a pinned root, rollback of the whole database together with an old valid anchor needs an externally retained latest anchor to be detected.</w:t>
      </w:r>
    </w:p>
    <w:p>
      <w:pPr>
        <w:pStyle w:val="Heading2"/>
      </w:pPr>
      <w:r>
        <w:rPr>
          <w:rFonts w:ascii="DejaVu Sans" w:hAnsi="DejaVu Sans" w:eastAsia="Noto Sans CJK SC"/>
          <w:b w:val="0"/>
          <w:color w:val="126B73"/>
          <w:sz w:val="24"/>
        </w:rPr>
        <w:t>More than rehashing</w:t>
      </w:r>
    </w:p>
    <w:p>
      <w:r>
        <w:rPr>
          <w:rFonts w:ascii="DejaVu Sans" w:hAnsi="DejaVu Sans" w:eastAsia="Noto Sans CJK SC"/>
          <w:b w:val="0"/>
          <w:sz w:val="20"/>
        </w:rPr>
        <w:t>Replay initializes a new temporary database from the initial resources and re-executes successful signed contracts, evidence registrations, grants, prepare/commit commands, observations, compensation and revocation. It compares each result hash and the final inventory, actions, quotas and evidence states. Truncating signed history and editing only final stock are both detected in the experiments.</w:t>
      </w:r>
    </w:p>
    <w:p>
      <w:r>
        <w:rPr>
          <w:rFonts w:ascii="DejaVu Sans" w:hAnsi="DejaVu Sans" w:eastAsia="Noto Sans CJK SC"/>
          <w:b w:val="0"/>
          <w:sz w:val="20"/>
        </w:rPr>
        <w:t>Denial records retain only the input hash to reduce content exposure. The replay therefore does not claim to re-execute the denied original inputs. Nor does it rerun the original agent or observe the physical world again.</w:t>
      </w:r>
    </w:p>
    <w:p>
      <w:pPr>
        <w:pStyle w:val="Heading2"/>
      </w:pPr>
      <w:r>
        <w:rPr>
          <w:rFonts w:ascii="DejaVu Sans" w:hAnsi="DejaVu Sans" w:eastAsia="Noto Sans CJK SC"/>
          <w:b w:val="0"/>
          <w:color w:val="126B73"/>
          <w:sz w:val="24"/>
        </w:rPr>
        <w:t>Operational DIKWP mapping</w:t>
      </w:r>
    </w:p>
    <w:p>
      <w:r>
        <w:rPr>
          <w:rFonts w:ascii="DejaVu Sans" w:hAnsi="DejaVu Sans" w:eastAsia="Noto Sans CJK SC"/>
          <w:b w:val="0"/>
          <w:sz w:val="20"/>
        </w:rPr>
        <w:t>D registers inputs, evidence and observations; I preserves denials, conflicts and revocation; K holds scoped effect receipts; W makes approved resource, budget and floor constraints change admission; P registers purposes and concrete actions. Edges contain actual source, target and generated content.</w:t>
      </w:r>
    </w:p>
    <w:p>
      <w:r>
        <w:rPr>
          <w:rFonts w:ascii="DejaVu Sans" w:hAnsi="DejaVu Sans" w:eastAsia="Noto Sans CJK SC"/>
          <w:b w:val="0"/>
          <w:sz w:val="20"/>
        </w:rPr>
        <w:t>Twenty-five directed role routes are permitted, but only routes actually present in the reference events are claimed. Reverse execution establishes local state correspondence, not universal semantic, cognitive or empirical closure.</w:t>
      </w:r>
    </w:p>
    <w:p>
      <w:r>
        <w:br w:type="page"/>
      </w:r>
    </w:p>
    <w:p>
      <w:pPr>
        <w:pStyle w:val="Heading1"/>
      </w:pPr>
      <w:r>
        <w:rPr>
          <w:rFonts w:ascii="DejaVu Sans" w:hAnsi="DejaVu Sans" w:eastAsia="Noto Sans CJK SC"/>
          <w:b w:val="0"/>
          <w:color w:val="15374A"/>
          <w:sz w:val="36"/>
        </w:rPr>
        <w:t>9　Continuous risk without post-hoc threshold shopping</w:t>
      </w:r>
    </w:p>
    <w:p>
      <w:r>
        <w:rPr>
          <w:rFonts w:ascii="DejaVu Sans" w:hAnsi="DejaVu Sans" w:eastAsia="Noto Sans CJK SC"/>
          <w:b w:val="0"/>
          <w:sz w:val="20"/>
        </w:rPr>
        <w:t>The fixed-sample v1 analyses remain. The new monitor adds a scoped sequential procedure. Let group failures be Xg∈{0,1}. The null is that, conditional on the observed past, the next failure probability is at most p0. For predeclared q&gt;p0:</w:t>
      </w:r>
    </w:p>
    <w:p>
      <w:pPr>
        <w:spacing w:before="60" w:after="160" w:line="252" w:lineRule="auto"/>
        <w:ind w:left="144" w:right="86"/>
        <w:keepLines/>
        <w:shd w:fill="EEF4F5"/>
      </w:pPr>
      <w:r>
        <w:rPr>
          <w:rFonts w:ascii="DejaVu Sans Mono" w:hAnsi="DejaVu Sans Mono" w:eastAsia="Noto Sans CJK SC"/>
          <w:b w:val="0"/>
          <w:color w:val="15374A"/>
          <w:sz w:val="16"/>
        </w:rPr>
        <w:t>L_t(q) = product_g (q/p0)^Xg × ((1-q)/(1-p0))^(1-Xg)</w:t>
        <w:br/>
        <w:t>E_t    = mean over the fixed alternative set of L_t(q)</w:t>
        <w:br/>
        <w:t>alarm  = first t with E_t &gt;= 1 / alpha_stream</w:t>
        <w:br/>
        <w:t>alpha_stream = family_alpha / predeclared_family_size</w:t>
      </w:r>
    </w:p>
    <w:p>
      <w:r>
        <w:rPr>
          <w:rFonts w:ascii="DejaVu Sans" w:hAnsi="DejaVu Sans" w:eastAsia="Noto Sans CJK SC"/>
          <w:b w:val="0"/>
          <w:sz w:val="20"/>
        </w:rPr>
        <w:t>If the true conditional probability pt≤p0, the one-step multiplier has conditional expectation 1+(pt−p0)(q−p0)/(p0(1−p0))≤1. Hence L and its fixed mixture E are nonnegative test supermartingales. Under those assumptions, Ville's bound controls threshold crossing at arbitrary stopping times. Predeclared streams receive an error-budget allocation and union-bound control. This is an application of established safe anytime-valid inference, not a newly invented statistical theorem. [S4]</w:t>
      </w:r>
    </w:p>
    <w:p>
      <w:r>
        <w:rPr>
          <w:rFonts w:ascii="DejaVu Sans" w:hAnsi="DejaVu Sans" w:eastAsia="Noto Sans CJK SC"/>
          <w:b w:val="0"/>
          <w:sz w:val="20"/>
        </w:rPr>
        <w:t>The synthetic settings are p0=.05, q=[.1,.2,.4,.7], family_alpha=.05 and family_size=2, giving threshold 40. A stream with ten nonfailures followed by fifteen failures first alarms at group 15. An all-nonfailure stream yields only non-rejection, not a safety certificate.</w:t>
      </w:r>
    </w:p>
    <w:p>
      <w:r>
        <w:rPr>
          <w:rFonts w:ascii="DejaVu Sans" w:hAnsi="DejaVu Sans" w:eastAsia="Noto Sans CJK SC"/>
          <w:b w:val="0"/>
          <w:sz w:val="20"/>
        </w:rPr>
        <w:t>If group 6 is unresolved, only groups 1–5 are processed; later fast outcomes cannot jump the gap. Configuration, ordering, groups, alternatives and family must be fixed before outcomes. Group labels do not establish population representativeness. A critical individual incident need not wait for statistical significance before suspension.</w:t>
      </w:r>
    </w:p>
    <w:p>
      <w:r>
        <w:br w:type="page"/>
      </w:r>
    </w:p>
    <w:p>
      <w:pPr>
        <w:pStyle w:val="Heading1"/>
      </w:pPr>
      <w:r>
        <w:rPr>
          <w:rFonts w:ascii="DejaVu Sans" w:hAnsi="DejaVu Sans" w:eastAsia="Noto Sans CJK SC"/>
          <w:b w:val="0"/>
          <w:color w:val="15374A"/>
          <w:sz w:val="36"/>
        </w:rPr>
        <w:t>10　Governed repair without rewriting the exam</w:t>
      </w:r>
    </w:p>
    <w:p>
      <w:r>
        <w:rPr>
          <w:rFonts w:ascii="DejaVu Sans" w:hAnsi="DejaVu Sans" w:eastAsia="Noto Sans CJK SC"/>
          <w:b w:val="0"/>
          <w:sz w:val="20"/>
        </w:rPr>
        <w:t>The release implements reproducible finite rule search, not a claim of autonomous model evolution. The inventory proposer has three Boolean rules: require strict integers, respect the stock floor, and ignore instructions embedded in source text. These produce eight candidate policies, each actually executed on 36 development cases.</w:t>
      </w:r>
    </w:p>
    <w:p>
      <w:r>
        <w:rPr>
          <w:rFonts w:ascii="DejaVu Sans" w:hAnsi="DejaVu Sans" w:eastAsia="Noto Sans CJK SC"/>
          <w:b w:val="0"/>
          <w:sz w:val="20"/>
        </w:rPr>
        <w:t>The all-off baseline is correct on 15/36 development cases. The procedure first selects a policy satisfying all declared development assertions with the fewest enabled rules, persists that candidate hash in a one-use holdout ledger, and only then evaluates 36 cases generated with a different seed. The selected all-on policy is correct on 36/36 reserved cases in this run.</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Control</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Executed behavior</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Candidate generation</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Eight preimplemented combinations, no arbitrary code</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Selection</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Development data only</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Holdout consumption</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Candidate and data hashes persisted before evaluation</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Another attempt</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Same repair family is rejected on reuse</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Deployment</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 grant issuance or production policy replacement</w:t>
            </w:r>
          </w:p>
        </w:tc>
      </w:tr>
    </w:tbl>
    <w:p>
      <w:pPr>
        <w:spacing w:after="40"/>
      </w:pPr>
    </w:p>
    <w:p>
      <w:r>
        <w:rPr>
          <w:rFonts w:ascii="DejaVu Sans" w:hAnsi="DejaVu Sans" w:eastAsia="Noto Sans CJK SC"/>
          <w:b w:val="0"/>
          <w:sz w:val="20"/>
        </w:rPr>
        <w:t>The holdout remains public synthetic data. A local ledger cannot prevent an administrator copying or deleting its database. It prevents silent reuse in the governed workflow; it is not a secret-exam system against a malicious administrator.</w:t>
      </w:r>
    </w:p>
    <w:p>
      <w:pPr>
        <w:pStyle w:val="Heading2"/>
      </w:pPr>
      <w:r>
        <w:rPr>
          <w:rFonts w:ascii="DejaVu Sans" w:hAnsi="DejaVu Sans" w:eastAsia="Noto Sans CJK SC"/>
          <w:b w:val="0"/>
          <w:color w:val="126B73"/>
          <w:sz w:val="24"/>
        </w:rPr>
        <w:t>Reduce a large failure to a useful counterexample</w:t>
      </w:r>
    </w:p>
    <w:p>
      <w:r>
        <w:rPr>
          <w:rFonts w:ascii="DejaVu Sans" w:hAnsi="DejaVu Sans" w:eastAsia="Noto Sans CJK SC"/>
          <w:b w:val="0"/>
          <w:sz w:val="20"/>
        </w:rPr>
        <w:t>A second module deletes input items within a query budget while preserving failure. Four orders reduce to one cancelled order of amount 11, sufficient to falsify a summation rule that ignores cancellation. This is deletion-minimal under the given predicate, not the globally smallest counterexample across every representation.</w:t>
      </w:r>
    </w:p>
    <w:p>
      <w:r>
        <w:br w:type="page"/>
      </w:r>
    </w:p>
    <w:p>
      <w:pPr>
        <w:pStyle w:val="Heading1"/>
      </w:pPr>
      <w:r>
        <w:rPr>
          <w:rFonts w:ascii="DejaVu Sans" w:hAnsi="DejaVu Sans" w:eastAsia="Noto Sans CJK SC"/>
          <w:b w:val="0"/>
          <w:color w:val="15374A"/>
          <w:sz w:val="36"/>
        </w:rPr>
        <w:t>11　Measured results, not an invented frontier leaderboard</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Experiment</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Executed result</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New regression tests</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106/106 passed</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Preserved tests</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115/115 passed; 15 upstream source files unchanged</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v1 reference</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24 groups × 3 repeats × 2 arms × 3 carriers = 432 runs</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Runtime fault suite</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23 expected outcomes, 185 events</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Quota concurrency</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1 inventory effect + 23 quota denials</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Separate observation</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Read-only function and separately launched CLI tested</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Delivery ambiguity</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3 jobs; only 1 actual provider effect</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Repair search</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288 development + 36 reserved-case executions</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Sequential monitoring</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3 explicitly synthetic input streams</w:t>
            </w:r>
          </w:p>
        </w:tc>
      </w:tr>
    </w:tbl>
    <w:p>
      <w:pPr>
        <w:spacing w:after="40"/>
      </w:pPr>
    </w:p>
    <w:p>
      <w:r>
        <w:rPr>
          <w:rFonts w:ascii="DejaVu Sans" w:hAnsi="DejaVu Sans" w:eastAsia="Noto Sans CJK SC"/>
          <w:b w:val="0"/>
          <w:sz w:val="20"/>
        </w:rPr>
        <w:t>The two safe v1 carriers retain 100% ON output correctness; the unsafe carrier also has 100% but is blocked by authority checks. These results are retained, not relabelled as a performance improvement over GPT, Claude or a commercial evaluation platform.</w:t>
      </w:r>
    </w:p>
    <w:p>
      <w:pPr>
        <w:pStyle w:val="Heading2"/>
      </w:pPr>
      <w:r>
        <w:rPr>
          <w:rFonts w:ascii="DejaVu Sans" w:hAnsi="DejaVu Sans" w:eastAsia="Noto Sans CJK SC"/>
          <w:b w:val="0"/>
          <w:color w:val="126B73"/>
          <w:sz w:val="24"/>
        </w:rPr>
        <w:t>How a finding affects future authority</w:t>
      </w:r>
    </w:p>
    <w:p>
      <w:r>
        <w:rPr>
          <w:rFonts w:ascii="DejaVu Sans" w:hAnsi="DejaVu Sans" w:eastAsia="Noto Sans CJK SC"/>
          <w:b w:val="0"/>
          <w:sz w:val="20"/>
        </w:rPr>
        <w:t>In an additional feedback demonstration, a risk-monitor result creates an unsigned revocation proposal. A separate synthetic operator role signs it. The kernel revokes the target evidence and derived grant, and the next inventory request is denied. Local authority actually changes, but no natural-person approval or real production incident is implied.</w:t>
      </w:r>
    </w:p>
    <w:p>
      <w:r>
        <w:rPr>
          <w:rFonts w:ascii="DejaVu Sans" w:hAnsi="DejaVu Sans" w:eastAsia="Noto Sans CJK SC"/>
          <w:b w:val="0"/>
          <w:sz w:val="20"/>
        </w:rPr>
        <w:t xml:space="preserve">This feedback demonstration is separate from the 23 runtime cases. Reusing synthetic monitoring inputs is not additional independent statistical sampling. Results are locatable under </w:t>
      </w:r>
      <w:r>
        <w:rPr>
          <w:rFonts w:ascii="DejaVu Sans Mono" w:hAnsi="DejaVu Sans Mono" w:eastAsia="Noto Sans CJK SC"/>
          <w:b w:val="0"/>
          <w:sz w:val="20"/>
        </w:rPr>
        <w:t>outputs/reference/</w:t>
      </w:r>
      <w:r>
        <w:rPr>
          <w:rFonts w:ascii="DejaVu Sans" w:hAnsi="DejaVu Sans" w:eastAsia="Noto Sans CJK SC"/>
          <w:b w:val="0"/>
          <w:sz w:val="20"/>
        </w:rPr>
        <w:t>. Multiple assertions inside a test are not counted as multiple test cases.</w:t>
      </w:r>
    </w:p>
    <w:p>
      <w:r>
        <w:br w:type="page"/>
      </w:r>
    </w:p>
    <w:p>
      <w:pPr>
        <w:pStyle w:val="Heading1"/>
      </w:pPr>
      <w:r>
        <w:rPr>
          <w:rFonts w:ascii="DejaVu Sans" w:hAnsi="DejaVu Sans" w:eastAsia="Noto Sans CJK SC"/>
          <w:b w:val="0"/>
          <w:color w:val="15374A"/>
          <w:sz w:val="36"/>
        </w:rPr>
        <w:t>12　Fault catalogue and falsification conditions</w:t>
      </w:r>
    </w:p>
    <w:p>
      <w:r>
        <w:rPr>
          <w:rFonts w:ascii="DejaVu Sans" w:hAnsi="DejaVu Sans" w:eastAsia="Noto Sans CJK SC"/>
          <w:b w:val="0"/>
          <w:sz w:val="20"/>
        </w:rPr>
        <w:t>The 23 cases are regression tests for declared controls, not an estimate of coverage against every possible attack.</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Fault class</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Observed boundary and falsifier</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Signed payload altered</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BAD_SIGNATURE; acceptance would falsify the check</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Tenant/candidate/resource substituted</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Reject; cross-scope effect would be a failure</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Negative, Boolean, fractional or instruction-bearing input</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Type/field rejection; silent coercion would fail</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Expiry/revocation after prepare</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Commit rejects; stale authority must not execute</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State changes between read and write</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WORLD_CHANGED; overwriting the newer state would fail</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Crash before commit</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Full rollback; partial stock/quota change would fail</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Reply lost after commit</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Reuse receipt; a second effect would fail</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Compensation after a later write</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Stop on conflict; do not overwrite the later actor</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Concurrent one-call quota</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At most one governed effect</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Truncated signed history or edited final stock</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Verification or replay fails</w:t>
            </w:r>
          </w:p>
        </w:tc>
      </w:tr>
    </w:tbl>
    <w:p>
      <w:pPr>
        <w:spacing w:after="40"/>
      </w:pPr>
    </w:p>
    <w:p>
      <w:pPr>
        <w:pStyle w:val="Heading2"/>
      </w:pPr>
      <w:r>
        <w:rPr>
          <w:rFonts w:ascii="DejaVu Sans" w:hAnsi="DejaVu Sans" w:eastAsia="Noto Sans CJK SC"/>
          <w:b w:val="0"/>
          <w:color w:val="126B73"/>
          <w:sz w:val="24"/>
        </w:rPr>
        <w:t>Counterexamples not excluded by this release</w:t>
      </w:r>
    </w:p>
    <w:p>
      <w:r>
        <w:rPr>
          <w:rFonts w:ascii="DejaVu Sans" w:hAnsi="DejaVu Sans" w:eastAsia="Noto Sans CJK SC"/>
          <w:b w:val="0"/>
          <w:sz w:val="20"/>
        </w:rPr>
        <w:t>An untrusted agent retaining direct DB or administrator privileges can bypass the broker. A false evaluator statement remains false after signing. An observer reading a jointly corrupted data source does not become an independent reality witness merely by using a separate key. A wholesale rollback to an older valid database and signed anchor cannot be recognized without an externally retained newer anchor.</w:t>
      </w:r>
    </w:p>
    <w:p>
      <w:r>
        <w:rPr>
          <w:rFonts w:ascii="DejaVu Sans" w:hAnsi="DejaVu Sans" w:eastAsia="Noto Sans CJK SC"/>
          <w:b w:val="0"/>
          <w:sz w:val="20"/>
        </w:rPr>
        <w:t>These are deployment admission conditions, not disclaimers followed by a claim of complete safety. When a critical assumption fails, the operator must narrow scope or stop live integration.</w:t>
      </w:r>
    </w:p>
    <w:p>
      <w:r>
        <w:br w:type="page"/>
      </w:r>
    </w:p>
    <w:p>
      <w:pPr>
        <w:pStyle w:val="Heading1"/>
      </w:pPr>
      <w:r>
        <w:rPr>
          <w:rFonts w:ascii="DejaVu Sans" w:hAnsi="DejaVu Sans" w:eastAsia="Noto Sans CJK SC"/>
          <w:b w:val="0"/>
          <w:color w:val="15374A"/>
          <w:sz w:val="36"/>
        </w:rPr>
        <w:t>13　From download to the first real local run</w:t>
      </w:r>
    </w:p>
    <w:p>
      <w:pPr>
        <w:pStyle w:val="Heading2"/>
      </w:pPr>
      <w:r>
        <w:rPr>
          <w:rFonts w:ascii="DejaVu Sans" w:hAnsi="DejaVu Sans" w:eastAsia="Noto Sans CJK SC"/>
          <w:b w:val="0"/>
          <w:color w:val="126B73"/>
          <w:sz w:val="24"/>
        </w:rPr>
        <w:t>Shortest path</w:t>
      </w:r>
    </w:p>
    <w:p>
      <w:pPr>
        <w:spacing w:before="60" w:after="160" w:line="252" w:lineRule="auto"/>
        <w:ind w:left="144" w:right="86"/>
        <w:keepLines/>
        <w:shd w:fill="EEF4F5"/>
      </w:pPr>
      <w:r>
        <w:rPr>
          <w:rFonts w:ascii="DejaVu Sans Mono" w:hAnsi="DejaVu Sans Mono" w:eastAsia="Noto Sans CJK SC"/>
          <w:b w:val="0"/>
          <w:color w:val="15374A"/>
          <w:sz w:val="16"/>
        </w:rPr>
        <w:t>python -m pip install -r requirements.txt</w:t>
        <w:br/>
        <w:t>python dist/praxis_v2.pyz demo --out first-run</w:t>
        <w:br/>
        <w:t>python tools/check.py</w:t>
      </w:r>
    </w:p>
    <w:p>
      <w:r>
        <w:rPr>
          <w:rFonts w:ascii="DejaVu Sans" w:hAnsi="DejaVu Sans" w:eastAsia="Noto Sans CJK SC"/>
          <w:b w:val="0"/>
          <w:sz w:val="20"/>
        </w:rPr>
        <w:t xml:space="preserve">The new kernel requires </w:t>
      </w:r>
      <w:r>
        <w:rPr>
          <w:rFonts w:ascii="DejaVu Sans Mono" w:hAnsi="DejaVu Sans Mono" w:eastAsia="Noto Sans CJK SC"/>
          <w:b w:val="0"/>
          <w:sz w:val="20"/>
        </w:rPr>
        <w:t>cryptography</w:t>
      </w:r>
      <w:r>
        <w:rPr>
          <w:rFonts w:ascii="DejaVu Sans" w:hAnsi="DejaVu Sans" w:eastAsia="Noto Sans CJK SC"/>
          <w:b w:val="0"/>
          <w:sz w:val="20"/>
        </w:rPr>
        <w:t>. This build was actually tested on Python 3.13.5, SQLite 3.46.1 and cryptography 46.0.4. Python 3.10+ is the declared support range; a CI matrix is supplied, but remote CI and the other Python versions were not executed in this session.</w:t>
      </w:r>
    </w:p>
    <w:p>
      <w:pPr>
        <w:pStyle w:val="Heading2"/>
      </w:pPr>
      <w:r>
        <w:rPr>
          <w:rFonts w:ascii="DejaVu Sans" w:hAnsi="DejaVu Sans" w:eastAsia="Noto Sans CJK SC"/>
          <w:b w:val="0"/>
          <w:color w:val="126B73"/>
          <w:sz w:val="24"/>
        </w:rPr>
        <w:t>Check a recorded world</w:t>
      </w:r>
    </w:p>
    <w:p>
      <w:pPr>
        <w:spacing w:before="60" w:after="160" w:line="252" w:lineRule="auto"/>
        <w:ind w:left="144" w:right="86"/>
        <w:keepLines/>
        <w:shd w:fill="EEF4F5"/>
      </w:pPr>
      <w:r>
        <w:rPr>
          <w:rFonts w:ascii="DejaVu Sans Mono" w:hAnsi="DejaVu Sans Mono" w:eastAsia="Noto Sans CJK SC"/>
          <w:b w:val="0"/>
          <w:color w:val="15374A"/>
          <w:sz w:val="16"/>
        </w:rPr>
        <w:t>python dist/praxis_v2.pyz replay   first-run/runtime/verified-and-compensated/world.json   --anchor first-run/runtime/verified-and-compensated/anchor.json   --trust first-run/runtime/verified-and-compensated/trust.json</w:t>
      </w:r>
    </w:p>
    <w:p>
      <w:r>
        <w:rPr>
          <w:rFonts w:ascii="DejaVu Sans" w:hAnsi="DejaVu Sans" w:eastAsia="Noto Sans CJK SC"/>
          <w:b w:val="0"/>
          <w:sz w:val="20"/>
        </w:rPr>
        <w:t>The demo distributes its public root with the transcript to support reproduction. Real origin verification must use a root and latest anchor retained independently beforehand, not merely the claims in a newly downloaded package.</w:t>
      </w:r>
    </w:p>
    <w:p>
      <w:pPr>
        <w:pStyle w:val="Heading2"/>
      </w:pPr>
      <w:r>
        <w:rPr>
          <w:rFonts w:ascii="DejaVu Sans" w:hAnsi="DejaVu Sans" w:eastAsia="Noto Sans CJK SC"/>
          <w:b w:val="0"/>
          <w:color w:val="126B73"/>
          <w:sz w:val="24"/>
        </w:rPr>
        <w:t>Minimal SDK in a trusted service</w:t>
      </w:r>
    </w:p>
    <w:p>
      <w:pPr>
        <w:spacing w:before="60" w:after="160" w:line="252" w:lineRule="auto"/>
        <w:ind w:left="144" w:right="86"/>
        <w:keepLines/>
        <w:shd w:fill="EEF4F5"/>
      </w:pPr>
      <w:r>
        <w:rPr>
          <w:rFonts w:ascii="DejaVu Sans Mono" w:hAnsi="DejaVu Sans Mono" w:eastAsia="Noto Sans CJK SC"/>
          <w:b w:val="0"/>
          <w:color w:val="15374A"/>
          <w:sz w:val="16"/>
        </w:rPr>
        <w:t>from praxis_gate.common import load</w:t>
        <w:br/>
        <w:t>from praxis_gate.kernel import WorldGate</w:t>
        <w:br/>
        <w:br/>
        <w:t>gate = WorldGate("world.sqlite")</w:t>
        <w:br/>
        <w:t>request = load("signed_request.json")</w:t>
        <w:br/>
        <w:t>proposal = gate.apply("prepare", request)</w:t>
        <w:br/>
        <w:t>receipt = gate.apply("commit", request)</w:t>
      </w:r>
    </w:p>
    <w:p>
      <w:r>
        <w:rPr>
          <w:rFonts w:ascii="DejaVu Sans" w:hAnsi="DejaVu Sans" w:eastAsia="Noto Sans CJK SC"/>
          <w:b w:val="0"/>
          <w:sz w:val="20"/>
        </w:rPr>
        <w:t xml:space="preserve">The observer then runs </w:t>
      </w:r>
      <w:r>
        <w:rPr>
          <w:rFonts w:ascii="DejaVu Sans Mono" w:hAnsi="DejaVu Sans Mono" w:eastAsia="Noto Sans CJK SC"/>
          <w:b w:val="0"/>
          <w:sz w:val="20"/>
        </w:rPr>
        <w:t>observe</w:t>
      </w:r>
      <w:r>
        <w:rPr>
          <w:rFonts w:ascii="DejaVu Sans" w:hAnsi="DejaVu Sans" w:eastAsia="Noto Sans CJK SC"/>
          <w:b w:val="0"/>
          <w:sz w:val="20"/>
        </w:rPr>
        <w:t xml:space="preserve">, and the service ingests it with </w:t>
      </w:r>
      <w:r>
        <w:rPr>
          <w:rFonts w:ascii="DejaVu Sans Mono" w:hAnsi="DejaVu Sans Mono" w:eastAsia="Noto Sans CJK SC"/>
          <w:b w:val="0"/>
          <w:sz w:val="20"/>
        </w:rPr>
        <w:t>attest</w:t>
      </w:r>
      <w:r>
        <w:rPr>
          <w:rFonts w:ascii="DejaVu Sans" w:hAnsi="DejaVu Sans" w:eastAsia="Noto Sans CJK SC"/>
          <w:b w:val="0"/>
          <w:sz w:val="20"/>
        </w:rPr>
        <w:t xml:space="preserve">. The browser viewer is not the enforcement kernel and does not create signatures. </w:t>
      </w:r>
      <w:r>
        <w:rPr>
          <w:rFonts w:ascii="DejaVu Sans Mono" w:hAnsi="DejaVu Sans Mono" w:eastAsia="Noto Sans CJK SC"/>
          <w:b w:val="0"/>
          <w:sz w:val="20"/>
        </w:rPr>
        <w:t>init</w:t>
      </w:r>
      <w:r>
        <w:rPr>
          <w:rFonts w:ascii="DejaVu Sans" w:hAnsi="DejaVu Sans" w:eastAsia="Noto Sans CJK SC"/>
          <w:b w:val="0"/>
          <w:sz w:val="20"/>
        </w:rPr>
        <w:t xml:space="preserve"> creates a local sandbox, six key pairs and a template; it issues no grant.</w:t>
      </w:r>
    </w:p>
    <w:p>
      <w:r>
        <w:br w:type="page"/>
      </w:r>
    </w:p>
    <w:p>
      <w:pPr>
        <w:pStyle w:val="Heading1"/>
      </w:pPr>
      <w:r>
        <w:rPr>
          <w:rFonts w:ascii="DejaVu Sans" w:hAnsi="DejaVu Sans" w:eastAsia="Noto Sans CJK SC"/>
          <w:b w:val="0"/>
          <w:color w:val="15374A"/>
          <w:sz w:val="36"/>
        </w:rPr>
        <w:t>14　Deployment: control one resource before adding adapters</w:t>
      </w:r>
    </w:p>
    <w:p>
      <w:pPr>
        <w:pStyle w:val="Heading2"/>
      </w:pPr>
      <w:r>
        <w:rPr>
          <w:rFonts w:ascii="DejaVu Sans" w:hAnsi="DejaVu Sans" w:eastAsia="Noto Sans CJK SC"/>
          <w:b w:val="0"/>
          <w:color w:val="126B73"/>
          <w:sz w:val="24"/>
        </w:rPr>
        <w:t>Stage A: reproduce locally</w:t>
      </w:r>
    </w:p>
    <w:p>
      <w:r>
        <w:rPr>
          <w:rFonts w:ascii="DejaVu Sans" w:hAnsi="DejaVu Sans" w:eastAsia="Noto Sans CJK SC"/>
          <w:b w:val="0"/>
          <w:sz w:val="20"/>
        </w:rPr>
        <w:t>Run the tests and references, check source lineage, and deliberately alter requests, evidence, permissions, state and receipts. Confirm that failures cannot disappear behind retries or averages. Use only synthetic or authorized nonsensitive inputs.</w:t>
      </w:r>
    </w:p>
    <w:p>
      <w:pPr>
        <w:pStyle w:val="Heading2"/>
      </w:pPr>
      <w:r>
        <w:rPr>
          <w:rFonts w:ascii="DejaVu Sans" w:hAnsi="DejaVu Sans" w:eastAsia="Noto Sans CJK SC"/>
          <w:b w:val="0"/>
          <w:color w:val="126B73"/>
          <w:sz w:val="24"/>
        </w:rPr>
        <w:t>Stage B: a team-owned noncritical resource</w:t>
      </w:r>
    </w:p>
    <w:p>
      <w:r>
        <w:rPr>
          <w:rFonts w:ascii="DejaVu Sans" w:hAnsi="DejaVu Sans" w:eastAsia="Noto Sans CJK SC"/>
          <w:b w:val="0"/>
          <w:sz w:val="20"/>
        </w:rPr>
        <w:t>Choose one resource actually controlled by the team and one compensable operation. Run the broker, keys and database under a service account unavailable to the agent. Establish real identity and custody procedures for owner, reviewer, operator and observer. Define trusted time, retention, privacy, alerts and responsibility for reconciliation.</w:t>
      </w:r>
    </w:p>
    <w:p>
      <w:pPr>
        <w:pStyle w:val="Heading2"/>
      </w:pPr>
      <w:r>
        <w:rPr>
          <w:rFonts w:ascii="DejaVu Sans" w:hAnsi="DejaVu Sans" w:eastAsia="Noto Sans CJK SC"/>
          <w:b w:val="0"/>
          <w:color w:val="126B73"/>
          <w:sz w:val="24"/>
        </w:rPr>
        <w:t>Stage C: a bounded canary</w:t>
      </w:r>
    </w:p>
    <w:p>
      <w:r>
        <w:rPr>
          <w:rFonts w:ascii="DejaVu Sans" w:hAnsi="DejaVu Sans" w:eastAsia="Noto Sans CJK SC"/>
          <w:b w:val="0"/>
          <w:sz w:val="20"/>
        </w:rPr>
        <w:t>Begin with proposals that have no business side effects, then obtain named operator approval for a small quota. A new adapter must define idempotency keys, status lookup, scope, observation source, transaction boundary, compensation preconditions, timeout states, data handling and stopping. An API is not sufficient evidence that safe integration is available.</w:t>
      </w:r>
    </w:p>
    <w:p>
      <w:pPr>
        <w:pStyle w:val="Heading2"/>
      </w:pPr>
      <w:r>
        <w:rPr>
          <w:rFonts w:ascii="DejaVu Sans" w:hAnsi="DejaVu Sans" w:eastAsia="Noto Sans CJK SC"/>
          <w:b w:val="0"/>
          <w:color w:val="126B73"/>
          <w:sz w:val="24"/>
        </w:rPr>
        <w:t>Initial team use cases</w:t>
      </w:r>
    </w:p>
    <w:p>
      <w:r>
        <w:rPr>
          <w:rFonts w:ascii="DejaVu Sans" w:hAnsi="DejaVu Sans" w:eastAsia="Noto Sans CJK SC"/>
          <w:b w:val="0"/>
          <w:sz w:val="20"/>
        </w:rPr>
        <w:t>Internal stock/quota reservation; test-environment configuration changes; publication of explicitly versioned document indexes; auditable data corrections. Only stock reservation is implemented here. The other three are adapter design directions, not shipped integrations.</w:t>
      </w:r>
    </w:p>
    <w:p>
      <w:pPr>
        <w:pStyle w:val="Heading2"/>
      </w:pPr>
      <w:r>
        <w:rPr>
          <w:rFonts w:ascii="DejaVu Sans" w:hAnsi="DejaVu Sans" w:eastAsia="Noto Sans CJK SC"/>
          <w:b w:val="0"/>
          <w:color w:val="126B73"/>
          <w:sz w:val="24"/>
        </w:rPr>
        <w:t>Admission evidence</w:t>
      </w:r>
    </w:p>
    <w:p>
      <w:r>
        <w:rPr>
          <w:rFonts w:ascii="DejaVu Sans" w:hAnsi="DejaVu Sans" w:eastAsia="Noto Sans CJK SC"/>
          <w:b w:val="0"/>
          <w:sz w:val="20"/>
        </w:rPr>
        <w:t>Operators can revoke future authority; executors cannot rewrite approvals; observers do not use the executor's success prose as sole evidence; duplicates do not repeat effects; compensation does not overwrite later writers; failures and unmeasured outcomes have an actual owner. Beyond every positive score, retain an executable path that can say no.</w:t>
      </w:r>
    </w:p>
    <w:p>
      <w:r>
        <w:br w:type="page"/>
      </w:r>
    </w:p>
    <w:p>
      <w:pPr>
        <w:pStyle w:val="Heading1"/>
      </w:pPr>
      <w:r>
        <w:rPr>
          <w:rFonts w:ascii="DejaVu Sans" w:hAnsi="DejaVu Sans" w:eastAsia="Noto Sans CJK SC"/>
          <w:b w:val="0"/>
          <w:color w:val="15374A"/>
          <w:sz w:val="36"/>
        </w:rPr>
        <w:t>15　Remaining boundaries and version responsibility</w:t>
      </w:r>
    </w:p>
    <w:tbl>
      <w:tblPr>
        <w:tblW w:type="auto" w:w="0"/>
        <w:jc w:val="center"/>
        <w:tblLayout w:type="fixed"/>
        <w:tblLook w:firstColumn="1" w:firstRow="1" w:lastColumn="0" w:lastRow="0" w:noHBand="0" w:noVBand="1" w:val="04A0"/>
      </w:tblPr>
      <w:tblGrid>
        <w:gridCol w:w="3096"/>
        <w:gridCol w:w="6754"/>
      </w:tblGrid>
      <w:tr>
        <w:trPr>
          <w:cantSplit/>
          <w:tblHeader/>
        </w:trPr>
        <w:tc>
          <w:tcPr>
            <w:tcW w:type="dxa" w:w="3096"/>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Topic</w:t>
            </w:r>
          </w:p>
        </w:tc>
        <w:tc>
          <w:tcPr>
            <w:tcW w:type="dxa" w:w="6754"/>
            <w:vAlign w:val="center"/>
            <w:shd w:fill="15374A"/>
            <w:tcMar>
              <w:top w:w="70" w:type="dxa"/>
              <w:left w:w="85" w:type="dxa"/>
              <w:bottom w:w="70" w:type="dxa"/>
              <w:right w:w="85" w:type="dxa"/>
            </w:tcMar>
          </w:tcPr>
          <w:p>
            <w:pPr>
              <w:spacing w:after="40" w:before="40" w:line="257" w:lineRule="auto"/>
            </w:pPr>
            <w:r>
              <w:rPr>
                <w:rFonts w:ascii="DejaVu Sans" w:hAnsi="DejaVu Sans" w:eastAsia="Noto Sans CJK SC"/>
                <w:b/>
                <w:color w:val="FFFFFF"/>
                <w:sz w:val="18"/>
              </w:rPr>
              <w:t>Actual status</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Business effect</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Local SQLite reservation and conditional compensation</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Cryptography</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Maintained Ed25519 library; no homemade fallback</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Human identity, HSM, key rotation</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External governance or future integration</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Untrusted-code sandbox</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supplied; the legacy trusted-process bridge is not a sandbox</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Live model/Judge APIs</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called; imported v1 judge audits remain</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Production network, payments, distributed scheduling</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implemented</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Unlimited self-learning or arbitrary prompt rewriting</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implemented; only finite policy search</w:t>
            </w:r>
          </w:p>
        </w:tc>
      </w:tr>
      <w:tr>
        <w:trPr>
          <w:cantSplit/>
        </w:trPr>
        <w:tc>
          <w:tcPr>
            <w:tcW w:type="dxa" w:w="3096"/>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Hardware energy and population risk</w:t>
            </w:r>
          </w:p>
        </w:tc>
        <w:tc>
          <w:tcPr>
            <w:tcW w:type="dxa" w:w="6754"/>
            <w:vAlign w:val="center"/>
            <w:shd w:fill="FFFFFF"/>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measured</w:t>
            </w:r>
          </w:p>
        </w:tc>
      </w:tr>
      <w:tr>
        <w:trPr>
          <w:cantSplit/>
        </w:trPr>
        <w:tc>
          <w:tcPr>
            <w:tcW w:type="dxa" w:w="3096"/>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Universal correctness, safety or consciousness</w:t>
            </w:r>
          </w:p>
        </w:tc>
        <w:tc>
          <w:tcPr>
            <w:tcW w:type="dxa" w:w="6754"/>
            <w:vAlign w:val="center"/>
            <w:shd w:fill="F1F5F6"/>
            <w:tcMar>
              <w:top w:w="70" w:type="dxa"/>
              <w:left w:w="85" w:type="dxa"/>
              <w:bottom w:w="70" w:type="dxa"/>
              <w:right w:w="85" w:type="dxa"/>
            </w:tcMar>
          </w:tcPr>
          <w:p>
            <w:pPr>
              <w:spacing w:after="40" w:before="40" w:line="257" w:lineRule="auto"/>
            </w:pPr>
            <w:r>
              <w:rPr>
                <w:rFonts w:ascii="DejaVu Sans" w:hAnsi="DejaVu Sans" w:eastAsia="Noto Sans CJK SC"/>
                <w:b w:val="0"/>
                <w:color w:val="1B2830"/>
                <w:sz w:val="18"/>
              </w:rPr>
              <w:t>Not established by this release</w:t>
            </w:r>
          </w:p>
        </w:tc>
      </w:tr>
    </w:tbl>
    <w:p>
      <w:pPr>
        <w:spacing w:after="40"/>
      </w:pPr>
    </w:p>
    <w:p>
      <w:r>
        <w:rPr>
          <w:rFonts w:ascii="DejaVu Sans" w:hAnsi="DejaVu Sans" w:eastAsia="Noto Sans CJK SC"/>
          <w:b w:val="0"/>
          <w:sz w:val="20"/>
        </w:rPr>
        <w:t xml:space="preserve">Local data and keys generated by </w:t>
      </w:r>
      <w:r>
        <w:rPr>
          <w:rFonts w:ascii="DejaVu Sans Mono" w:hAnsi="DejaVu Sans Mono" w:eastAsia="Noto Sans CJK SC"/>
          <w:b w:val="0"/>
          <w:sz w:val="20"/>
        </w:rPr>
        <w:t>init</w:t>
      </w:r>
      <w:r>
        <w:rPr>
          <w:rFonts w:ascii="DejaVu Sans" w:hAnsi="DejaVu Sans" w:eastAsia="Noto Sans CJK SC"/>
          <w:b w:val="0"/>
          <w:sz w:val="20"/>
        </w:rPr>
        <w:t xml:space="preserve"> are plaintext. POSIX file permissions are not full key management; other systems require suitable ACLs. Hash/signature checks do not replace confidentiality, rate limiting, backups or identity enrolment. SQLite transaction and connection-close semantics follow its documented interface, while the host, filesystem and DB remain trusted. [S5]</w:t>
      </w:r>
    </w:p>
    <w:p>
      <w:r>
        <w:rPr>
          <w:rFonts w:ascii="DejaVu Sans" w:hAnsi="DejaVu Sans" w:eastAsia="Noto Sans CJK SC"/>
          <w:b w:val="0"/>
          <w:sz w:val="20"/>
        </w:rPr>
        <w:t>Source, tests, reports, observations and verification manifests jointly define the release. Changes to adapters, permissions, inference settings or evidence interpretation require a successor version and fresh tests, not merely a new README version label.</w:t>
      </w:r>
    </w:p>
    <w:p>
      <w:r>
        <w:rPr>
          <w:rFonts w:ascii="DejaVu Sans" w:hAnsi="DejaVu Sans" w:eastAsia="Noto Sans CJK SC"/>
          <w:b w:val="0"/>
          <w:sz w:val="20"/>
        </w:rPr>
        <w:t>GitHub workflow files are supplied but were not executed remotely; no account publication occurred. Code and original documentation use Apache-2.0. Underlying third-party research retains its attribution. This report is not endorsement by the source article's authors, SQLite, PyCA or the statistical paper's authors.</w:t>
      </w:r>
    </w:p>
    <w:p>
      <w:r>
        <w:br w:type="page"/>
      </w:r>
    </w:p>
    <w:p>
      <w:pPr>
        <w:pStyle w:val="Heading1"/>
      </w:pPr>
      <w:r>
        <w:rPr>
          <w:rFonts w:ascii="DejaVu Sans" w:hAnsi="DejaVu Sans" w:eastAsia="Noto Sans CJK SC"/>
          <w:b w:val="0"/>
          <w:color w:val="15374A"/>
          <w:sz w:val="36"/>
        </w:rPr>
        <w:t>16　Sources, verification and artifact index</w:t>
      </w:r>
    </w:p>
    <w:p>
      <w:pPr>
        <w:spacing w:line="257" w:lineRule="auto" w:after="80"/>
      </w:pPr>
      <w:r>
        <w:rPr>
          <w:rFonts w:ascii="DejaVu Sans" w:hAnsi="DejaVu Sans" w:eastAsia="Noto Sans CJK SC"/>
          <w:b w:val="0"/>
          <w:sz w:val="19"/>
        </w:rPr>
        <w:t>[B1] DIKWP-PRAXIS-OS 1.0.0 source archive supplied in this conversation. Original archive SHA-256:</w:t>
      </w:r>
    </w:p>
    <w:p>
      <w:pPr>
        <w:spacing w:line="257" w:lineRule="auto" w:after="80"/>
      </w:pPr>
      <w:r>
        <w:rPr>
          <w:rFonts w:ascii="DejaVu Sans" w:hAnsi="DejaVu Sans" w:eastAsia="Noto Sans CJK SC"/>
          <w:b w:val="0"/>
          <w:sz w:val="19"/>
        </w:rPr>
        <w:t>9bcbb748b3ca27a1a62128c8107f0593a7a8f272fab32a71811469edf3d26abd</w:t>
      </w:r>
    </w:p>
    <w:p>
      <w:pPr>
        <w:spacing w:line="257" w:lineRule="auto" w:after="80"/>
      </w:pPr>
      <w:r>
        <w:rPr>
          <w:rFonts w:ascii="DejaVu Sans" w:hAnsi="DejaVu Sans" w:eastAsia="Noto Sans CJK SC"/>
          <w:b w:val="0"/>
          <w:sz w:val="19"/>
        </w:rPr>
        <w:t>Per-file inheritance is recorded in verification/upstream_lineage.json.</w:t>
      </w:r>
    </w:p>
    <w:p>
      <w:pPr>
        <w:spacing w:line="257" w:lineRule="auto" w:after="80"/>
      </w:pPr>
      <w:r>
        <w:rPr>
          <w:rFonts w:ascii="DejaVu Sans" w:hAnsi="DejaVu Sans" w:eastAsia="Noto Sans CJK SC"/>
          <w:b w:val="0"/>
          <w:sz w:val="19"/>
        </w:rPr>
        <w:t>[S1] SQLite. Transaction.</w:t>
      </w:r>
    </w:p>
    <w:p>
      <w:pPr>
        <w:spacing w:line="257" w:lineRule="auto" w:after="80"/>
      </w:pPr>
      <w:r>
        <w:rPr>
          <w:rFonts w:ascii="DejaVu Sans" w:hAnsi="DejaVu Sans" w:eastAsia="Noto Sans CJK SC"/>
          <w:b w:val="0"/>
          <w:sz w:val="19"/>
        </w:rPr>
        <w:t>https://www.sqlite.org/lang_transaction.html</w:t>
      </w:r>
    </w:p>
    <w:p>
      <w:pPr>
        <w:spacing w:line="257" w:lineRule="auto" w:after="80"/>
      </w:pPr>
      <w:r>
        <w:rPr>
          <w:rFonts w:ascii="DejaVu Sans" w:hAnsi="DejaVu Sans" w:eastAsia="Noto Sans CJK SC"/>
          <w:b w:val="0"/>
          <w:sz w:val="19"/>
        </w:rPr>
        <w:t>[S2] SQLite. Isolation.</w:t>
      </w:r>
    </w:p>
    <w:p>
      <w:pPr>
        <w:spacing w:line="257" w:lineRule="auto" w:after="80"/>
      </w:pPr>
      <w:r>
        <w:rPr>
          <w:rFonts w:ascii="DejaVu Sans" w:hAnsi="DejaVu Sans" w:eastAsia="Noto Sans CJK SC"/>
          <w:b w:val="0"/>
          <w:sz w:val="19"/>
        </w:rPr>
        <w:t>https://www.sqlite.org/isolation.html</w:t>
      </w:r>
    </w:p>
    <w:p>
      <w:pPr>
        <w:spacing w:line="257" w:lineRule="auto" w:after="80"/>
      </w:pPr>
      <w:r>
        <w:rPr>
          <w:rFonts w:ascii="DejaVu Sans" w:hAnsi="DejaVu Sans" w:eastAsia="Noto Sans CJK SC"/>
          <w:b w:val="0"/>
          <w:sz w:val="19"/>
        </w:rPr>
        <w:t>[S3] PyCA cryptography. Ed25519 signing.</w:t>
      </w:r>
    </w:p>
    <w:p>
      <w:pPr>
        <w:spacing w:line="257" w:lineRule="auto" w:after="80"/>
      </w:pPr>
      <w:r>
        <w:rPr>
          <w:rFonts w:ascii="DejaVu Sans" w:hAnsi="DejaVu Sans" w:eastAsia="Noto Sans CJK SC"/>
          <w:b w:val="0"/>
          <w:sz w:val="19"/>
        </w:rPr>
        <w:t>https://cryptography.io/en/latest/hazmat/primitives/asymmetric/ed25519/</w:t>
      </w:r>
    </w:p>
    <w:p>
      <w:pPr>
        <w:spacing w:line="257" w:lineRule="auto" w:after="80"/>
      </w:pPr>
      <w:r>
        <w:rPr>
          <w:rFonts w:ascii="DejaVu Sans" w:hAnsi="DejaVu Sans" w:eastAsia="Noto Sans CJK SC"/>
          <w:b w:val="0"/>
          <w:sz w:val="19"/>
        </w:rPr>
        <w:t>[S4] Ramdas, A., Grünwald, P., Vovk, V., Shafer, G. Game-theoretic statistics and safe anytime-valid inference. Statistical Science, 38(4), 576–601, 2023. DOI: 10.1214/23-STS894.</w:t>
      </w:r>
    </w:p>
    <w:p>
      <w:pPr>
        <w:spacing w:line="257" w:lineRule="auto" w:after="80"/>
      </w:pPr>
      <w:r>
        <w:rPr>
          <w:rFonts w:ascii="DejaVu Sans" w:hAnsi="DejaVu Sans" w:eastAsia="Noto Sans CJK SC"/>
          <w:b w:val="0"/>
          <w:sz w:val="19"/>
        </w:rPr>
        <w:t>https://arxiv.org/abs/2210.01948</w:t>
      </w:r>
    </w:p>
    <w:p>
      <w:pPr>
        <w:spacing w:line="257" w:lineRule="auto" w:after="80"/>
      </w:pPr>
      <w:r>
        <w:rPr>
          <w:rFonts w:ascii="DejaVu Sans" w:hAnsi="DejaVu Sans" w:eastAsia="Noto Sans CJK SC"/>
          <w:b w:val="0"/>
          <w:sz w:val="19"/>
        </w:rPr>
        <w:t>[S5] Python documentation. sqlite3.</w:t>
      </w:r>
    </w:p>
    <w:p>
      <w:pPr>
        <w:spacing w:line="257" w:lineRule="auto" w:after="80"/>
      </w:pPr>
      <w:r>
        <w:rPr>
          <w:rFonts w:ascii="DejaVu Sans" w:hAnsi="DejaVu Sans" w:eastAsia="Noto Sans CJK SC"/>
          <w:b w:val="0"/>
          <w:sz w:val="19"/>
        </w:rPr>
        <w:t>https://docs.python.org/3/library/sqlite3.html</w:t>
      </w:r>
    </w:p>
    <w:p>
      <w:pPr>
        <w:spacing w:line="257" w:lineRule="auto" w:after="80"/>
      </w:pPr>
      <w:r>
        <w:rPr>
          <w:rFonts w:ascii="DejaVu Sans" w:hAnsi="DejaVu Sans" w:eastAsia="Noto Sans CJK SC"/>
          <w:b w:val="0"/>
          <w:sz w:val="19"/>
        </w:rPr>
        <w:t>Web sources checked on 8 September 2026. They support specific technical foundations, not compliance or safety certification. The supplied background article remains a problem source; its missing diagram was not reconstructed as if it were the authors' actual architecture.</w:t>
      </w:r>
    </w:p>
    <w:p>
      <w:pPr>
        <w:pStyle w:val="Heading2"/>
      </w:pPr>
      <w:r>
        <w:rPr>
          <w:rFonts w:ascii="DejaVu Sans" w:hAnsi="DejaVu Sans" w:eastAsia="Noto Sans CJK SC"/>
          <w:b w:val="0"/>
          <w:color w:val="126B73"/>
          <w:sz w:val="24"/>
        </w:rPr>
        <w:t>Artifact index</w:t>
      </w:r>
    </w:p>
    <w:p>
      <w:pPr>
        <w:spacing w:line="257" w:lineRule="auto" w:after="80"/>
      </w:pPr>
      <w:r>
        <w:rPr>
          <w:rFonts w:ascii="DejaVu Sans" w:hAnsi="DejaVu Sans" w:eastAsia="Noto Sans CJK SC"/>
          <w:b w:val="0"/>
          <w:sz w:val="19"/>
        </w:rPr>
        <w:t>README.md / README_CN.md: start and boundaries. docs/comparison.csv: 16-row comparison. docs/PROTOCOL.md: protocol and SDK. docs/SECURITY_MODEL.md: trusted base. docs/STATISTICS.md: monitoring assumptions. outputs/reference/: executed results and public-key transcripts. verification/: tests, source lineage and release checks.</w:t>
      </w:r>
    </w:p>
    <w:p>
      <w:pPr>
        <w:spacing w:line="257" w:lineRule="auto" w:after="80"/>
      </w:pPr>
      <w:r>
        <w:rPr>
          <w:rFonts w:ascii="DejaVu Sans" w:hAnsi="DejaVu Sans" w:eastAsia="Noto Sans CJK SC"/>
          <w:b w:val="0"/>
          <w:sz w:val="19"/>
        </w:rPr>
        <w:t>Check three different things: whether the code runs, whether evidence supports the conclusion, and whether the conclusion stays within its authorized scope. None substitutes for the others.</w:t>
      </w:r>
    </w:p>
    <w:sectPr w:rsidR="00FC693F" w:rsidRPr="0006063C" w:rsidSect="00034616">
      <w:headerReference w:type="default" r:id="rId9"/>
      <w:footerReference w:type="default" r:id="rId10"/>
      <w:pgSz w:w="11905" w:h="16838"/>
      <w:pgMar w:top="1037"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Noto Sans CJK SC"/>
        <w:b w:val="0"/>
        <w:color w:val="56636C"/>
        <w:sz w:val="16"/>
      </w:rPr>
      <w:t xml:space="preserve">Local engineering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126B73"/>
      </w:pBdr>
    </w:pPr>
    <w:r>
      <w:rPr>
        <w:rFonts w:ascii="DejaVu Sans" w:hAnsi="DejaVu Sans" w:eastAsia="Noto Sans CJK SC"/>
        <w:b w:val="0"/>
        <w:color w:val="56636C"/>
        <w:sz w:val="16"/>
      </w:rPr>
      <w:t>DIKWP / PRAXIS     WORLDGATE 2.0.0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DejaVu Sans" w:hAnsi="DejaVu Sans"/>
      <w:b/>
      <w:bCs/>
      <w:color w:val="15374A"/>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DejaVu Sans" w:hAnsi="DejaVu Sans"/>
      <w:b/>
      <w:bCs/>
      <w:color w:val="126B73"/>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DejaVu Sans" w:hAnsi="DejaVu Sans"/>
      <w:b/>
      <w:bCs/>
      <w:color w:val="126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DejaVu Sans" w:hAnsi="DejaVu Sans"/>
      <w:color w:val="1537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40"/>
    </w:pPr>
    <w:rPr>
      <w:rFonts w:asciiTheme="majorHAnsi" w:eastAsiaTheme="majorEastAsia" w:hAnsiTheme="majorHAnsi" w:cstheme="majorBidi" w:ascii="DejaVu Sans" w:hAnsi="DejaVu Sans"/>
      <w:i/>
      <w:iCs/>
      <w:color w:val="12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DIKWP-PRAXIS-OS 2.0.0 WORLDGATE — Comparison and Engineering Report</dc:title>
  <dc:subject>AI-assisted engineering release, bounded local reference implementation</dc:subject>
  <dc:creator>Yucong Duan</dc:creator>
  <cp:keywords/>
  <dc:description>No external certification or endorsement is asserted.</dc:description>
  <cp:lastModifiedBy/>
  <cp:revision>1</cp:revision>
  <dcterms:created xsi:type="dcterms:W3CDTF">2013-12-23T23:15:00Z</dcterms:created>
  <dcterms:modified xsi:type="dcterms:W3CDTF">2013-12-23T23:15:00Z</dcterms:modified>
  <cp:category/>
  <dc:language>en-US</dc:language>
</cp:coreProperties>
</file>