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177C82"/>
          <w:sz w:val="18"/>
        </w:rPr>
        <w:t>OPEN RESEARCH SOFTWARE / VERSION 1.0.0</w:t>
      </w:r>
    </w:p>
    <w:p>
      <w:pPr>
        <w:pStyle w:val="Title"/>
        <w:widowControl/>
      </w:pPr>
      <w:r>
        <w:t>NEUROGENESIS-Lab</w:t>
      </w:r>
    </w:p>
    <w:p>
      <w:pPr>
        <w:pStyle w:val="Subtitle"/>
        <w:widowControl/>
      </w:pPr>
      <w:r>
        <w:t>Energy, Information and</w:t>
        <w:br/>
        <w:t>Reconstructive Neural Science</w:t>
      </w:r>
    </w:p>
    <w:p>
      <w:pPr>
        <w:widowControl/>
      </w:pPr>
      <w:r>
        <w:br/>
      </w:r>
    </w:p>
    <w:p>
      <w:pPr>
        <w:pStyle w:val="Subtitle"/>
        <w:widowControl/>
      </w:pPr>
      <w:r>
        <w:t>An English executable companion to</w:t>
        <w:br/>
        <w:t>A Brief History of the Nervous System:</w:t>
        <w:br/>
        <w:t>From Life Sensing to Consciousness and Civilization</w:t>
      </w:r>
    </w:p>
    <w:p>
      <w:pPr>
        <w:widowControl/>
      </w:pPr>
      <w:r>
        <w:t>Yucong Duan</w:t>
      </w:r>
    </w:p>
    <w:p>
      <w:pPr>
        <w:widowControl/>
      </w:pPr>
      <w:r>
        <w:br/>
      </w:r>
    </w:p>
    <w:tbl>
      <w:tblPr>
        <w:tblStyle w:val="LightShading-Accent1"/>
        <w:tblW w:type="auto" w:w="0"/>
        <w:tblLayout w:type="fixed"/>
        <w:tblLook w:firstColumn="1" w:firstRow="1" w:lastColumn="0" w:lastRow="0" w:noHBand="0" w:noVBand="1" w:val="04A0"/>
      </w:tblPr>
      <w:tblGrid>
        <w:gridCol w:w="3221"/>
        <w:gridCol w:w="3221"/>
        <w:gridCol w:w="3221"/>
      </w:tblGrid>
      <w:tr>
        <w:trPr>
          <w:tblHeader/>
          <w:cantSplit/>
        </w:trPr>
        <w:tc>
          <w:tcPr>
            <w:tcW w:type="dxa" w:w="3221"/>
          </w:tcPr>
          <w:p>
            <w:pPr>
              <w:widowControl/>
            </w:pPr>
            <w:r>
              <w:t>18 chapters</w:t>
            </w:r>
          </w:p>
        </w:tc>
        <w:tc>
          <w:tcPr>
            <w:tcW w:type="dxa" w:w="3221"/>
          </w:tcPr>
          <w:p>
            <w:pPr>
              <w:widowControl/>
            </w:pPr>
            <w:r>
              <w:t>24 experiments</w:t>
            </w:r>
          </w:p>
        </w:tc>
        <w:tc>
          <w:tcPr>
            <w:tcW w:type="dxa" w:w="3221"/>
          </w:tcPr>
          <w:p>
            <w:pPr>
              <w:widowControl/>
            </w:pPr>
            <w:r>
              <w:t>25 replayed runs</w:t>
            </w:r>
          </w:p>
        </w:tc>
      </w:tr>
      <w:tr>
        <w:trPr>
          <w:cantSplit/>
        </w:trPr>
        <w:tc>
          <w:tcPr>
            <w:tcW w:type="dxa" w:w="3221"/>
          </w:tcPr>
          <w:p>
            <w:pPr>
              <w:widowControl/>
              <w:spacing w:after="100"/>
            </w:pPr>
            <w:r>
              <w:rPr>
                <w:sz w:val="18"/>
              </w:rPr>
              <w:t>Source-linked learning path</w:t>
            </w:r>
          </w:p>
        </w:tc>
        <w:tc>
          <w:tcPr>
            <w:tcW w:type="dxa" w:w="3221"/>
          </w:tcPr>
          <w:p>
            <w:pPr>
              <w:widowControl/>
              <w:spacing w:after="100"/>
            </w:pPr>
            <w:r>
              <w:rPr>
                <w:sz w:val="18"/>
              </w:rPr>
              <w:t>Mechanisms and controlled comparisons</w:t>
            </w:r>
          </w:p>
        </w:tc>
        <w:tc>
          <w:tcPr>
            <w:tcW w:type="dxa" w:w="3221"/>
          </w:tcPr>
          <w:p>
            <w:pPr>
              <w:widowControl/>
              <w:spacing w:after="100"/>
            </w:pPr>
            <w:r>
              <w:rPr>
                <w:sz w:val="18"/>
              </w:rPr>
              <w:t>24 defaults plus a passive-recording fit</w:t>
            </w:r>
          </w:p>
        </w:tc>
      </w:tr>
    </w:tbl>
    <w:p>
      <w:pPr>
        <w:widowControl/>
      </w:pPr>
    </w:p>
    <w:p>
      <w:pPr>
        <w:widowControl/>
      </w:pPr>
      <w:r>
        <w:t>From a book question to a mechanism that another researcher can challenge. Explicit variables, unit contracts, alternative explanations, revision history and real recomputation form one inspectable workflow.</w:t>
      </w:r>
    </w:p>
    <w:p>
      <w:pPr>
        <w:widowControl/>
      </w:pPr>
      <w:r>
        <w:t>Technical handbook • 27 September 2026</w:t>
      </w:r>
    </w:p>
    <w:p>
      <w:pPr>
        <w:widowControl/>
      </w:pPr>
      <w:r>
        <w:t>Research and education reference implementation. No whole-brain emulation, medical recommendation, device control, consciousness score or empirical confirmation of an independent information field is claimed. The complete book and third-party papers are not redistributed.</w:t>
      </w:r>
    </w:p>
    <w:p>
      <w:pPr>
        <w:widowControl/>
      </w:pPr>
      <w:r>
        <w:t>Code and original companion documentation: Apache-2.0. See LICENSE and NOTICE. Prepared with generative-AI assistance for author and independent review.</w:t>
      </w:r>
    </w:p>
    <w:p>
      <w:pPr>
        <w:widowControl/>
      </w:pPr>
      <w:r>
        <w:br w:type="page"/>
      </w:r>
    </w:p>
    <w:p>
      <w:pPr>
        <w:widowControl/>
      </w:pPr>
      <w:r>
        <w:rPr>
          <w:b/>
          <w:color w:val="177C82"/>
          <w:sz w:val="18"/>
        </w:rPr>
        <w:t>01 / EXECUTIVE GUIDE</w:t>
      </w:r>
    </w:p>
    <w:p>
      <w:pPr>
        <w:pStyle w:val="Heading1"/>
        <w:widowControl/>
      </w:pPr>
      <w:r>
        <w:t>What has actually been delivered</w:t>
      </w:r>
    </w:p>
    <w:p>
      <w:pPr>
        <w:widowControl/>
      </w:pPr>
      <w:r>
        <w:t>The system is not a conversational shell placed around the book. It runs explicit neural models and deliberately limited experiments whose inputs, assumptions, state variables and failures remain visible. It links all 18 chapters to executable questions, rather than claiming that one toy model represents an entire chapter.</w:t>
      </w:r>
    </w:p>
    <w:p>
      <w:pPr>
        <w:pStyle w:val="Heading2"/>
        <w:widowControl/>
      </w:pPr>
      <w:r>
        <w:t>The central advance</w:t>
      </w:r>
    </w:p>
    <w:p>
      <w:pPr>
        <w:widowControl/>
      </w:pPr>
      <w:r>
        <w:t>The useful engineering foundation already present in NEPHROGENESIS-Lab—bounded inputs, conservation ledgers, source records and recomputation—is retained as a design lesson. The new contribution is a nervous-system scientific kernel: excitable membranes, passive spatial conduction, stochastic release, associative dynamics, observation limits and three source-derived research programmes.</w:t>
      </w:r>
    </w:p>
    <w:tbl>
      <w:tblPr>
        <w:tblStyle w:val="LightShading-Accent1"/>
        <w:tblW w:type="auto" w:w="0"/>
        <w:tblLayout w:type="fixed"/>
        <w:tblLook w:firstColumn="1" w:firstRow="1" w:lastColumn="0" w:lastRow="0" w:noHBand="0" w:noVBand="1" w:val="04A0"/>
      </w:tblPr>
      <w:tblGrid>
        <w:gridCol w:w="4831"/>
        <w:gridCol w:w="4831"/>
      </w:tblGrid>
      <w:tr>
        <w:trPr>
          <w:tblHeader/>
          <w:cantSplit/>
        </w:trPr>
        <w:tc>
          <w:tcPr>
            <w:tcW w:type="dxa" w:w="3672"/>
          </w:tcPr>
          <w:p>
            <w:pPr>
              <w:widowControl/>
            </w:pPr>
            <w:r>
              <w:t>Book question</w:t>
            </w:r>
          </w:p>
        </w:tc>
        <w:tc>
          <w:tcPr>
            <w:tcW w:type="dxa" w:w="5904"/>
          </w:tcPr>
          <w:p>
            <w:pPr>
              <w:widowControl/>
            </w:pPr>
            <w:r>
              <w:t>Delivered implementation</w:t>
            </w:r>
          </w:p>
        </w:tc>
      </w:tr>
      <w:tr>
        <w:trPr>
          <w:cantSplit/>
        </w:trPr>
        <w:tc>
          <w:tcPr>
            <w:tcW w:type="dxa" w:w="3672"/>
          </w:tcPr>
          <w:p>
            <w:pPr>
              <w:widowControl/>
              <w:spacing w:after="100"/>
            </w:pPr>
            <w:r>
              <w:rPr>
                <w:sz w:val="18"/>
              </w:rPr>
              <w:t>How does a mechanism generate a signal?</w:t>
            </w:r>
          </w:p>
        </w:tc>
        <w:tc>
          <w:tcPr>
            <w:tcW w:type="dxa" w:w="5904"/>
          </w:tcPr>
          <w:p>
            <w:pPr>
              <w:widowControl/>
              <w:spacing w:after="100"/>
            </w:pPr>
            <w:r>
              <w:rPr>
                <w:sz w:val="18"/>
              </w:rPr>
              <w:t>HH, passive cable, synaptic release and gating calculations.</w:t>
            </w:r>
          </w:p>
        </w:tc>
      </w:tr>
      <w:tr>
        <w:trPr>
          <w:cantSplit/>
        </w:trPr>
        <w:tc>
          <w:tcPr>
            <w:tcW w:type="dxa" w:w="3672"/>
          </w:tcPr>
          <w:p>
            <w:pPr>
              <w:widowControl/>
              <w:spacing w:after="100"/>
            </w:pPr>
            <w:r>
              <w:rPr>
                <w:sz w:val="18"/>
              </w:rPr>
              <w:t>How can the same result hide different causes?</w:t>
            </w:r>
          </w:p>
        </w:tc>
        <w:tc>
          <w:tcPr>
            <w:tcW w:type="dxa" w:w="5904"/>
          </w:tcPr>
          <w:p>
            <w:pPr>
              <w:widowControl/>
              <w:spacing w:after="100"/>
            </w:pPr>
            <w:r>
              <w:rPr>
                <w:sz w:val="18"/>
              </w:rPr>
              <w:t>Wiring/sign counterexample, hidden-state observability and sampling alias tests.</w:t>
            </w:r>
          </w:p>
        </w:tc>
      </w:tr>
      <w:tr>
        <w:trPr>
          <w:cantSplit/>
        </w:trPr>
        <w:tc>
          <w:tcPr>
            <w:tcW w:type="dxa" w:w="3672"/>
          </w:tcPr>
          <w:p>
            <w:pPr>
              <w:widowControl/>
              <w:spacing w:after="100"/>
            </w:pPr>
            <w:r>
              <w:rPr>
                <w:sz w:val="18"/>
              </w:rPr>
              <w:t>Does information organization help under stated costs?</w:t>
            </w:r>
          </w:p>
        </w:tc>
        <w:tc>
          <w:tcPr>
            <w:tcW w:type="dxa" w:w="5904"/>
          </w:tcPr>
          <w:p>
            <w:pPr>
              <w:widowControl/>
              <w:spacing w:after="100"/>
            </w:pPr>
            <w:r>
              <w:rPr>
                <w:sz w:val="18"/>
              </w:rPr>
              <w:t>Matched-cue remapping with paired seeds and separate update costs.</w:t>
            </w:r>
          </w:p>
        </w:tc>
      </w:tr>
      <w:tr>
        <w:trPr>
          <w:cantSplit/>
        </w:trPr>
        <w:tc>
          <w:tcPr>
            <w:tcW w:type="dxa" w:w="3672"/>
          </w:tcPr>
          <w:p>
            <w:pPr>
              <w:widowControl/>
              <w:spacing w:after="100"/>
            </w:pPr>
            <w:r>
              <w:rPr>
                <w:sz w:val="18"/>
              </w:rPr>
              <w:t>Can history be corrected without erasing it?</w:t>
            </w:r>
          </w:p>
        </w:tc>
        <w:tc>
          <w:tcPr>
            <w:tcW w:type="dxa" w:w="5904"/>
          </w:tcPr>
          <w:p>
            <w:pPr>
              <w:widowControl/>
              <w:spacing w:after="100"/>
            </w:pPr>
            <w:r>
              <w:rPr>
                <w:sz w:val="18"/>
              </w:rPr>
              <w:t>Versioned source/interpretation graph, retraction and past-goal replay.</w:t>
            </w:r>
          </w:p>
        </w:tc>
      </w:tr>
      <w:tr>
        <w:trPr>
          <w:cantSplit/>
        </w:trPr>
        <w:tc>
          <w:tcPr>
            <w:tcW w:type="dxa" w:w="3672"/>
          </w:tcPr>
          <w:p>
            <w:pPr>
              <w:widowControl/>
              <w:spacing w:after="100"/>
            </w:pPr>
            <w:r>
              <w:rPr>
                <w:sz w:val="18"/>
              </w:rPr>
              <w:t>Does adding another scale improve prediction?</w:t>
            </w:r>
          </w:p>
        </w:tc>
        <w:tc>
          <w:tcPr>
            <w:tcW w:type="dxa" w:w="5904"/>
          </w:tcPr>
          <w:p>
            <w:pPr>
              <w:widowControl/>
              <w:spacing w:after="100"/>
            </w:pPr>
            <w:r>
              <w:rPr>
                <w:sz w:val="18"/>
              </w:rPr>
              <w:t>Nested models with training, validation and final test partitions.</w:t>
            </w:r>
          </w:p>
        </w:tc>
      </w:tr>
    </w:tbl>
    <w:p>
      <w:pPr>
        <w:widowControl/>
      </w:pPr>
    </w:p>
    <w:p>
      <w:pPr>
        <w:widowControl/>
      </w:pPr>
      <w:r>
        <w:t>The strongest claims supported by this release are implementation and numerical ones. Synthetic advantages do not establish biological generalization. A valid graph is not true evidence; reproducible code can still implement a false mechanism.</w:t>
      </w:r>
    </w:p>
    <w:p>
      <w:pPr>
        <w:pStyle w:val="Heading2"/>
        <w:widowControl/>
      </w:pPr>
      <w:r>
        <w:t>Read this manual in three passes</w:t>
      </w:r>
    </w:p>
    <w:p>
      <w:pPr>
        <w:widowControl/>
      </w:pPr>
      <w:r>
        <w:t>For immediate use, read pages 4, 13–15. For scientific interpretation, read pages 6–12 and the chapter map on pages 16–17. For independent reproduction or extension, read pages 18–21 and the full METHODS.md and source code.</w:t>
      </w:r>
    </w:p>
    <w:p>
      <w:pPr>
        <w:widowControl/>
      </w:pPr>
      <w:r>
        <w:br w:type="page"/>
      </w:r>
    </w:p>
    <w:p>
      <w:pPr>
        <w:widowControl/>
      </w:pPr>
      <w:r>
        <w:rPr>
          <w:b/>
          <w:color w:val="177C82"/>
          <w:sz w:val="18"/>
        </w:rPr>
        <w:t>02 / ENGINEERING SCOPE</w:t>
      </w:r>
    </w:p>
    <w:p>
      <w:pPr>
        <w:pStyle w:val="Heading1"/>
        <w:widowControl/>
      </w:pPr>
      <w:r>
        <w:t>Upstream review: facts before comparisons</w:t>
      </w:r>
    </w:p>
    <w:p>
      <w:pPr>
        <w:widowControl/>
      </w:pPr>
      <w:r>
        <w:t>The connected GitHub service was used to inspect current repository resources on 27 September 2026. The comparison is scoped: one runnable supplied baseline was executed, five core files were matched to current GitHub blob hashes, and several additional repositories were examined at their README and root-inventory level.</w:t>
      </w:r>
    </w:p>
    <w:tbl>
      <w:tblPr>
        <w:tblStyle w:val="LightShading-Accent1"/>
        <w:tblW w:type="auto" w:w="0"/>
        <w:tblLayout w:type="fixed"/>
        <w:tblLook w:firstColumn="1" w:firstRow="1" w:lastColumn="0" w:lastRow="0" w:noHBand="0" w:noVBand="1" w:val="04A0"/>
      </w:tblPr>
      <w:tblGrid>
        <w:gridCol w:w="3221"/>
        <w:gridCol w:w="3221"/>
        <w:gridCol w:w="3221"/>
      </w:tblGrid>
      <w:tr>
        <w:trPr>
          <w:tblHeader/>
          <w:cantSplit/>
        </w:trPr>
        <w:tc>
          <w:tcPr>
            <w:tcW w:type="dxa" w:w="2088"/>
          </w:tcPr>
          <w:p>
            <w:pPr>
              <w:widowControl/>
            </w:pPr>
            <w:r>
              <w:t>Repository</w:t>
            </w:r>
          </w:p>
        </w:tc>
        <w:tc>
          <w:tcPr>
            <w:tcW w:type="dxa" w:w="3312"/>
          </w:tcPr>
          <w:p>
            <w:pPr>
              <w:widowControl/>
            </w:pPr>
            <w:r>
              <w:t>What was checked</w:t>
            </w:r>
          </w:p>
        </w:tc>
        <w:tc>
          <w:tcPr>
            <w:tcW w:type="dxa" w:w="4176"/>
          </w:tcPr>
          <w:p>
            <w:pPr>
              <w:widowControl/>
            </w:pPr>
            <w:r>
              <w:t>Defensible extension</w:t>
            </w:r>
          </w:p>
        </w:tc>
      </w:tr>
      <w:tr>
        <w:trPr>
          <w:cantSplit/>
        </w:trPr>
        <w:tc>
          <w:tcPr>
            <w:tcW w:type="dxa" w:w="2088"/>
          </w:tcPr>
          <w:p>
            <w:pPr>
              <w:widowControl/>
              <w:spacing w:after="100"/>
            </w:pPr>
            <w:r>
              <w:rPr>
                <w:sz w:val="18"/>
              </w:rPr>
              <w:t>NEPHROGENESIS-Lab</w:t>
            </w:r>
          </w:p>
        </w:tc>
        <w:tc>
          <w:tcPr>
            <w:tcW w:type="dxa" w:w="3312"/>
          </w:tcPr>
          <w:p>
            <w:pPr>
              <w:widowControl/>
              <w:spacing w:after="100"/>
            </w:pPr>
            <w:r>
              <w:rPr>
                <w:sz w:val="18"/>
              </w:rPr>
              <w:t>Five matched source files; supplied 198-test suite passed.</w:t>
            </w:r>
          </w:p>
        </w:tc>
        <w:tc>
          <w:tcPr>
            <w:tcW w:type="dxa" w:w="4176"/>
          </w:tcPr>
          <w:p>
            <w:pPr>
              <w:widowControl/>
              <w:spacing w:after="100"/>
            </w:pPr>
            <w:r>
              <w:rPr>
                <w:sz w:val="18"/>
              </w:rPr>
              <w:t>Replace renal state dynamics with new neural mechanisms; add versioned interpretation operations and neural acquisition contracts.</w:t>
            </w:r>
          </w:p>
        </w:tc>
      </w:tr>
      <w:tr>
        <w:trPr>
          <w:cantSplit/>
        </w:trPr>
        <w:tc>
          <w:tcPr>
            <w:tcW w:type="dxa" w:w="2088"/>
          </w:tcPr>
          <w:p>
            <w:pPr>
              <w:widowControl/>
              <w:spacing w:after="100"/>
            </w:pPr>
            <w:r>
              <w:rPr>
                <w:sz w:val="18"/>
              </w:rPr>
              <w:t>NeuroBody SemanticOS</w:t>
            </w:r>
          </w:p>
        </w:tc>
        <w:tc>
          <w:tcPr>
            <w:tcW w:type="dxa" w:w="3312"/>
          </w:tcPr>
          <w:p>
            <w:pPr>
              <w:widowControl/>
              <w:spacing w:after="100"/>
            </w:pPr>
            <w:r>
              <w:rPr>
                <w:sz w:val="18"/>
              </w:rPr>
              <w:t>README and root tree. Application stored in a ZIP.</w:t>
            </w:r>
          </w:p>
        </w:tc>
        <w:tc>
          <w:tcPr>
            <w:tcW w:type="dxa" w:w="4176"/>
          </w:tcPr>
          <w:p>
            <w:pPr>
              <w:widowControl/>
              <w:spacing w:after="100"/>
            </w:pPr>
            <w:r>
              <w:rPr>
                <w:sz w:val="18"/>
              </w:rPr>
              <w:t>Deliver an inspectable numerical companion, not assume unseen internals lack every needed function.</w:t>
            </w:r>
          </w:p>
        </w:tc>
      </w:tr>
      <w:tr>
        <w:trPr>
          <w:cantSplit/>
        </w:trPr>
        <w:tc>
          <w:tcPr>
            <w:tcW w:type="dxa" w:w="2088"/>
          </w:tcPr>
          <w:p>
            <w:pPr>
              <w:widowControl/>
              <w:spacing w:after="100"/>
            </w:pPr>
            <w:r>
              <w:rPr>
                <w:sz w:val="18"/>
              </w:rPr>
              <w:t>NeuroSentinel</w:t>
            </w:r>
          </w:p>
        </w:tc>
        <w:tc>
          <w:tcPr>
            <w:tcW w:type="dxa" w:w="3312"/>
          </w:tcPr>
          <w:p>
            <w:pPr>
              <w:widowControl/>
              <w:spacing w:after="100"/>
            </w:pPr>
            <w:r>
              <w:rPr>
                <w:sz w:val="18"/>
              </w:rPr>
              <w:t>README and root tree; care-oriented alpha scope.</w:t>
            </w:r>
          </w:p>
        </w:tc>
        <w:tc>
          <w:tcPr>
            <w:tcW w:type="dxa" w:w="4176"/>
          </w:tcPr>
          <w:p>
            <w:pPr>
              <w:widowControl/>
              <w:spacing w:after="100"/>
            </w:pPr>
            <w:r>
              <w:rPr>
                <w:sz w:val="18"/>
              </w:rPr>
              <w:t>Mechanism experiments rather than diagnostic/care routing. No clinical superiority claim.</w:t>
            </w:r>
          </w:p>
        </w:tc>
      </w:tr>
      <w:tr>
        <w:trPr>
          <w:cantSplit/>
        </w:trPr>
        <w:tc>
          <w:tcPr>
            <w:tcW w:type="dxa" w:w="2088"/>
          </w:tcPr>
          <w:p>
            <w:pPr>
              <w:widowControl/>
              <w:spacing w:after="100"/>
            </w:pPr>
            <w:r>
              <w:rPr>
                <w:sz w:val="18"/>
              </w:rPr>
              <w:t>C-NOESISCOPE</w:t>
            </w:r>
          </w:p>
        </w:tc>
        <w:tc>
          <w:tcPr>
            <w:tcW w:type="dxa" w:w="3312"/>
          </w:tcPr>
          <w:p>
            <w:pPr>
              <w:widowControl/>
              <w:spacing w:after="100"/>
            </w:pPr>
            <w:r>
              <w:rPr>
                <w:sz w:val="18"/>
              </w:rPr>
              <w:t>README and root tree.</w:t>
            </w:r>
          </w:p>
        </w:tc>
        <w:tc>
          <w:tcPr>
            <w:tcW w:type="dxa" w:w="4176"/>
          </w:tcPr>
          <w:p>
            <w:pPr>
              <w:widowControl/>
              <w:spacing w:after="100"/>
            </w:pPr>
            <w:r>
              <w:rPr>
                <w:sz w:val="18"/>
              </w:rPr>
              <w:t>Preserve functional/phenomenal distinctions; provide a limited report-channel experiment without awareness scoring.</w:t>
            </w:r>
          </w:p>
        </w:tc>
      </w:tr>
      <w:tr>
        <w:trPr>
          <w:cantSplit/>
        </w:trPr>
        <w:tc>
          <w:tcPr>
            <w:tcW w:type="dxa" w:w="2088"/>
          </w:tcPr>
          <w:p>
            <w:pPr>
              <w:widowControl/>
              <w:spacing w:after="100"/>
            </w:pPr>
            <w:r>
              <w:rPr>
                <w:sz w:val="18"/>
              </w:rPr>
              <w:t>NEGENESIS-OMEGA</w:t>
            </w:r>
          </w:p>
        </w:tc>
        <w:tc>
          <w:tcPr>
            <w:tcW w:type="dxa" w:w="3312"/>
          </w:tcPr>
          <w:p>
            <w:pPr>
              <w:widowControl/>
              <w:spacing w:after="100"/>
            </w:pPr>
            <w:r>
              <w:rPr>
                <w:sz w:val="18"/>
              </w:rPr>
              <w:t>Current root tree only.</w:t>
            </w:r>
          </w:p>
        </w:tc>
        <w:tc>
          <w:tcPr>
            <w:tcW w:type="dxa" w:w="4176"/>
          </w:tcPr>
          <w:p>
            <w:pPr>
              <w:widowControl/>
              <w:spacing w:after="100"/>
            </w:pPr>
            <w:r>
              <w:rPr>
                <w:sz w:val="18"/>
              </w:rPr>
              <w:t>Context pointer only; no internal-function or performance comparison.</w:t>
            </w:r>
          </w:p>
        </w:tc>
      </w:tr>
    </w:tbl>
    <w:p>
      <w:pPr>
        <w:widowControl/>
      </w:pPr>
    </w:p>
    <w:p>
      <w:pPr>
        <w:widowControl/>
      </w:pPr>
      <w:r>
        <w:t>Binary ZIP retrieval was not available through the connector for the latter projects. Their internal code was not executed. ZIP-only public roots make review less direct but do not prove the archives contain no tests. Current NEPHROGENESIS already has visible source; source-first layout is not falsely claimed as a new invention.</w:t>
      </w:r>
    </w:p>
    <w:p>
      <w:pPr>
        <w:widowControl/>
      </w:pPr>
      <w:r>
        <w:t>The exact Git tree and blob identities, inspection limits and baseline log are retained in UPSTREAM_REVIEW.md and validation/upstream_source_match.json. Tree hashes are identified as tree hashes, not mislabeled as commits. The new package has not been pushed to GitHub by this delivery.</w:t>
      </w:r>
    </w:p>
    <w:p>
      <w:pPr>
        <w:widowControl/>
      </w:pPr>
      <w:r>
        <w:br w:type="page"/>
      </w:r>
    </w:p>
    <w:p>
      <w:pPr>
        <w:widowControl/>
      </w:pPr>
      <w:r>
        <w:rPr>
          <w:b/>
          <w:color w:val="177C82"/>
          <w:sz w:val="18"/>
        </w:rPr>
        <w:t>03 / INSTALLATION-FREE ROUTE</w:t>
      </w:r>
    </w:p>
    <w:p>
      <w:pPr>
        <w:pStyle w:val="Heading1"/>
        <w:widowControl/>
      </w:pPr>
      <w:r>
        <w:t>Start and run a reproducible experiment</w:t>
      </w:r>
    </w:p>
    <w:p>
      <w:pPr>
        <w:widowControl/>
      </w:pPr>
      <w:r>
        <w:t>Use Python 3.10 or later. The core requires only the Python standard library. No model download, API key, cloud account, browser extension or package installation is needed to run the source directory.</w:t>
      </w:r>
    </w:p>
    <w:p>
      <w:pPr>
        <w:pStyle w:val="Code"/>
        <w:widowControl/>
      </w:pPr>
      <w:r>
        <w:t>python run.py list</w:t>
      </w:r>
    </w:p>
    <w:p>
      <w:pPr>
        <w:pStyle w:val="Code"/>
        <w:widowControl/>
      </w:pPr>
      <w:r>
        <w:t>python -m unittest discover -s tests -v</w:t>
      </w:r>
    </w:p>
    <w:p>
      <w:pPr>
        <w:pStyle w:val="Code"/>
        <w:widowControl/>
      </w:pPr>
      <w:r>
        <w:t>python run.py serve --port 8766</w:t>
      </w:r>
    </w:p>
    <w:p>
      <w:pPr>
        <w:widowControl/>
      </w:pPr>
      <w:r>
        <w:t>Open http://127.0.0.1:8766. Windows users can launch launch.bat; macOS/Linux users can run sh launch.sh. Stop with Ctrl+C. These launchers start a local process; they do not change system settings or install background agents.</w:t>
      </w:r>
    </w:p>
    <w:p>
      <w:pPr>
        <w:pStyle w:val="Heading2"/>
        <w:widowControl/>
      </w:pPr>
      <w:r>
        <w:t>Preserve rather than overwrite</w:t>
      </w:r>
    </w:p>
    <w:p>
      <w:pPr>
        <w:pStyle w:val="Code"/>
        <w:widowControl/>
      </w:pPr>
      <w:r>
        <w:t>python run.py run hh --out runs/hh-01</w:t>
      </w:r>
    </w:p>
    <w:p>
      <w:pPr>
        <w:pStyle w:val="Code"/>
        <w:widowControl/>
      </w:pPr>
      <w:r>
        <w:t>python run.py verify-run runs/hh-01</w:t>
      </w:r>
    </w:p>
    <w:p>
      <w:pPr>
        <w:pStyle w:val="Code"/>
        <w:widowControl/>
      </w:pPr>
      <w:r>
        <w:t>python run.py replay runs/hh-01</w:t>
      </w:r>
    </w:p>
    <w:p>
      <w:pPr>
        <w:widowControl/>
      </w:pPr>
      <w:r>
        <w:t>The output directory must be new. The first command creates a capsule; the second checks the stored artifact bindings; the third runs the equations again. Changing assumptions should create another run, not replace the original.</w:t>
      </w:r>
    </w:p>
    <w:p>
      <w:pPr>
        <w:pStyle w:val="Code"/>
        <w:widowControl/>
      </w:pPr>
      <w:r>
        <w:t>python run.py run hh --params examples/hh_blocked_sodium.json --out runs/blocked</w:t>
      </w:r>
    </w:p>
    <w:p>
      <w:pPr>
        <w:pStyle w:val="Code"/>
        <w:widowControl/>
      </w:pPr>
      <w:r>
        <w:t>python run.py demo --out runs/all-24</w:t>
      </w:r>
    </w:p>
    <w:p>
      <w:pPr>
        <w:pStyle w:val="Heading2"/>
        <w:widowControl/>
      </w:pPr>
      <w:r>
        <w:t>Install the wheel when a command on PATH is useful</w:t>
      </w:r>
    </w:p>
    <w:p>
      <w:pPr>
        <w:pStyle w:val="Code"/>
        <w:widowControl/>
      </w:pPr>
      <w:r>
        <w:t>python -m pip install --no-deps neurogenesis_lab-1.0.0-py3-none-any.whl</w:t>
      </w:r>
    </w:p>
    <w:p>
      <w:pPr>
        <w:pStyle w:val="Code"/>
        <w:widowControl/>
      </w:pPr>
      <w:r>
        <w:t>neurogenesis list</w:t>
      </w:r>
    </w:p>
    <w:p>
      <w:pPr>
        <w:pStyle w:val="Code"/>
        <w:widowControl/>
      </w:pPr>
      <w:r>
        <w:t>python -m neurogenesis serve</w:t>
      </w:r>
    </w:p>
    <w:p>
      <w:pPr>
        <w:widowControl/>
      </w:pPr>
      <w:r>
        <w:t>The separately supplied wheel includes the engine, registries and browser files. Documentation, tests and examples are in the complete source ZIP. Linux/Python 3.13.5 was exercised locally; other platforms are supported by the code target and prepared CI, not claimed as executed.</w:t>
      </w:r>
    </w:p>
    <w:p>
      <w:pPr>
        <w:widowControl/>
      </w:pPr>
      <w:r>
        <w:br w:type="page"/>
      </w:r>
    </w:p>
    <w:p>
      <w:pPr>
        <w:widowControl/>
      </w:pPr>
      <w:r>
        <w:rPr>
          <w:b/>
          <w:color w:val="177C82"/>
          <w:sz w:val="18"/>
        </w:rPr>
        <w:t>04 / ONE ENGINE, MULTIPLE INTERFACES</w:t>
      </w:r>
    </w:p>
    <w:p>
      <w:pPr>
        <w:pStyle w:val="Heading1"/>
        <w:widowControl/>
      </w:pPr>
      <w:r>
        <w:t>Architecture and executable contracts</w:t>
      </w:r>
    </w:p>
    <w:tbl>
      <w:tblPr>
        <w:tblStyle w:val="LightShading-Accent1"/>
        <w:tblW w:type="auto" w:w="0"/>
        <w:tblLayout w:type="fixed"/>
        <w:tblLook w:firstColumn="1" w:firstRow="1" w:lastColumn="0" w:lastRow="0" w:noHBand="0" w:noVBand="1" w:val="04A0"/>
      </w:tblPr>
      <w:tblGrid>
        <w:gridCol w:w="4831"/>
        <w:gridCol w:w="4831"/>
      </w:tblGrid>
      <w:tr>
        <w:trPr>
          <w:tblHeader/>
          <w:cantSplit/>
        </w:trPr>
        <w:tc>
          <w:tcPr>
            <w:tcW w:type="dxa" w:w="3024"/>
          </w:tcPr>
          <w:p>
            <w:pPr>
              <w:widowControl/>
            </w:pPr>
            <w:r>
              <w:t>Layer</w:t>
            </w:r>
          </w:p>
        </w:tc>
        <w:tc>
          <w:tcPr>
            <w:tcW w:type="dxa" w:w="6552"/>
          </w:tcPr>
          <w:p>
            <w:pPr>
              <w:widowControl/>
            </w:pPr>
            <w:r>
              <w:t>Responsibility</w:t>
            </w:r>
          </w:p>
        </w:tc>
      </w:tr>
      <w:tr>
        <w:trPr>
          <w:cantSplit/>
        </w:trPr>
        <w:tc>
          <w:tcPr>
            <w:tcW w:type="dxa" w:w="3024"/>
          </w:tcPr>
          <w:p>
            <w:pPr>
              <w:widowControl/>
              <w:spacing w:after="100"/>
            </w:pPr>
            <w:r>
              <w:rPr>
                <w:sz w:val="18"/>
              </w:rPr>
              <w:t>Book map and registry</w:t>
            </w:r>
          </w:p>
        </w:tc>
        <w:tc>
          <w:tcPr>
            <w:tcW w:type="dxa" w:w="6552"/>
          </w:tcPr>
          <w:p>
            <w:pPr>
              <w:widowControl/>
              <w:spacing w:after="100"/>
            </w:pPr>
            <w:r>
              <w:rPr>
                <w:sz w:val="18"/>
              </w:rPr>
              <w:t>Anchor a bounded question to a source chapter; declare method, defaults, units and ranges.</w:t>
            </w:r>
          </w:p>
        </w:tc>
      </w:tr>
      <w:tr>
        <w:trPr>
          <w:cantSplit/>
        </w:trPr>
        <w:tc>
          <w:tcPr>
            <w:tcW w:type="dxa" w:w="3024"/>
          </w:tcPr>
          <w:p>
            <w:pPr>
              <w:widowControl/>
              <w:spacing w:after="100"/>
            </w:pPr>
            <w:r>
              <w:rPr>
                <w:sz w:val="18"/>
              </w:rPr>
              <w:t>Scientific kernels</w:t>
            </w:r>
          </w:p>
        </w:tc>
        <w:tc>
          <w:tcPr>
            <w:tcW w:type="dxa" w:w="6552"/>
          </w:tcPr>
          <w:p>
            <w:pPr>
              <w:widowControl/>
              <w:spacing w:after="100"/>
            </w:pPr>
            <w:r>
              <w:rPr>
                <w:sz w:val="18"/>
              </w:rPr>
              <w:t>Run explicit equations or synthetic generators; expose omitted mechanisms and domain failures.</w:t>
            </w:r>
          </w:p>
        </w:tc>
      </w:tr>
      <w:tr>
        <w:trPr>
          <w:cantSplit/>
        </w:trPr>
        <w:tc>
          <w:tcPr>
            <w:tcW w:type="dxa" w:w="3024"/>
          </w:tcPr>
          <w:p>
            <w:pPr>
              <w:widowControl/>
              <w:spacing w:after="100"/>
            </w:pPr>
            <w:r>
              <w:rPr>
                <w:sz w:val="18"/>
              </w:rPr>
              <w:t>Acquisition and fitting</w:t>
            </w:r>
          </w:p>
        </w:tc>
        <w:tc>
          <w:tcPr>
            <w:tcW w:type="dxa" w:w="6552"/>
          </w:tcPr>
          <w:p>
            <w:pPr>
              <w:widowControl/>
              <w:spacing w:after="100"/>
            </w:pPr>
            <w:r>
              <w:rPr>
                <w:sz w:val="18"/>
              </w:rPr>
              <w:t>Read a narrow CSV schema and preserve train/test separation.</w:t>
            </w:r>
          </w:p>
        </w:tc>
      </w:tr>
      <w:tr>
        <w:trPr>
          <w:cantSplit/>
        </w:trPr>
        <w:tc>
          <w:tcPr>
            <w:tcW w:type="dxa" w:w="3024"/>
          </w:tcPr>
          <w:p>
            <w:pPr>
              <w:widowControl/>
              <w:spacing w:after="100"/>
            </w:pPr>
            <w:r>
              <w:rPr>
                <w:sz w:val="18"/>
              </w:rPr>
              <w:t>Evidence memory</w:t>
            </w:r>
          </w:p>
        </w:tc>
        <w:tc>
          <w:tcPr>
            <w:tcW w:type="dxa" w:w="6552"/>
          </w:tcPr>
          <w:p>
            <w:pPr>
              <w:widowControl/>
              <w:spacing w:after="100"/>
            </w:pPr>
            <w:r>
              <w:rPr>
                <w:sz w:val="18"/>
              </w:rPr>
              <w:t>Keep source records, interpretations and goals distinct; track invalid dependencies.</w:t>
            </w:r>
          </w:p>
        </w:tc>
      </w:tr>
      <w:tr>
        <w:trPr>
          <w:cantSplit/>
        </w:trPr>
        <w:tc>
          <w:tcPr>
            <w:tcW w:type="dxa" w:w="3024"/>
          </w:tcPr>
          <w:p>
            <w:pPr>
              <w:widowControl/>
              <w:spacing w:after="100"/>
            </w:pPr>
            <w:r>
              <w:rPr>
                <w:sz w:val="18"/>
              </w:rPr>
              <w:t>Capsules</w:t>
            </w:r>
          </w:p>
        </w:tc>
        <w:tc>
          <w:tcPr>
            <w:tcW w:type="dxa" w:w="6552"/>
          </w:tcPr>
          <w:p>
            <w:pPr>
              <w:widowControl/>
              <w:spacing w:after="100"/>
            </w:pPr>
            <w:r>
              <w:rPr>
                <w:sz w:val="18"/>
              </w:rPr>
              <w:t>Bind input, source identity, numerical result and event history; verify and rerun.</w:t>
            </w:r>
          </w:p>
        </w:tc>
      </w:tr>
      <w:tr>
        <w:trPr>
          <w:cantSplit/>
        </w:trPr>
        <w:tc>
          <w:tcPr>
            <w:tcW w:type="dxa" w:w="3024"/>
          </w:tcPr>
          <w:p>
            <w:pPr>
              <w:widowControl/>
              <w:spacing w:after="100"/>
            </w:pPr>
            <w:r>
              <w:rPr>
                <w:sz w:val="18"/>
              </w:rPr>
              <w:t>CLI and browser</w:t>
            </w:r>
          </w:p>
        </w:tc>
        <w:tc>
          <w:tcPr>
            <w:tcW w:type="dxa" w:w="6552"/>
          </w:tcPr>
          <w:p>
            <w:pPr>
              <w:widowControl/>
              <w:spacing w:after="100"/>
            </w:pPr>
            <w:r>
              <w:rPr>
                <w:sz w:val="18"/>
              </w:rPr>
              <w:t>Expose the same Python models. JS draws results; it does not reimplement the scientific equations.</w:t>
            </w:r>
          </w:p>
        </w:tc>
      </w:tr>
    </w:tbl>
    <w:p>
      <w:pPr>
        <w:widowControl/>
      </w:pPr>
    </w:p>
    <w:p>
      <w:pPr>
        <w:pStyle w:val="Heading2"/>
        <w:widowControl/>
      </w:pPr>
      <w:r>
        <w:t>Numbers have units and roles</w:t>
      </w:r>
    </w:p>
    <w:p>
      <w:pPr>
        <w:widowControl/>
      </w:pPr>
      <w:r>
        <w:t>Parameter identifiers include their native units. Numeric overrides can alternatively carry an explicit supported unit. Unknown unit names, incompatible dimensions, booleans passed as numbers, nonfinite values, duplicate JSON keys and unknown parameters are rejected. Conversion uses a whitelist; it is not an unrestricted symbolic algebra system.</w:t>
      </w:r>
    </w:p>
    <w:p>
      <w:pPr>
        <w:widowControl/>
      </w:pPr>
      <w:r>
        <w:t>For example, a time in seconds can be converted into a declared millisecond parameter, but an energy in J/mol cannot be used where J is required. Per-mole to per-event conversion is an explicit scientific transformation using Avogadro’s constant, not an arbitrary unit-label change.</w:t>
      </w:r>
    </w:p>
    <w:p>
      <w:pPr>
        <w:pStyle w:val="Heading2"/>
        <w:widowControl/>
      </w:pPr>
      <w:r>
        <w:t>The failure is part of the result contract</w:t>
      </w:r>
    </w:p>
    <w:p>
      <w:pPr>
        <w:widowControl/>
      </w:pPr>
      <w:r>
        <w:t>HH voltage and gate-domain failures are reported; invalid states are not quietly clipped. The cable solver enforces a conservative timestep/conductance guard. Resource exhaustion is an error, not a zero-floor trace. A method that fails under a changed input must not produce a reassuring-looking accepted capsule.</w:t>
      </w:r>
    </w:p>
    <w:p>
      <w:pPr>
        <w:widowControl/>
      </w:pPr>
      <w:r>
        <w:br w:type="page"/>
      </w:r>
    </w:p>
    <w:p>
      <w:pPr>
        <w:widowControl/>
      </w:pPr>
      <w:r>
        <w:rPr>
          <w:b/>
          <w:color w:val="177C82"/>
          <w:sz w:val="18"/>
        </w:rPr>
        <w:t>05 / MECHANISM: HH AND CLAMP</w:t>
      </w:r>
    </w:p>
    <w:p>
      <w:pPr>
        <w:pStyle w:val="Heading1"/>
        <w:widowControl/>
      </w:pPr>
      <w:r>
        <w:t>Excitable membrane with a charge ledger</w:t>
      </w:r>
    </w:p>
    <w:p>
      <w:pPr>
        <w:widowControl/>
      </w:pPr>
      <w:r>
        <w:t>The membrane implements canonical Hodgkin–Huxley kinetics for a space-clamped squid-axon model at the standard 6.3 °C convention. It is not calibrated to a human neuron. The absolute voltage convention rests near −65 mV; the official Brian2 example uses a relative-to-rest convention. The relationship is explicitly Vabsolute=Vrelative−65 mV.</w:t>
      </w:r>
    </w:p>
    <w:p>
      <w:pPr>
        <w:pStyle w:val="Code"/>
        <w:widowControl/>
      </w:pPr>
      <w:r>
        <w:t>C dV/dt = Iext - gNa m^3 h (V-ENa) - gK n^4 (V-EK) - gL (V-EL)</w:t>
      </w:r>
    </w:p>
    <w:p>
      <w:pPr>
        <w:pStyle w:val="Code"/>
        <w:widowControl/>
      </w:pPr>
      <w:r>
        <w:t>dx/dt = alpha_x(V) (1-x) - beta_x(V) x</w:t>
      </w:r>
    </w:p>
    <w:p>
      <w:pPr>
        <w:widowControl/>
      </w:pPr>
      <w:r>
        <w:t>Fixed reversal potentials are ENa=50 mV, EK=−77 mV and EL=−54.387 mV. Canonical maximum conductances are 120, 36 and 0.3 mS/cm². The solver aligns steps with current-pulse boundaries and integrates signed currents with the same RK4 quadrature as voltage.</w:t>
      </w:r>
    </w:p>
    <w:tbl>
      <w:tblPr>
        <w:tblStyle w:val="LightShading-Accent1"/>
        <w:tblW w:type="auto" w:w="0"/>
        <w:tblLayout w:type="fixed"/>
        <w:tblLook w:firstColumn="1" w:firstRow="1" w:lastColumn="0" w:lastRow="0" w:noHBand="0" w:noVBand="1" w:val="04A0"/>
      </w:tblPr>
      <w:tblGrid>
        <w:gridCol w:w="4831"/>
        <w:gridCol w:w="4831"/>
      </w:tblGrid>
      <w:tr>
        <w:trPr>
          <w:tblHeader/>
          <w:cantSplit/>
        </w:trPr>
        <w:tc>
          <w:tcPr>
            <w:tcW w:type="dxa" w:w="4896"/>
          </w:tcPr>
          <w:p>
            <w:pPr>
              <w:widowControl/>
            </w:pPr>
            <w:r>
              <w:t>Default outcome</w:t>
            </w:r>
          </w:p>
        </w:tc>
        <w:tc>
          <w:tcPr>
            <w:tcW w:type="dxa" w:w="4680"/>
          </w:tcPr>
          <w:p>
            <w:pPr>
              <w:widowControl/>
            </w:pPr>
            <w:r>
              <w:t>Computed value</w:t>
            </w:r>
          </w:p>
        </w:tc>
      </w:tr>
      <w:tr>
        <w:trPr>
          <w:cantSplit/>
        </w:trPr>
        <w:tc>
          <w:tcPr>
            <w:tcW w:type="dxa" w:w="4896"/>
          </w:tcPr>
          <w:p>
            <w:pPr>
              <w:widowControl/>
              <w:spacing w:after="100"/>
            </w:pPr>
            <w:r>
              <w:rPr>
                <w:sz w:val="18"/>
              </w:rPr>
              <w:t>Spikes crossing 0 mV upward</w:t>
            </w:r>
          </w:p>
        </w:tc>
        <w:tc>
          <w:tcPr>
            <w:tcW w:type="dxa" w:w="4680"/>
          </w:tcPr>
          <w:p>
            <w:pPr>
              <w:widowControl/>
              <w:spacing w:after="100"/>
            </w:pPr>
            <w:r>
              <w:rPr>
                <w:sz w:val="18"/>
              </w:rPr>
              <w:t>2</w:t>
            </w:r>
          </w:p>
        </w:tc>
      </w:tr>
      <w:tr>
        <w:trPr>
          <w:cantSplit/>
        </w:trPr>
        <w:tc>
          <w:tcPr>
            <w:tcW w:type="dxa" w:w="4896"/>
          </w:tcPr>
          <w:p>
            <w:pPr>
              <w:widowControl/>
              <w:spacing w:after="100"/>
            </w:pPr>
            <w:r>
              <w:rPr>
                <w:sz w:val="18"/>
              </w:rPr>
              <w:t>Peak membrane voltage</w:t>
            </w:r>
          </w:p>
        </w:tc>
        <w:tc>
          <w:tcPr>
            <w:tcW w:type="dxa" w:w="4680"/>
          </w:tcPr>
          <w:p>
            <w:pPr>
              <w:widowControl/>
              <w:spacing w:after="100"/>
            </w:pPr>
            <w:r>
              <w:rPr>
                <w:sz w:val="18"/>
              </w:rPr>
              <w:t>40.2232 mV</w:t>
            </w:r>
          </w:p>
        </w:tc>
      </w:tr>
      <w:tr>
        <w:trPr>
          <w:cantSplit/>
        </w:trPr>
        <w:tc>
          <w:tcPr>
            <w:tcW w:type="dxa" w:w="4896"/>
          </w:tcPr>
          <w:p>
            <w:pPr>
              <w:widowControl/>
              <w:spacing w:after="100"/>
            </w:pPr>
            <w:r>
              <w:rPr>
                <w:sz w:val="18"/>
              </w:rPr>
              <w:t>Maximum charge residual</w:t>
            </w:r>
          </w:p>
        </w:tc>
        <w:tc>
          <w:tcPr>
            <w:tcW w:type="dxa" w:w="4680"/>
          </w:tcPr>
          <w:p>
            <w:pPr>
              <w:widowControl/>
              <w:spacing w:after="100"/>
            </w:pPr>
            <w:r>
              <w:rPr>
                <w:sz w:val="18"/>
              </w:rPr>
              <w:t>5.8522 × 10⁻¹² nC/cm²</w:t>
            </w:r>
          </w:p>
        </w:tc>
      </w:tr>
      <w:tr>
        <w:trPr>
          <w:cantSplit/>
        </w:trPr>
        <w:tc>
          <w:tcPr>
            <w:tcW w:type="dxa" w:w="4896"/>
          </w:tcPr>
          <w:p>
            <w:pPr>
              <w:widowControl/>
              <w:spacing w:after="100"/>
            </w:pPr>
            <w:r>
              <w:rPr>
                <w:sz w:val="18"/>
              </w:rPr>
              <w:t>Ideal sodium restoration budget</w:t>
            </w:r>
          </w:p>
        </w:tc>
        <w:tc>
          <w:tcPr>
            <w:tcW w:type="dxa" w:w="4680"/>
          </w:tcPr>
          <w:p>
            <w:pPr>
              <w:widowControl/>
              <w:spacing w:after="100"/>
            </w:pPr>
            <w:r>
              <w:rPr>
                <w:sz w:val="18"/>
              </w:rPr>
              <w:t>4.5681 × 10⁻⁷ J/cm²</w:t>
            </w:r>
          </w:p>
        </w:tc>
      </w:tr>
      <w:tr>
        <w:trPr>
          <w:cantSplit/>
        </w:trPr>
        <w:tc>
          <w:tcPr>
            <w:tcW w:type="dxa" w:w="4896"/>
          </w:tcPr>
          <w:p>
            <w:pPr>
              <w:widowControl/>
              <w:spacing w:after="100"/>
            </w:pPr>
            <w:r>
              <w:rPr>
                <w:sz w:val="18"/>
              </w:rPr>
              <w:t>Integrated ionic dissipation</w:t>
            </w:r>
          </w:p>
        </w:tc>
        <w:tc>
          <w:tcPr>
            <w:tcW w:type="dxa" w:w="4680"/>
          </w:tcPr>
          <w:p>
            <w:pPr>
              <w:widowControl/>
              <w:spacing w:after="100"/>
            </w:pPr>
            <w:r>
              <w:rPr>
                <w:sz w:val="18"/>
              </w:rPr>
              <w:t>3.4348 × 10⁻⁷ J/cm²</w:t>
            </w:r>
          </w:p>
        </w:tc>
      </w:tr>
    </w:tbl>
    <w:p>
      <w:pPr>
        <w:widowControl/>
      </w:pPr>
    </w:p>
    <w:p>
      <w:pPr>
        <w:widowControl/>
      </w:pPr>
      <w:r>
        <w:t>The last two rows are distinct ledgers. Sodium charge is converted through F, three sodium ions per ATP and an assumed 50 kJ/mol ATP free-energy magnitude. It includes resting sodium influx over the simulated interval. Conductance dissipation uses g(V−E)². Neither is total cellular metabolism; adding them would risk double counting and mismatched physical interpretation.</w:t>
      </w:r>
    </w:p>
    <w:p>
      <w:pPr>
        <w:widowControl/>
      </w:pPr>
      <w:r>
        <w:t>The clamp experiment returns steady gate fractions and time constants. Removable rate singularities at −40 and −55 mV use stable limit evaluation. These calculations are not a stimulation protocol for a person or animal.</w:t>
      </w:r>
    </w:p>
    <w:p>
      <w:pPr>
        <w:widowControl/>
      </w:pPr>
      <w:r>
        <w:br w:type="page"/>
      </w:r>
    </w:p>
    <w:p>
      <w:pPr>
        <w:widowControl/>
      </w:pPr>
      <w:r>
        <w:rPr>
          <w:b/>
          <w:color w:val="177C82"/>
          <w:sz w:val="18"/>
        </w:rPr>
        <w:t>06 / CABLE AND SYNAPSE</w:t>
      </w:r>
    </w:p>
    <w:p>
      <w:pPr>
        <w:pStyle w:val="Heading1"/>
        <w:widowControl/>
      </w:pPr>
      <w:r>
        <w:t>Space and stochasticity</w:t>
      </w:r>
    </w:p>
    <w:p>
      <w:pPr>
        <w:pStyle w:val="Heading2"/>
        <w:widowControl/>
      </w:pPr>
      <w:r>
        <w:t>A passive cable is more than a single voltage</w:t>
      </w:r>
    </w:p>
    <w:p>
      <w:pPr>
        <w:pStyle w:val="Code"/>
        <w:widowControl/>
      </w:pPr>
      <w:r>
        <w:t>C_i dV_i/dt = I_i - gL V_i + gA Σ_neighbors(V_j - V_i)</w:t>
      </w:r>
    </w:p>
    <w:p>
      <w:pPr>
        <w:widowControl/>
      </w:pPr>
      <w:r>
        <w:t>The cable consists of sealed identical passive compartments. Voltage is displacement from rest; C is in pF, conductance in nS and current in pA. Axial terms cancel in the summed charge balance. The measured residual therefore checks total capacitive change against input charge minus leakage.</w:t>
      </w:r>
    </w:p>
    <w:p>
      <w:pPr>
        <w:widowControl/>
      </w:pPr>
      <w:r>
        <w:t>Changing axial coupling changes spatial attenuation. In the default example, distal voltage is about 0.09966 of proximal voltage at the final time. This ratio is conditional on the specified length in compartments, conductances and simulation horizon. It is not an axonal conduction velocity or a diagnosis of demyelination.</w:t>
      </w:r>
    </w:p>
    <w:p>
      <w:pPr>
        <w:pStyle w:val="Heading2"/>
        <w:widowControl/>
      </w:pPr>
      <w:r>
        <w:t>An exact synaptic reference beside finite samples</w:t>
      </w:r>
    </w:p>
    <w:p>
      <w:pPr>
        <w:pStyle w:val="Code"/>
        <w:widowControl/>
      </w:pPr>
      <w:r>
        <w:t>K ~ Binomial(N,p)</w:t>
      </w:r>
    </w:p>
    <w:p>
      <w:pPr>
        <w:pStyle w:val="Code"/>
        <w:widowControl/>
      </w:pPr>
      <w:r>
        <w:t>E[K] = Np; Var(K) = Np(1-p); P(K=0) = (1-p)^N</w:t>
      </w:r>
    </w:p>
    <w:p>
      <w:pPr>
        <w:widowControl/>
      </w:pPr>
      <w:r>
        <w:t>The release experiment compares a seeded sample of independent release events with the exact distribution. With eight sites and p=0.25, expected release count is 2, variance is 1.5, and all-site failure probability is about 0.10011. Sample estimates fluctuate; that discrepancy is not automatically a software bug.</w:t>
      </w:r>
    </w:p>
    <w:p>
      <w:pPr>
        <w:widowControl/>
      </w:pPr>
      <w:r>
        <w:t>Independence and constant p are declared assumptions. Short-term facilitation, vesicle depletion, correlated release and heterogeneous sites are not included. A future extension must change the generator and its tests, not merely reinterpret the existing binomial output as all those mechanisms.</w:t>
      </w:r>
    </w:p>
    <w:p>
      <w:pPr>
        <w:pStyle w:val="Heading2"/>
        <w:widowControl/>
      </w:pPr>
      <w:r>
        <w:t>Inspect a contrast</w:t>
      </w:r>
    </w:p>
    <w:p>
      <w:pPr>
        <w:widowControl/>
      </w:pPr>
      <w:r>
        <w:t>Run cable with zero axial conductance and check distal response; run release with p=0 and p=1 and check its exact limiting distribution. These tests supply grounded failure/limit cases before complex biological interpretation.</w:t>
      </w:r>
    </w:p>
    <w:p>
      <w:pPr>
        <w:widowControl/>
      </w:pPr>
      <w:r>
        <w:br w:type="page"/>
      </w:r>
    </w:p>
    <w:p>
      <w:pPr>
        <w:widowControl/>
      </w:pPr>
      <w:r>
        <w:rPr>
          <w:b/>
          <w:color w:val="177C82"/>
          <w:sz w:val="18"/>
        </w:rPr>
        <w:t>07 / OBSERVATION AND CAUSALITY</w:t>
      </w:r>
    </w:p>
    <w:p>
      <w:pPr>
        <w:pStyle w:val="Heading1"/>
        <w:widowControl/>
      </w:pPr>
      <w:r>
        <w:t>A curve is not a unique mechanism</w:t>
      </w:r>
    </w:p>
    <w:p>
      <w:pPr>
        <w:pStyle w:val="Heading2"/>
        <w:widowControl/>
      </w:pPr>
      <w:r>
        <w:t>Same wiring, different dynamics</w:t>
      </w:r>
    </w:p>
    <w:p>
      <w:pPr>
        <w:widowControl/>
      </w:pPr>
      <w:r>
        <w:t>The two-state network keeps the same unsigned adjacency but changes a recurrent interaction sign. A positive loop and an opponent-sign loop have different eigenvalues and exact trajectories. The example isolates why a connection diagram alone does not determine a system’s dynamics.</w:t>
      </w:r>
    </w:p>
    <w:p>
      <w:pPr>
        <w:pStyle w:val="Heading2"/>
        <w:widowControl/>
      </w:pPr>
      <w:r>
        <w:t>Same output, different hidden state</w:t>
      </w:r>
    </w:p>
    <w:p>
      <w:pPr>
        <w:pStyle w:val="Code"/>
        <w:widowControl/>
      </w:pPr>
      <w:r>
        <w:t>x1(t)=x1(0) exp(-a t); x2(t)=x2(0) exp(-a t)</w:t>
      </w:r>
    </w:p>
    <w:p>
      <w:pPr>
        <w:pStyle w:val="Code"/>
        <w:widowControl/>
      </w:pPr>
      <w:r>
        <w:t>y(t)=x1(t)+x2(t)</w:t>
      </w:r>
    </w:p>
    <w:p>
      <w:pPr>
        <w:widowControl/>
      </w:pPr>
      <w:r>
        <w:t>Different initial splits with the same sum produce identical sum-sensor traces. Adding a selective sensor changes observability. The code reports both the output equivalence and hidden-state difference rather than declaring that a perfect output fit identifies the internal state.</w:t>
      </w:r>
    </w:p>
    <w:p>
      <w:pPr>
        <w:pStyle w:val="Heading2"/>
        <w:widowControl/>
      </w:pPr>
      <w:r>
        <w:t>Same samples, different source frequency</w:t>
      </w:r>
    </w:p>
    <w:p>
      <w:pPr>
        <w:widowControl/>
      </w:pPr>
      <w:r>
        <w:t>A 90 Hz cosine sampled at 100 Hz has the same sample sequence as a 10 Hz cosine in the stated example. The alias experiment compares the values directly. It does not implement anti-alias filtering, and a matching discrete sequence cannot establish which continuous source actually generated the measurements.</w:t>
      </w:r>
    </w:p>
    <w:p>
      <w:pPr>
        <w:pStyle w:val="Heading2"/>
        <w:widowControl/>
      </w:pPr>
      <w:r>
        <w:t>Sensitivity, report and experience remain distinct</w:t>
      </w:r>
    </w:p>
    <w:p>
      <w:pPr>
        <w:widowControl/>
      </w:pPr>
      <w:r>
        <w:t>The Gaussian detection experiment changes criterion separately from d-prime. The access experiment combines a task decision with an independent report gate. It can show preserved task correctness despite sparse reports; it cannot infer phenomenal experience because its generator contains no experience variable. No composite consciousness score is returned.</w:t>
      </w:r>
    </w:p>
    <w:p>
      <w:pPr>
        <w:widowControl/>
      </w:pPr>
      <w:r>
        <w:t>These counterexamples are tests of inferential limits under known generators. They are not a conclusion that neuroscience cannot discover mechanisms. Their use is to identify which additional observation or intervention would actually distinguish candidates.</w:t>
      </w:r>
    </w:p>
    <w:p>
      <w:pPr>
        <w:widowControl/>
      </w:pPr>
      <w:r>
        <w:br w:type="page"/>
      </w:r>
    </w:p>
    <w:p>
      <w:pPr>
        <w:widowControl/>
      </w:pPr>
      <w:r>
        <w:rPr>
          <w:b/>
          <w:color w:val="177C82"/>
          <w:sz w:val="18"/>
        </w:rPr>
        <w:t>08 / SOURCE: SECTION 18.16</w:t>
      </w:r>
    </w:p>
    <w:p>
      <w:pPr>
        <w:pStyle w:val="Heading1"/>
        <w:widowControl/>
      </w:pPr>
      <w:r>
        <w:t>Programme I: matched cues and remapping</w:t>
      </w:r>
    </w:p>
    <w:p>
      <w:pPr>
        <w:widowControl/>
      </w:pPr>
      <w:r>
        <w:t>The book proposes comparing the functional effects of signal correspondence while controlling what facts and resources a system receives. The delivered task uses the same noisy binary cue stream, action set and initial state for frozen, delayed, offline-permuted and adaptive policies. A hidden correspondence reversal occurs halfway through each run.</w:t>
      </w:r>
    </w:p>
    <w:p>
      <w:pPr>
        <w:widowControl/>
      </w:pPr>
      <w:r>
        <w:t>The current truth is not visible before choosing an action. Every policy receives the outcome afterward; only the adaptive rule uses it to update its mapping estimate. The permuted arm preserves a marginal sequence but is explicitly an offline negative control, not a deployable real-time sensing policy.</w:t>
      </w:r>
    </w:p>
    <w:p>
      <w:pPr>
        <w:pStyle w:val="Code"/>
        <w:widowControl/>
      </w:pPr>
      <w:r>
        <w:t>q[t+1] = (1-alpha) q[t] + alpha cue[t] truth[t]</w:t>
      </w:r>
    </w:p>
    <w:tbl>
      <w:tblPr>
        <w:tblStyle w:val="LightShading-Accent1"/>
        <w:tblW w:type="auto" w:w="0"/>
        <w:tblLayout w:type="fixed"/>
        <w:tblLook w:firstColumn="1" w:firstRow="1" w:lastColumn="0" w:lastRow="0" w:noHBand="0" w:noVBand="1" w:val="04A0"/>
      </w:tblPr>
      <w:tblGrid>
        <w:gridCol w:w="3221"/>
        <w:gridCol w:w="3221"/>
        <w:gridCol w:w="3221"/>
      </w:tblGrid>
      <w:tr>
        <w:trPr>
          <w:tblHeader/>
          <w:cantSplit/>
        </w:trPr>
        <w:tc>
          <w:tcPr>
            <w:tcW w:type="dxa" w:w="3312"/>
          </w:tcPr>
          <w:p>
            <w:pPr>
              <w:widowControl/>
            </w:pPr>
            <w:r>
              <w:t>Policy</w:t>
            </w:r>
          </w:p>
        </w:tc>
        <w:tc>
          <w:tcPr>
            <w:tcW w:type="dxa" w:w="3024"/>
          </w:tcPr>
          <w:p>
            <w:pPr>
              <w:widowControl/>
            </w:pPr>
            <w:r>
              <w:t>Post-shift accuracy</w:t>
            </w:r>
          </w:p>
        </w:tc>
        <w:tc>
          <w:tcPr>
            <w:tcW w:type="dxa" w:w="3240"/>
          </w:tcPr>
          <w:p>
            <w:pPr>
              <w:widowControl/>
            </w:pPr>
            <w:r>
              <w:t>Conditional cost</w:t>
            </w:r>
          </w:p>
        </w:tc>
      </w:tr>
      <w:tr>
        <w:trPr>
          <w:cantSplit/>
        </w:trPr>
        <w:tc>
          <w:tcPr>
            <w:tcW w:type="dxa" w:w="3312"/>
          </w:tcPr>
          <w:p>
            <w:pPr>
              <w:widowControl/>
              <w:spacing w:after="100"/>
            </w:pPr>
            <w:r>
              <w:rPr>
                <w:sz w:val="18"/>
              </w:rPr>
              <w:t>Frozen</w:t>
            </w:r>
          </w:p>
        </w:tc>
        <w:tc>
          <w:tcPr>
            <w:tcW w:type="dxa" w:w="3024"/>
          </w:tcPr>
          <w:p>
            <w:pPr>
              <w:widowControl/>
              <w:spacing w:after="100"/>
            </w:pPr>
            <w:r>
              <w:rPr>
                <w:sz w:val="18"/>
              </w:rPr>
              <w:t>0.14850</w:t>
            </w:r>
          </w:p>
        </w:tc>
        <w:tc>
          <w:tcPr>
            <w:tcW w:type="dxa" w:w="3240"/>
          </w:tcPr>
          <w:p>
            <w:pPr>
              <w:widowControl/>
              <w:spacing w:after="100"/>
            </w:pPr>
            <w:r>
              <w:rPr>
                <w:sz w:val="18"/>
              </w:rPr>
              <w:t>500 nJ</w:t>
            </w:r>
          </w:p>
        </w:tc>
      </w:tr>
      <w:tr>
        <w:trPr>
          <w:cantSplit/>
        </w:trPr>
        <w:tc>
          <w:tcPr>
            <w:tcW w:type="dxa" w:w="3312"/>
          </w:tcPr>
          <w:p>
            <w:pPr>
              <w:widowControl/>
              <w:spacing w:after="100"/>
            </w:pPr>
            <w:r>
              <w:rPr>
                <w:sz w:val="18"/>
              </w:rPr>
              <w:t>Delayed</w:t>
            </w:r>
          </w:p>
        </w:tc>
        <w:tc>
          <w:tcPr>
            <w:tcW w:type="dxa" w:w="3024"/>
          </w:tcPr>
          <w:p>
            <w:pPr>
              <w:widowControl/>
              <w:spacing w:after="100"/>
            </w:pPr>
            <w:r>
              <w:rPr>
                <w:sz w:val="18"/>
              </w:rPr>
              <w:t>0.50000</w:t>
            </w:r>
          </w:p>
        </w:tc>
        <w:tc>
          <w:tcPr>
            <w:tcW w:type="dxa" w:w="3240"/>
          </w:tcPr>
          <w:p>
            <w:pPr>
              <w:widowControl/>
              <w:spacing w:after="100"/>
            </w:pPr>
            <w:r>
              <w:rPr>
                <w:sz w:val="18"/>
              </w:rPr>
              <w:t>500 nJ</w:t>
            </w:r>
          </w:p>
        </w:tc>
      </w:tr>
      <w:tr>
        <w:trPr>
          <w:cantSplit/>
        </w:trPr>
        <w:tc>
          <w:tcPr>
            <w:tcW w:type="dxa" w:w="3312"/>
          </w:tcPr>
          <w:p>
            <w:pPr>
              <w:widowControl/>
              <w:spacing w:after="100"/>
            </w:pPr>
            <w:r>
              <w:rPr>
                <w:sz w:val="18"/>
              </w:rPr>
              <w:t>Offline-permuted</w:t>
            </w:r>
          </w:p>
        </w:tc>
        <w:tc>
          <w:tcPr>
            <w:tcW w:type="dxa" w:w="3024"/>
          </w:tcPr>
          <w:p>
            <w:pPr>
              <w:widowControl/>
              <w:spacing w:after="100"/>
            </w:pPr>
            <w:r>
              <w:rPr>
                <w:sz w:val="18"/>
              </w:rPr>
              <w:t>0.49683</w:t>
            </w:r>
          </w:p>
        </w:tc>
        <w:tc>
          <w:tcPr>
            <w:tcW w:type="dxa" w:w="3240"/>
          </w:tcPr>
          <w:p>
            <w:pPr>
              <w:widowControl/>
              <w:spacing w:after="100"/>
            </w:pPr>
            <w:r>
              <w:rPr>
                <w:sz w:val="18"/>
              </w:rPr>
              <w:t>500 nJ</w:t>
            </w:r>
          </w:p>
        </w:tc>
      </w:tr>
      <w:tr>
        <w:trPr>
          <w:cantSplit/>
        </w:trPr>
        <w:tc>
          <w:tcPr>
            <w:tcW w:type="dxa" w:w="3312"/>
          </w:tcPr>
          <w:p>
            <w:pPr>
              <w:widowControl/>
              <w:spacing w:after="100"/>
            </w:pPr>
            <w:r>
              <w:rPr>
                <w:sz w:val="18"/>
              </w:rPr>
              <w:t>Adaptive</w:t>
            </w:r>
          </w:p>
        </w:tc>
        <w:tc>
          <w:tcPr>
            <w:tcW w:type="dxa" w:w="3024"/>
          </w:tcPr>
          <w:p>
            <w:pPr>
              <w:widowControl/>
              <w:spacing w:after="100"/>
            </w:pPr>
            <w:r>
              <w:rPr>
                <w:sz w:val="18"/>
              </w:rPr>
              <w:t>0.82583</w:t>
            </w:r>
          </w:p>
        </w:tc>
        <w:tc>
          <w:tcPr>
            <w:tcW w:type="dxa" w:w="3240"/>
          </w:tcPr>
          <w:p>
            <w:pPr>
              <w:widowControl/>
              <w:spacing w:after="100"/>
            </w:pPr>
            <w:r>
              <w:rPr>
                <w:sz w:val="18"/>
              </w:rPr>
              <w:t>525 nJ</w:t>
            </w:r>
          </w:p>
        </w:tc>
      </w:tr>
    </w:tbl>
    <w:p>
      <w:pPr>
        <w:widowControl/>
      </w:pPr>
    </w:p>
    <w:p>
      <w:pPr>
        <w:widowControl/>
      </w:pPr>
      <w:r>
        <w:t>Default results average 24 paired random seeds, with 500 actions and observations per seed. The adaptive-minus-frozen post-shift difference is 0.67733; its normal-approximation interval across paired seeds is about [0.66109,0.69358]. These are task-level randomization results, not biological population estimates.</w:t>
      </w:r>
    </w:p>
    <w:p>
      <w:pPr>
        <w:widowControl/>
      </w:pPr>
      <w:r>
        <w:t>Additional update cost is visible. Equal action and sensor counts do not mean equal total cost. The coefficients are user-declared synthetic nJ assumptions, not device power measurements. The result supports a mechanism contrast in this reversal task; it does not establish universal DIKWP superiority or immutable signal semantics.</w:t>
      </w:r>
    </w:p>
    <w:p>
      <w:pPr>
        <w:widowControl/>
      </w:pPr>
      <w:r>
        <w:br w:type="page"/>
      </w:r>
    </w:p>
    <w:p>
      <w:pPr>
        <w:widowControl/>
      </w:pPr>
      <w:r>
        <w:rPr>
          <w:b/>
          <w:color w:val="177C82"/>
          <w:sz w:val="18"/>
        </w:rPr>
        <w:t>09 / SOURCE: SECTIONS 18.15–18.16</w:t>
      </w:r>
    </w:p>
    <w:p>
      <w:pPr>
        <w:pStyle w:val="Heading1"/>
        <w:widowControl/>
      </w:pPr>
      <w:r>
        <w:t>Programme II: reconstructive evidence memory</w:t>
      </w:r>
    </w:p>
    <w:p>
      <w:pPr>
        <w:widowControl/>
      </w:pPr>
      <w:r>
        <w:t>An initial trace is interpreted using a calibration assumption. New evidence retracts that calibration and supports a revised interpretation; the research goal then changes. The raw event must remain what was recorded. An updated explanation must not rewrite the earlier source or make the new goal appear to have always been present.</w:t>
      </w:r>
    </w:p>
    <w:p>
      <w:pPr>
        <w:widowControl/>
      </w:pPr>
      <w:r>
        <w:t>Three actual stored representations process the same eight-operation stream: a current summary, a current dependency graph and an append-only versioned graph. Four public queries recover retained values: the raw event, the invalidated dependent interpretation at retraction, the current corrected interpretation and the previous goal. The comparison computes answers from the representations rather than awarding an architecture a score by its name.</w:t>
      </w:r>
    </w:p>
    <w:tbl>
      <w:tblPr>
        <w:tblStyle w:val="LightShading-Accent1"/>
        <w:tblW w:type="auto" w:w="0"/>
        <w:tblLayout w:type="fixed"/>
        <w:tblLook w:firstColumn="1" w:firstRow="1" w:lastColumn="0" w:lastRow="0" w:noHBand="0" w:noVBand="1" w:val="04A0"/>
      </w:tblPr>
      <w:tblGrid>
        <w:gridCol w:w="3221"/>
        <w:gridCol w:w="3221"/>
        <w:gridCol w:w="3221"/>
      </w:tblGrid>
      <w:tr>
        <w:trPr>
          <w:tblHeader/>
          <w:cantSplit/>
        </w:trPr>
        <w:tc>
          <w:tcPr>
            <w:tcW w:type="dxa" w:w="4464"/>
          </w:tcPr>
          <w:p>
            <w:pPr>
              <w:widowControl/>
            </w:pPr>
            <w:r>
              <w:t>Representation</w:t>
            </w:r>
          </w:p>
        </w:tc>
        <w:tc>
          <w:tcPr>
            <w:tcW w:type="dxa" w:w="2016"/>
          </w:tcPr>
          <w:p>
            <w:pPr>
              <w:widowControl/>
            </w:pPr>
            <w:r>
              <w:t>Queries passed</w:t>
            </w:r>
          </w:p>
        </w:tc>
        <w:tc>
          <w:tcPr>
            <w:tcW w:type="dxa" w:w="3096"/>
          </w:tcPr>
          <w:p>
            <w:pPr>
              <w:widowControl/>
            </w:pPr>
            <w:r>
              <w:t>Serialized bytes</w:t>
            </w:r>
          </w:p>
        </w:tc>
      </w:tr>
      <w:tr>
        <w:trPr>
          <w:cantSplit/>
        </w:trPr>
        <w:tc>
          <w:tcPr>
            <w:tcW w:type="dxa" w:w="4464"/>
          </w:tcPr>
          <w:p>
            <w:pPr>
              <w:widowControl/>
              <w:spacing w:after="100"/>
            </w:pPr>
            <w:r>
              <w:rPr>
                <w:sz w:val="18"/>
              </w:rPr>
              <w:t>Summary only</w:t>
            </w:r>
          </w:p>
        </w:tc>
        <w:tc>
          <w:tcPr>
            <w:tcW w:type="dxa" w:w="2016"/>
          </w:tcPr>
          <w:p>
            <w:pPr>
              <w:widowControl/>
              <w:spacing w:after="100"/>
            </w:pPr>
            <w:r>
              <w:rPr>
                <w:sz w:val="18"/>
              </w:rPr>
              <w:t>1 of 4</w:t>
            </w:r>
          </w:p>
        </w:tc>
        <w:tc>
          <w:tcPr>
            <w:tcW w:type="dxa" w:w="3096"/>
          </w:tcPr>
          <w:p>
            <w:pPr>
              <w:widowControl/>
              <w:spacing w:after="100"/>
            </w:pPr>
            <w:r>
              <w:rPr>
                <w:sz w:val="18"/>
              </w:rPr>
              <w:t>175</w:t>
            </w:r>
          </w:p>
        </w:tc>
      </w:tr>
      <w:tr>
        <w:trPr>
          <w:cantSplit/>
        </w:trPr>
        <w:tc>
          <w:tcPr>
            <w:tcW w:type="dxa" w:w="4464"/>
          </w:tcPr>
          <w:p>
            <w:pPr>
              <w:widowControl/>
              <w:spacing w:after="100"/>
            </w:pPr>
            <w:r>
              <w:rPr>
                <w:sz w:val="18"/>
              </w:rPr>
              <w:t>Current dependency graph</w:t>
            </w:r>
          </w:p>
        </w:tc>
        <w:tc>
          <w:tcPr>
            <w:tcW w:type="dxa" w:w="2016"/>
          </w:tcPr>
          <w:p>
            <w:pPr>
              <w:widowControl/>
              <w:spacing w:after="100"/>
            </w:pPr>
            <w:r>
              <w:rPr>
                <w:sz w:val="18"/>
              </w:rPr>
              <w:t>3 of 4</w:t>
            </w:r>
          </w:p>
        </w:tc>
        <w:tc>
          <w:tcPr>
            <w:tcW w:type="dxa" w:w="3096"/>
          </w:tcPr>
          <w:p>
            <w:pPr>
              <w:widowControl/>
              <w:spacing w:after="100"/>
            </w:pPr>
            <w:r>
              <w:rPr>
                <w:sz w:val="18"/>
              </w:rPr>
              <w:t>860</w:t>
            </w:r>
          </w:p>
        </w:tc>
      </w:tr>
      <w:tr>
        <w:trPr>
          <w:cantSplit/>
        </w:trPr>
        <w:tc>
          <w:tcPr>
            <w:tcW w:type="dxa" w:w="4464"/>
          </w:tcPr>
          <w:p>
            <w:pPr>
              <w:widowControl/>
              <w:spacing w:after="100"/>
            </w:pPr>
            <w:r>
              <w:rPr>
                <w:sz w:val="18"/>
              </w:rPr>
              <w:t>Versioned dependency graph</w:t>
            </w:r>
          </w:p>
        </w:tc>
        <w:tc>
          <w:tcPr>
            <w:tcW w:type="dxa" w:w="2016"/>
          </w:tcPr>
          <w:p>
            <w:pPr>
              <w:widowControl/>
              <w:spacing w:after="100"/>
            </w:pPr>
            <w:r>
              <w:rPr>
                <w:sz w:val="18"/>
              </w:rPr>
              <w:t>4 of 4</w:t>
            </w:r>
          </w:p>
        </w:tc>
        <w:tc>
          <w:tcPr>
            <w:tcW w:type="dxa" w:w="3096"/>
          </w:tcPr>
          <w:p>
            <w:pPr>
              <w:widowControl/>
              <w:spacing w:after="100"/>
            </w:pPr>
            <w:r>
              <w:rPr>
                <w:sz w:val="18"/>
              </w:rPr>
              <w:t>3,218</w:t>
            </w:r>
          </w:p>
        </w:tc>
      </w:tr>
    </w:tbl>
    <w:p>
      <w:pPr>
        <w:widowControl/>
      </w:pPr>
    </w:p>
    <w:p>
      <w:pPr>
        <w:widowControl/>
      </w:pPr>
      <w:r>
        <w:t>All fit under the default 16,000-byte reporting cap. The cap is not an enforced RAM allocator; bytes measure serialization, not full process memory. More retained history consumes more storage. A one-byte cap correctly flags all three representations as over budget without pretending they were run under an enforced one-byte memory constraint.</w:t>
      </w:r>
    </w:p>
    <w:p>
      <w:pPr>
        <w:widowControl/>
      </w:pPr>
      <w:r>
        <w:t>The four tasks are deliberately constructed software regression tasks, not an independent cognitive benchmark. A biological brain is not asserted to contain JSON events or DIKWP labels. Independent event streams and budget-limited storage policies are required before generalizing this result.</w:t>
      </w:r>
    </w:p>
    <w:p>
      <w:pPr>
        <w:widowControl/>
      </w:pPr>
      <w:r>
        <w:t>The EvidenceStore API keeps raw/source records immutable, permits interpretation revisions, rejects cycles and missing dependencies, propagates invalidity, and replays a prefix to restore a previous goal. Hashes protect ordering only relative to a trusted reference.</w:t>
      </w:r>
    </w:p>
    <w:p>
      <w:pPr>
        <w:widowControl/>
      </w:pPr>
      <w:r>
        <w:br w:type="page"/>
      </w:r>
    </w:p>
    <w:p>
      <w:pPr>
        <w:widowControl/>
      </w:pPr>
      <w:r>
        <w:rPr>
          <w:b/>
          <w:color w:val="177C82"/>
          <w:sz w:val="18"/>
        </w:rPr>
        <w:t>10 / SOURCE: SECTION 18.16</w:t>
      </w:r>
    </w:p>
    <w:p>
      <w:pPr>
        <w:pStyle w:val="Heading1"/>
        <w:widowControl/>
      </w:pPr>
      <w:r>
        <w:t>Programme III: does another scale help?</w:t>
      </w:r>
    </w:p>
    <w:p>
      <w:pPr>
        <w:widowControl/>
      </w:pPr>
      <w:r>
        <w:t>The third programme asks whether adding structure, resources or history improves predictions beyond activity statistics. The delivered demonstration uses a known synthetic generator with an activity feature, a structural feature and a slowly changing history variable. The same ordered table supplies all candidates.</w:t>
      </w:r>
    </w:p>
    <w:p>
      <w:pPr>
        <w:pStyle w:val="Code"/>
        <w:widowControl/>
      </w:pPr>
      <w:r>
        <w:t>Activity:  y ~ 1 + activity</w:t>
      </w:r>
    </w:p>
    <w:p>
      <w:pPr>
        <w:pStyle w:val="Code"/>
        <w:widowControl/>
      </w:pPr>
      <w:r>
        <w:t>Structure: y ~ 1 + activity + structure</w:t>
      </w:r>
    </w:p>
    <w:p>
      <w:pPr>
        <w:pStyle w:val="Code"/>
        <w:widowControl/>
      </w:pPr>
      <w:r>
        <w:t>History:   y ~ 1 + activity + structure + history</w:t>
      </w:r>
    </w:p>
    <w:p>
      <w:pPr>
        <w:widowControl/>
      </w:pPr>
      <w:r>
        <w:t>The first 60% of rows fit coefficients; the next 20% choose a candidate; the final 20% evaluate it. The code records the training and validation digests. The final test is not used for fitting or selection. The history feature is observed in this synthetic table; a real application must justify how it is measured or estimated.</w:t>
      </w:r>
    </w:p>
    <w:tbl>
      <w:tblPr>
        <w:tblStyle w:val="LightShading-Accent1"/>
        <w:tblW w:type="auto" w:w="0"/>
        <w:tblLayout w:type="fixed"/>
        <w:tblLook w:firstColumn="1" w:firstRow="1" w:lastColumn="0" w:lastRow="0" w:noHBand="0" w:noVBand="1" w:val="04A0"/>
      </w:tblPr>
      <w:tblGrid>
        <w:gridCol w:w="2416"/>
        <w:gridCol w:w="2416"/>
        <w:gridCol w:w="2416"/>
        <w:gridCol w:w="2416"/>
      </w:tblGrid>
      <w:tr>
        <w:trPr>
          <w:tblHeader/>
          <w:cantSplit/>
        </w:trPr>
        <w:tc>
          <w:tcPr>
            <w:tcW w:type="dxa" w:w="3168"/>
          </w:tcPr>
          <w:p>
            <w:pPr>
              <w:widowControl/>
            </w:pPr>
            <w:r>
              <w:t>Model</w:t>
            </w:r>
          </w:p>
        </w:tc>
        <w:tc>
          <w:tcPr>
            <w:tcW w:type="dxa" w:w="1440"/>
          </w:tcPr>
          <w:p>
            <w:pPr>
              <w:widowControl/>
            </w:pPr>
            <w:r>
              <w:t>Parameters</w:t>
            </w:r>
          </w:p>
        </w:tc>
        <w:tc>
          <w:tcPr>
            <w:tcW w:type="dxa" w:w="2448"/>
          </w:tcPr>
          <w:p>
            <w:pPr>
              <w:widowControl/>
            </w:pPr>
            <w:r>
              <w:t>Validation RMSE</w:t>
            </w:r>
          </w:p>
        </w:tc>
        <w:tc>
          <w:tcPr>
            <w:tcW w:type="dxa" w:w="2520"/>
          </w:tcPr>
          <w:p>
            <w:pPr>
              <w:widowControl/>
            </w:pPr>
            <w:r>
              <w:t>Final-test RMSE</w:t>
            </w:r>
          </w:p>
        </w:tc>
      </w:tr>
      <w:tr>
        <w:trPr>
          <w:cantSplit/>
        </w:trPr>
        <w:tc>
          <w:tcPr>
            <w:tcW w:type="dxa" w:w="3168"/>
          </w:tcPr>
          <w:p>
            <w:pPr>
              <w:widowControl/>
              <w:spacing w:after="100"/>
            </w:pPr>
            <w:r>
              <w:rPr>
                <w:sz w:val="18"/>
              </w:rPr>
              <w:t>Activity</w:t>
            </w:r>
          </w:p>
        </w:tc>
        <w:tc>
          <w:tcPr>
            <w:tcW w:type="dxa" w:w="1440"/>
          </w:tcPr>
          <w:p>
            <w:pPr>
              <w:widowControl/>
              <w:spacing w:after="100"/>
            </w:pPr>
            <w:r>
              <w:rPr>
                <w:sz w:val="18"/>
              </w:rPr>
              <w:t>2</w:t>
            </w:r>
          </w:p>
        </w:tc>
        <w:tc>
          <w:tcPr>
            <w:tcW w:type="dxa" w:w="2448"/>
          </w:tcPr>
          <w:p>
            <w:pPr>
              <w:widowControl/>
              <w:spacing w:after="100"/>
            </w:pPr>
            <w:r>
              <w:rPr>
                <w:sz w:val="18"/>
              </w:rPr>
              <w:t>0.54890</w:t>
            </w:r>
          </w:p>
        </w:tc>
        <w:tc>
          <w:tcPr>
            <w:tcW w:type="dxa" w:w="2520"/>
          </w:tcPr>
          <w:p>
            <w:pPr>
              <w:widowControl/>
              <w:spacing w:after="100"/>
            </w:pPr>
            <w:r>
              <w:rPr>
                <w:sz w:val="18"/>
              </w:rPr>
              <w:t>0.58177</w:t>
            </w:r>
          </w:p>
        </w:tc>
      </w:tr>
      <w:tr>
        <w:trPr>
          <w:cantSplit/>
        </w:trPr>
        <w:tc>
          <w:tcPr>
            <w:tcW w:type="dxa" w:w="3168"/>
          </w:tcPr>
          <w:p>
            <w:pPr>
              <w:widowControl/>
              <w:spacing w:after="100"/>
            </w:pPr>
            <w:r>
              <w:rPr>
                <w:sz w:val="18"/>
              </w:rPr>
              <w:t>+ Structure</w:t>
            </w:r>
          </w:p>
        </w:tc>
        <w:tc>
          <w:tcPr>
            <w:tcW w:type="dxa" w:w="1440"/>
          </w:tcPr>
          <w:p>
            <w:pPr>
              <w:widowControl/>
              <w:spacing w:after="100"/>
            </w:pPr>
            <w:r>
              <w:rPr>
                <w:sz w:val="18"/>
              </w:rPr>
              <w:t>3</w:t>
            </w:r>
          </w:p>
        </w:tc>
        <w:tc>
          <w:tcPr>
            <w:tcW w:type="dxa" w:w="2448"/>
          </w:tcPr>
          <w:p>
            <w:pPr>
              <w:widowControl/>
              <w:spacing w:after="100"/>
            </w:pPr>
            <w:r>
              <w:rPr>
                <w:sz w:val="18"/>
              </w:rPr>
              <w:t>0.28735</w:t>
            </w:r>
          </w:p>
        </w:tc>
        <w:tc>
          <w:tcPr>
            <w:tcW w:type="dxa" w:w="2520"/>
          </w:tcPr>
          <w:p>
            <w:pPr>
              <w:widowControl/>
              <w:spacing w:after="100"/>
            </w:pPr>
            <w:r>
              <w:rPr>
                <w:sz w:val="18"/>
              </w:rPr>
              <w:t>0.31229</w:t>
            </w:r>
          </w:p>
        </w:tc>
      </w:tr>
      <w:tr>
        <w:trPr>
          <w:cantSplit/>
        </w:trPr>
        <w:tc>
          <w:tcPr>
            <w:tcW w:type="dxa" w:w="3168"/>
          </w:tcPr>
          <w:p>
            <w:pPr>
              <w:widowControl/>
              <w:spacing w:after="100"/>
            </w:pPr>
            <w:r>
              <w:rPr>
                <w:sz w:val="18"/>
              </w:rPr>
              <w:t>+ History</w:t>
            </w:r>
          </w:p>
        </w:tc>
        <w:tc>
          <w:tcPr>
            <w:tcW w:type="dxa" w:w="1440"/>
          </w:tcPr>
          <w:p>
            <w:pPr>
              <w:widowControl/>
              <w:spacing w:after="100"/>
            </w:pPr>
            <w:r>
              <w:rPr>
                <w:sz w:val="18"/>
              </w:rPr>
              <w:t>4</w:t>
            </w:r>
          </w:p>
        </w:tc>
        <w:tc>
          <w:tcPr>
            <w:tcW w:type="dxa" w:w="2448"/>
          </w:tcPr>
          <w:p>
            <w:pPr>
              <w:widowControl/>
              <w:spacing w:after="100"/>
            </w:pPr>
            <w:r>
              <w:rPr>
                <w:sz w:val="18"/>
              </w:rPr>
              <w:t>0.11595</w:t>
            </w:r>
          </w:p>
        </w:tc>
        <w:tc>
          <w:tcPr>
            <w:tcW w:type="dxa" w:w="2520"/>
          </w:tcPr>
          <w:p>
            <w:pPr>
              <w:widowControl/>
              <w:spacing w:after="100"/>
            </w:pPr>
            <w:r>
              <w:rPr>
                <w:sz w:val="18"/>
              </w:rPr>
              <w:t>0.09356</w:t>
            </w:r>
          </w:p>
        </w:tc>
      </w:tr>
    </w:tbl>
    <w:p>
      <w:pPr>
        <w:widowControl/>
      </w:pPr>
    </w:p>
    <w:p>
      <w:pPr>
        <w:widowControl/>
      </w:pPr>
      <w:r>
        <w:t>The default generator contains a history effect, so the result is not surprising evidence of a newly discovered biological principle. Its value is a controlled workflow: parameter count, model choice and final evaluation are visible. examples/no_history_signal.json supplies a null-history setting. Richer candidates are not declared inherently superior.</w:t>
      </w:r>
    </w:p>
    <w:p>
      <w:pPr>
        <w:widowControl/>
      </w:pPr>
      <w:r>
        <w:t>The current OLS implementation uses small normal equations and a singular-pivot guard, not a general high-dimensional statistical package. It does not provide uncertainty intervals for all coefficients. Repeated human redesign after viewing the test results would compromise the final holdout even though the selection code itself is clean.</w:t>
      </w:r>
    </w:p>
    <w:p>
      <w:pPr>
        <w:widowControl/>
      </w:pPr>
      <w:r>
        <w:br w:type="page"/>
      </w:r>
    </w:p>
    <w:p>
      <w:pPr>
        <w:widowControl/>
      </w:pPr>
      <w:r>
        <w:rPr>
          <w:b/>
          <w:color w:val="177C82"/>
          <w:sz w:val="18"/>
        </w:rPr>
        <w:t>11 / RETAIN THE HYPOTHESIS, TEST THE BRIDGE</w:t>
      </w:r>
    </w:p>
    <w:p>
      <w:pPr>
        <w:pStyle w:val="Heading1"/>
        <w:widowControl/>
      </w:pPr>
      <w:r>
        <w:t>Energy–information candidates</w:t>
      </w:r>
    </w:p>
    <w:p>
      <w:pPr>
        <w:widowControl/>
      </w:pPr>
      <w:r>
        <w:t>The source programme includes the candidate expression E_thought=Psi × I × C × A. The companion does not silently replace this with a settled law, nor does it declare its universal validity. It asks a smaller operational question: does a prespecified dimensional feature improve held-out prediction beyond declared conventional resource features?</w:t>
      </w:r>
    </w:p>
    <w:p>
      <w:pPr>
        <w:pStyle w:val="Code"/>
        <w:widowControl/>
      </w:pPr>
      <w:r>
        <w:t>E_nJ = intercept + beta_s spike_feature + beta_t duration_feature</w:t>
      </w:r>
    </w:p>
    <w:p>
      <w:pPr>
        <w:pStyle w:val="Code"/>
        <w:widowControl/>
      </w:pPr>
      <w:r>
        <w:t xml:space="preserve">       + Psi_nJ_per_bit (I_bit * C * A) + noise</w:t>
      </w:r>
    </w:p>
    <w:p>
      <w:pPr>
        <w:widowControl/>
      </w:pPr>
      <w:r>
        <w:t>This is an additive test extension, not an assertion that the candidate equals all neural energy. I is a declared synthetic bit-valued variable; C and A are dimensionless scenario quantities. Psi therefore has energy-per-bit units. I is not automatically a measured Shannon information rate in a real nervous system.</w:t>
      </w:r>
    </w:p>
    <w:tbl>
      <w:tblPr>
        <w:tblStyle w:val="LightShading-Accent1"/>
        <w:tblW w:type="auto" w:w="0"/>
        <w:tblLayout w:type="fixed"/>
        <w:tblLook w:firstColumn="1" w:firstRow="1" w:lastColumn="0" w:lastRow="0" w:noHBand="0" w:noVBand="1" w:val="04A0"/>
      </w:tblPr>
      <w:tblGrid>
        <w:gridCol w:w="4831"/>
        <w:gridCol w:w="4831"/>
      </w:tblGrid>
      <w:tr>
        <w:trPr>
          <w:tblHeader/>
          <w:cantSplit/>
        </w:trPr>
        <w:tc>
          <w:tcPr>
            <w:tcW w:type="dxa" w:w="4968"/>
          </w:tcPr>
          <w:p>
            <w:pPr>
              <w:widowControl/>
            </w:pPr>
            <w:r>
              <w:t>Default synthetic fit</w:t>
            </w:r>
          </w:p>
        </w:tc>
        <w:tc>
          <w:tcPr>
            <w:tcW w:type="dxa" w:w="4608"/>
          </w:tcPr>
          <w:p>
            <w:pPr>
              <w:widowControl/>
            </w:pPr>
            <w:r>
              <w:t>Result</w:t>
            </w:r>
          </w:p>
        </w:tc>
      </w:tr>
      <w:tr>
        <w:trPr>
          <w:cantSplit/>
        </w:trPr>
        <w:tc>
          <w:tcPr>
            <w:tcW w:type="dxa" w:w="4968"/>
          </w:tcPr>
          <w:p>
            <w:pPr>
              <w:widowControl/>
              <w:spacing w:after="100"/>
            </w:pPr>
            <w:r>
              <w:rPr>
                <w:sz w:val="18"/>
              </w:rPr>
              <w:t>Generator Psi</w:t>
            </w:r>
          </w:p>
        </w:tc>
        <w:tc>
          <w:tcPr>
            <w:tcW w:type="dxa" w:w="4608"/>
          </w:tcPr>
          <w:p>
            <w:pPr>
              <w:widowControl/>
              <w:spacing w:after="100"/>
            </w:pPr>
            <w:r>
              <w:rPr>
                <w:sz w:val="18"/>
              </w:rPr>
              <w:t>0.7 nJ/bit</w:t>
            </w:r>
          </w:p>
        </w:tc>
      </w:tr>
      <w:tr>
        <w:trPr>
          <w:cantSplit/>
        </w:trPr>
        <w:tc>
          <w:tcPr>
            <w:tcW w:type="dxa" w:w="4968"/>
          </w:tcPr>
          <w:p>
            <w:pPr>
              <w:widowControl/>
              <w:spacing w:after="100"/>
            </w:pPr>
            <w:r>
              <w:rPr>
                <w:sz w:val="18"/>
              </w:rPr>
              <w:t>Fitted Psi</w:t>
            </w:r>
          </w:p>
        </w:tc>
        <w:tc>
          <w:tcPr>
            <w:tcW w:type="dxa" w:w="4608"/>
          </w:tcPr>
          <w:p>
            <w:pPr>
              <w:widowControl/>
              <w:spacing w:after="100"/>
            </w:pPr>
            <w:r>
              <w:rPr>
                <w:sz w:val="18"/>
              </w:rPr>
              <w:t>0.69597 nJ/bit</w:t>
            </w:r>
          </w:p>
        </w:tc>
      </w:tr>
      <w:tr>
        <w:trPr>
          <w:cantSplit/>
        </w:trPr>
        <w:tc>
          <w:tcPr>
            <w:tcW w:type="dxa" w:w="4968"/>
          </w:tcPr>
          <w:p>
            <w:pPr>
              <w:widowControl/>
              <w:spacing w:after="100"/>
            </w:pPr>
            <w:r>
              <w:rPr>
                <w:sz w:val="18"/>
              </w:rPr>
              <w:t>Resource-only holdout RMSE</w:t>
            </w:r>
          </w:p>
        </w:tc>
        <w:tc>
          <w:tcPr>
            <w:tcW w:type="dxa" w:w="4608"/>
          </w:tcPr>
          <w:p>
            <w:pPr>
              <w:widowControl/>
              <w:spacing w:after="100"/>
            </w:pPr>
            <w:r>
              <w:rPr>
                <w:sz w:val="18"/>
              </w:rPr>
              <w:t>0.39465 nJ</w:t>
            </w:r>
          </w:p>
        </w:tc>
      </w:tr>
      <w:tr>
        <w:trPr>
          <w:cantSplit/>
        </w:trPr>
        <w:tc>
          <w:tcPr>
            <w:tcW w:type="dxa" w:w="4968"/>
          </w:tcPr>
          <w:p>
            <w:pPr>
              <w:widowControl/>
              <w:spacing w:after="100"/>
            </w:pPr>
            <w:r>
              <w:rPr>
                <w:sz w:val="18"/>
              </w:rPr>
              <w:t>Candidate-feature holdout RMSE</w:t>
            </w:r>
          </w:p>
        </w:tc>
        <w:tc>
          <w:tcPr>
            <w:tcW w:type="dxa" w:w="4608"/>
          </w:tcPr>
          <w:p>
            <w:pPr>
              <w:widowControl/>
              <w:spacing w:after="100"/>
            </w:pPr>
            <w:r>
              <w:rPr>
                <w:sz w:val="18"/>
              </w:rPr>
              <w:t>0.10516 nJ</w:t>
            </w:r>
          </w:p>
        </w:tc>
      </w:tr>
    </w:tbl>
    <w:p>
      <w:pPr>
        <w:widowControl/>
      </w:pPr>
    </w:p>
    <w:p>
      <w:pPr>
        <w:widowControl/>
      </w:pPr>
      <w:r>
        <w:t>Because the generator deliberately includes this term, recovering it is a parameter-recovery test. It cannot distinguish a new independent physical field from an omitted ordinary mechanism. The supplied zero-Psi configuration checks the null case. A genuine empirical comparison needs an independently measured variable, rival conventional explanations, an acquisition protocol and an evaluation that was not redesigned after seeing results.</w:t>
      </w:r>
    </w:p>
    <w:p>
      <w:pPr>
        <w:widowControl/>
      </w:pPr>
      <w:r>
        <w:t>The energy calculator separately demonstrates delta_mu/NA, kB T ln 2, their ratio delta_mu/(RT ln2), and capacitor energy. These quantities have distinct physical roles. Joules and bits do not choose the purpose of a system or establish moral value.</w:t>
      </w:r>
    </w:p>
    <w:p>
      <w:pPr>
        <w:widowControl/>
      </w:pPr>
      <w:r>
        <w:br w:type="page"/>
      </w:r>
    </w:p>
    <w:p>
      <w:pPr>
        <w:widowControl/>
      </w:pPr>
      <w:r>
        <w:rPr>
          <w:b/>
          <w:color w:val="177C82"/>
          <w:sz w:val="18"/>
        </w:rPr>
        <w:t>12 / ACQUISITION CONTRACT</w:t>
      </w:r>
    </w:p>
    <w:p>
      <w:pPr>
        <w:pStyle w:val="Heading1"/>
        <w:widowControl/>
      </w:pPr>
      <w:r>
        <w:t>From a CSV to a testable passive model</w:t>
      </w:r>
    </w:p>
    <w:p>
      <w:pPr>
        <w:widowControl/>
      </w:pPr>
      <w:r>
        <w:t>The input path accepts a bounded CSV, not arbitrary device formats. Header order is exactly time,voltage,split. Times increase strictly; splits must be train or test. Metadata specifies synthetic/public-research source, locator, license, time and voltage units, current, resting voltage and onset.</w:t>
      </w:r>
    </w:p>
    <w:p>
      <w:pPr>
        <w:pStyle w:val="Code"/>
        <w:widowControl/>
      </w:pPr>
      <w:r>
        <w:t>python run.py fit --data examples/passive_step.csv \</w:t>
      </w:r>
    </w:p>
    <w:p>
      <w:pPr>
        <w:pStyle w:val="Code"/>
        <w:widowControl/>
      </w:pPr>
      <w:r>
        <w:t xml:space="preserve">  --metadata examples/passive_source.json --out runs/passive-fit</w:t>
      </w:r>
    </w:p>
    <w:p>
      <w:pPr>
        <w:pStyle w:val="Code"/>
        <w:widowControl/>
      </w:pPr>
      <w:r>
        <w:t>V(t) = Vrest + 0.001 I[pA] R[MOhm] (1-exp(-(t-onset)/tau[ms]))</w:t>
      </w:r>
    </w:p>
    <w:p>
      <w:pPr>
        <w:widowControl/>
      </w:pPr>
      <w:r>
        <w:t>At each tau on a fixed 1–200 ms grid, resistance is fitted analytically on training rows only. Positive resistance is required. The minimum training RMSE selects tau; test rows evaluate its prediction afterward. A selected grid boundary is flagged. Derived C[pF]=1000 tau[ms]/R[MOhm] follows only under this passive model.</w:t>
      </w:r>
    </w:p>
    <w:tbl>
      <w:tblPr>
        <w:tblStyle w:val="LightShading-Accent1"/>
        <w:tblW w:type="auto" w:w="0"/>
        <w:tblLayout w:type="fixed"/>
        <w:tblLook w:firstColumn="1" w:firstRow="1" w:lastColumn="0" w:lastRow="0" w:noHBand="0" w:noVBand="1" w:val="04A0"/>
      </w:tblPr>
      <w:tblGrid>
        <w:gridCol w:w="4831"/>
        <w:gridCol w:w="4831"/>
      </w:tblGrid>
      <w:tr>
        <w:trPr>
          <w:tblHeader/>
          <w:cantSplit/>
        </w:trPr>
        <w:tc>
          <w:tcPr>
            <w:tcW w:type="dxa" w:w="4968"/>
          </w:tcPr>
          <w:p>
            <w:pPr>
              <w:widowControl/>
            </w:pPr>
            <w:r>
              <w:t>Supplied synthetic recording</w:t>
            </w:r>
          </w:p>
        </w:tc>
        <w:tc>
          <w:tcPr>
            <w:tcW w:type="dxa" w:w="4608"/>
          </w:tcPr>
          <w:p>
            <w:pPr>
              <w:widowControl/>
            </w:pPr>
            <w:r>
              <w:t>Fitted result</w:t>
            </w:r>
          </w:p>
        </w:tc>
      </w:tr>
      <w:tr>
        <w:trPr>
          <w:cantSplit/>
        </w:trPr>
        <w:tc>
          <w:tcPr>
            <w:tcW w:type="dxa" w:w="4968"/>
          </w:tcPr>
          <w:p>
            <w:pPr>
              <w:widowControl/>
              <w:spacing w:after="100"/>
            </w:pPr>
            <w:r>
              <w:rPr>
                <w:sz w:val="18"/>
              </w:rPr>
              <w:t>Training / held-out rows</w:t>
            </w:r>
          </w:p>
        </w:tc>
        <w:tc>
          <w:tcPr>
            <w:tcW w:type="dxa" w:w="4608"/>
          </w:tcPr>
          <w:p>
            <w:pPr>
              <w:widowControl/>
              <w:spacing w:after="100"/>
            </w:pPr>
            <w:r>
              <w:rPr>
                <w:sz w:val="18"/>
              </w:rPr>
              <w:t>80 / 41</w:t>
            </w:r>
          </w:p>
        </w:tc>
      </w:tr>
      <w:tr>
        <w:trPr>
          <w:cantSplit/>
        </w:trPr>
        <w:tc>
          <w:tcPr>
            <w:tcW w:type="dxa" w:w="4968"/>
          </w:tcPr>
          <w:p>
            <w:pPr>
              <w:widowControl/>
              <w:spacing w:after="100"/>
            </w:pPr>
            <w:r>
              <w:rPr>
                <w:sz w:val="18"/>
              </w:rPr>
              <w:t>True R and tau</w:t>
            </w:r>
          </w:p>
        </w:tc>
        <w:tc>
          <w:tcPr>
            <w:tcW w:type="dxa" w:w="4608"/>
          </w:tcPr>
          <w:p>
            <w:pPr>
              <w:widowControl/>
              <w:spacing w:after="100"/>
            </w:pPr>
            <w:r>
              <w:rPr>
                <w:sz w:val="18"/>
              </w:rPr>
              <w:t>100 MOhm / 20 ms</w:t>
            </w:r>
          </w:p>
        </w:tc>
      </w:tr>
      <w:tr>
        <w:trPr>
          <w:cantSplit/>
        </w:trPr>
        <w:tc>
          <w:tcPr>
            <w:tcW w:type="dxa" w:w="4968"/>
          </w:tcPr>
          <w:p>
            <w:pPr>
              <w:widowControl/>
              <w:spacing w:after="100"/>
            </w:pPr>
            <w:r>
              <w:rPr>
                <w:sz w:val="18"/>
              </w:rPr>
              <w:t>Fitted R and tau</w:t>
            </w:r>
          </w:p>
        </w:tc>
        <w:tc>
          <w:tcPr>
            <w:tcW w:type="dxa" w:w="4608"/>
          </w:tcPr>
          <w:p>
            <w:pPr>
              <w:widowControl/>
              <w:spacing w:after="100"/>
            </w:pPr>
            <w:r>
              <w:rPr>
                <w:sz w:val="18"/>
              </w:rPr>
              <w:t>100.05455 MOhm / 20 ms</w:t>
            </w:r>
          </w:p>
        </w:tc>
      </w:tr>
      <w:tr>
        <w:trPr>
          <w:cantSplit/>
        </w:trPr>
        <w:tc>
          <w:tcPr>
            <w:tcW w:type="dxa" w:w="4968"/>
          </w:tcPr>
          <w:p>
            <w:pPr>
              <w:widowControl/>
              <w:spacing w:after="100"/>
            </w:pPr>
            <w:r>
              <w:rPr>
                <w:sz w:val="18"/>
              </w:rPr>
              <w:t>Derived capacitance</w:t>
            </w:r>
          </w:p>
        </w:tc>
        <w:tc>
          <w:tcPr>
            <w:tcW w:type="dxa" w:w="4608"/>
          </w:tcPr>
          <w:p>
            <w:pPr>
              <w:widowControl/>
              <w:spacing w:after="100"/>
            </w:pPr>
            <w:r>
              <w:rPr>
                <w:sz w:val="18"/>
              </w:rPr>
              <w:t>199.89097 pF</w:t>
            </w:r>
          </w:p>
        </w:tc>
      </w:tr>
      <w:tr>
        <w:trPr>
          <w:cantSplit/>
        </w:trPr>
        <w:tc>
          <w:tcPr>
            <w:tcW w:type="dxa" w:w="4968"/>
          </w:tcPr>
          <w:p>
            <w:pPr>
              <w:widowControl/>
              <w:spacing w:after="100"/>
            </w:pPr>
            <w:r>
              <w:rPr>
                <w:sz w:val="18"/>
              </w:rPr>
              <w:t>Training / test RMSE</w:t>
            </w:r>
          </w:p>
        </w:tc>
        <w:tc>
          <w:tcPr>
            <w:tcW w:type="dxa" w:w="4608"/>
          </w:tcPr>
          <w:p>
            <w:pPr>
              <w:widowControl/>
              <w:spacing w:after="100"/>
            </w:pPr>
            <w:r>
              <w:rPr>
                <w:sz w:val="18"/>
              </w:rPr>
              <w:t>0.03352 / 0.03343 mV</w:t>
            </w:r>
          </w:p>
        </w:tc>
      </w:tr>
    </w:tbl>
    <w:p>
      <w:pPr>
        <w:widowControl/>
      </w:pPr>
    </w:p>
    <w:p>
      <w:pPr>
        <w:widowControl/>
      </w:pPr>
      <w:r>
        <w:t>Tests change only the held-out voltages and confirm that the fitted parameters do not change. The training digest binds the original acquisition rows, not the later fitted predictions. The serialized source file and metadata are retained in the fit capsule.</w:t>
      </w:r>
    </w:p>
    <w:p>
      <w:pPr>
        <w:widowControl/>
      </w:pPr>
      <w:r>
        <w:t>This is not a model for spiking responses, unknown current waveforms, baseline drift or inferred patient parameters. Public-research declarations cannot verify consent, de-identification or licensing. NWB, ABF and electrodes are not supported by this importer.</w:t>
      </w:r>
    </w:p>
    <w:p>
      <w:pPr>
        <w:widowControl/>
      </w:pPr>
      <w:r>
        <w:br w:type="page"/>
      </w:r>
    </w:p>
    <w:p>
      <w:pPr>
        <w:widowControl/>
      </w:pPr>
      <w:r>
        <w:rPr>
          <w:b/>
          <w:color w:val="177C82"/>
          <w:sz w:val="18"/>
        </w:rPr>
        <w:t>13 / THREE DIFFERENT CHECKS</w:t>
      </w:r>
    </w:p>
    <w:p>
      <w:pPr>
        <w:pStyle w:val="Heading1"/>
        <w:widowControl/>
      </w:pPr>
      <w:r>
        <w:t>Capsules: integrity is not truth</w:t>
      </w:r>
    </w:p>
    <w:tbl>
      <w:tblPr>
        <w:tblStyle w:val="LightShading-Accent1"/>
        <w:tblW w:type="auto" w:w="0"/>
        <w:tblLayout w:type="fixed"/>
        <w:tblLook w:firstColumn="1" w:firstRow="1" w:lastColumn="0" w:lastRow="0" w:noHBand="0" w:noVBand="1" w:val="04A0"/>
      </w:tblPr>
      <w:tblGrid>
        <w:gridCol w:w="3221"/>
        <w:gridCol w:w="3221"/>
        <w:gridCol w:w="3221"/>
      </w:tblGrid>
      <w:tr>
        <w:trPr>
          <w:tblHeader/>
          <w:cantSplit/>
        </w:trPr>
        <w:tc>
          <w:tcPr>
            <w:tcW w:type="dxa" w:w="2016"/>
          </w:tcPr>
          <w:p>
            <w:pPr>
              <w:widowControl/>
            </w:pPr>
            <w:r>
              <w:t>Check</w:t>
            </w:r>
          </w:p>
        </w:tc>
        <w:tc>
          <w:tcPr>
            <w:tcW w:type="dxa" w:w="3816"/>
          </w:tcPr>
          <w:p>
            <w:pPr>
              <w:widowControl/>
            </w:pPr>
            <w:r>
              <w:t>What it establishes</w:t>
            </w:r>
          </w:p>
        </w:tc>
        <w:tc>
          <w:tcPr>
            <w:tcW w:type="dxa" w:w="3744"/>
          </w:tcPr>
          <w:p>
            <w:pPr>
              <w:widowControl/>
            </w:pPr>
            <w:r>
              <w:t>What it does not</w:t>
            </w:r>
          </w:p>
        </w:tc>
      </w:tr>
      <w:tr>
        <w:trPr>
          <w:cantSplit/>
        </w:trPr>
        <w:tc>
          <w:tcPr>
            <w:tcW w:type="dxa" w:w="2016"/>
          </w:tcPr>
          <w:p>
            <w:pPr>
              <w:widowControl/>
              <w:spacing w:after="100"/>
            </w:pPr>
            <w:r>
              <w:rPr>
                <w:sz w:val="18"/>
              </w:rPr>
              <w:t>Artifact integrity</w:t>
            </w:r>
          </w:p>
        </w:tc>
        <w:tc>
          <w:tcPr>
            <w:tcW w:type="dxa" w:w="3816"/>
          </w:tcPr>
          <w:p>
            <w:pPr>
              <w:widowControl/>
              <w:spacing w:after="100"/>
            </w:pPr>
            <w:r>
              <w:rPr>
                <w:sz w:val="18"/>
              </w:rPr>
              <w:t>Files, event order and protocol/result bindings match a local receipt.</w:t>
            </w:r>
          </w:p>
        </w:tc>
        <w:tc>
          <w:tcPr>
            <w:tcW w:type="dxa" w:w="3744"/>
          </w:tcPr>
          <w:p>
            <w:pPr>
              <w:widowControl/>
              <w:spacing w:after="100"/>
            </w:pPr>
            <w:r>
              <w:rPr>
                <w:sz w:val="18"/>
              </w:rPr>
              <w:t>That the receipt has an independent authentic origin.</w:t>
            </w:r>
          </w:p>
        </w:tc>
      </w:tr>
      <w:tr>
        <w:trPr>
          <w:cantSplit/>
        </w:trPr>
        <w:tc>
          <w:tcPr>
            <w:tcW w:type="dxa" w:w="2016"/>
          </w:tcPr>
          <w:p>
            <w:pPr>
              <w:widowControl/>
              <w:spacing w:after="100"/>
            </w:pPr>
            <w:r>
              <w:rPr>
                <w:sz w:val="18"/>
              </w:rPr>
              <w:t>Real recomputation</w:t>
            </w:r>
          </w:p>
        </w:tc>
        <w:tc>
          <w:tcPr>
            <w:tcW w:type="dxa" w:w="3816"/>
          </w:tcPr>
          <w:p>
            <w:pPr>
              <w:widowControl/>
              <w:spacing w:after="100"/>
            </w:pPr>
            <w:r>
              <w:rPr>
                <w:sz w:val="18"/>
              </w:rPr>
              <w:t>The current identified engine regenerates numerically matching results.</w:t>
            </w:r>
          </w:p>
        </w:tc>
        <w:tc>
          <w:tcPr>
            <w:tcW w:type="dxa" w:w="3744"/>
          </w:tcPr>
          <w:p>
            <w:pPr>
              <w:widowControl/>
              <w:spacing w:after="100"/>
            </w:pPr>
            <w:r>
              <w:rPr>
                <w:sz w:val="18"/>
              </w:rPr>
              <w:t>That the equations or assumptions describe biology.</w:t>
            </w:r>
          </w:p>
        </w:tc>
      </w:tr>
      <w:tr>
        <w:trPr>
          <w:cantSplit/>
        </w:trPr>
        <w:tc>
          <w:tcPr>
            <w:tcW w:type="dxa" w:w="2016"/>
          </w:tcPr>
          <w:p>
            <w:pPr>
              <w:widowControl/>
              <w:spacing w:after="100"/>
            </w:pPr>
            <w:r>
              <w:rPr>
                <w:sz w:val="18"/>
              </w:rPr>
              <w:t>Independent evidence</w:t>
            </w:r>
          </w:p>
        </w:tc>
        <w:tc>
          <w:tcPr>
            <w:tcW w:type="dxa" w:w="3816"/>
          </w:tcPr>
          <w:p>
            <w:pPr>
              <w:widowControl/>
              <w:spacing w:after="100"/>
            </w:pPr>
            <w:r>
              <w:rPr>
                <w:sz w:val="18"/>
              </w:rPr>
              <w:t>Not supplied by this release; requires external data and evaluation.</w:t>
            </w:r>
          </w:p>
        </w:tc>
        <w:tc>
          <w:tcPr>
            <w:tcW w:type="dxa" w:w="3744"/>
          </w:tcPr>
          <w:p>
            <w:pPr>
              <w:widowControl/>
              <w:spacing w:after="100"/>
            </w:pPr>
            <w:r>
              <w:rPr>
                <w:sz w:val="18"/>
              </w:rPr>
              <w:t>Cannot be replaced by more internal hashes or tests.</w:t>
            </w:r>
          </w:p>
        </w:tc>
      </w:tr>
    </w:tbl>
    <w:p>
      <w:pPr>
        <w:widowControl/>
      </w:pPr>
    </w:p>
    <w:p>
      <w:pPr>
        <w:widowControl/>
      </w:pPr>
      <w:r>
        <w:t>Each run binds a normalized protocol, engine digest, software/Python/platform information, full result and six contextual DIKWP accounting events. Event roles preserve the question, source type, transformations, execution, limitations and next question. They are software roles, not five literal regions of the brain.</w:t>
      </w:r>
    </w:p>
    <w:p>
      <w:pPr>
        <w:pStyle w:val="Code"/>
        <w:widowControl/>
      </w:pPr>
      <w:r>
        <w:t>python run.py verify-run runs/hh-01</w:t>
      </w:r>
    </w:p>
    <w:p>
      <w:pPr>
        <w:pStyle w:val="Code"/>
        <w:widowControl/>
      </w:pPr>
      <w:r>
        <w:t>python run.py replay runs/hh-01 --trusted-digest YOUR_SAVED_DIGEST</w:t>
      </w:r>
    </w:p>
    <w:p>
      <w:pPr>
        <w:widowControl/>
      </w:pPr>
      <w:r>
        <w:t>The capsule format includes protocol.json, result.json, events.jsonl, report.html, data.csv when needed, and receipt.json. Fits also retain input.csv. Replay compares full result objects with rtol 1e-9/atol 1e-12, then separately checks canonical JSON identity. These outcomes are both reported.</w:t>
      </w:r>
    </w:p>
    <w:p>
      <w:pPr>
        <w:widowControl/>
      </w:pPr>
      <w:r>
        <w:t>Existing output directories are never overwritten. Unsafe artifact names, symlinks, missing and unlisted files are rejected. Exclusive-path creation and cleanup do not promise atomic visibility during publication. A successful final verification marks a completed run.</w:t>
      </w:r>
    </w:p>
    <w:p>
      <w:pPr>
        <w:widowControl/>
      </w:pPr>
      <w:r>
        <w:t>Without an independently saved receipt digest, someone who rewrites every file and regenerates the chain can make a different internally consistent history. No signing service, trusted timestamp, blockchain or preregistration registry is included. Preserve the release along with important results.</w:t>
      </w:r>
    </w:p>
    <w:p>
      <w:pPr>
        <w:widowControl/>
      </w:pPr>
      <w:r>
        <w:br w:type="page"/>
      </w:r>
    </w:p>
    <w:p>
      <w:pPr>
        <w:widowControl/>
      </w:pPr>
      <w:r>
        <w:rPr>
          <w:b/>
          <w:color w:val="177C82"/>
          <w:sz w:val="18"/>
        </w:rPr>
        <w:t>14 / INTERFACES</w:t>
      </w:r>
    </w:p>
    <w:p>
      <w:pPr>
        <w:pStyle w:val="Heading1"/>
        <w:widowControl/>
      </w:pPr>
      <w:r>
        <w:t>Browser, HTTP and the privacy boundary</w:t>
      </w:r>
    </w:p>
    <w:p>
      <w:pPr>
        <w:widowControl/>
      </w:pPr>
      <w:r>
        <w:t>The browser is a local view of the same Python engine. It supplies constrained forms, metrics, plotted trajectories, table previews and result download. The chapter-reading page connects all 18 source chapters to primary labs. Chart decimation is display-only; downloaded JSON retains complete rows.</w:t>
      </w:r>
    </w:p>
    <w:tbl>
      <w:tblPr>
        <w:tblStyle w:val="LightShading-Accent1"/>
        <w:tblW w:type="auto" w:w="0"/>
        <w:tblLayout w:type="fixed"/>
        <w:tblLook w:firstColumn="1" w:firstRow="1" w:lastColumn="0" w:lastRow="0" w:noHBand="0" w:noVBand="1" w:val="04A0"/>
      </w:tblPr>
      <w:tblGrid>
        <w:gridCol w:w="4831"/>
        <w:gridCol w:w="4831"/>
      </w:tblGrid>
      <w:tr>
        <w:trPr>
          <w:tblHeader/>
          <w:cantSplit/>
        </w:trPr>
        <w:tc>
          <w:tcPr>
            <w:tcW w:type="dxa" w:w="3384"/>
          </w:tcPr>
          <w:p>
            <w:pPr>
              <w:widowControl/>
            </w:pPr>
            <w:r>
              <w:t>Route</w:t>
            </w:r>
          </w:p>
        </w:tc>
        <w:tc>
          <w:tcPr>
            <w:tcW w:type="dxa" w:w="6192"/>
          </w:tcPr>
          <w:p>
            <w:pPr>
              <w:widowControl/>
            </w:pPr>
            <w:r>
              <w:t>Function</w:t>
            </w:r>
          </w:p>
        </w:tc>
      </w:tr>
      <w:tr>
        <w:trPr>
          <w:cantSplit/>
        </w:trPr>
        <w:tc>
          <w:tcPr>
            <w:tcW w:type="dxa" w:w="3384"/>
          </w:tcPr>
          <w:p>
            <w:pPr>
              <w:widowControl/>
              <w:spacing w:after="100"/>
            </w:pPr>
            <w:r>
              <w:rPr>
                <w:sz w:val="18"/>
              </w:rPr>
              <w:t>GET /api/catalog</w:t>
            </w:r>
          </w:p>
        </w:tc>
        <w:tc>
          <w:tcPr>
            <w:tcW w:type="dxa" w:w="6192"/>
          </w:tcPr>
          <w:p>
            <w:pPr>
              <w:widowControl/>
              <w:spacing w:after="100"/>
            </w:pPr>
            <w:r>
              <w:rPr>
                <w:sz w:val="18"/>
              </w:rPr>
              <w:t>Experiment contracts and parameters.</w:t>
            </w:r>
          </w:p>
        </w:tc>
      </w:tr>
      <w:tr>
        <w:trPr>
          <w:cantSplit/>
        </w:trPr>
        <w:tc>
          <w:tcPr>
            <w:tcW w:type="dxa" w:w="3384"/>
          </w:tcPr>
          <w:p>
            <w:pPr>
              <w:widowControl/>
              <w:spacing w:after="100"/>
            </w:pPr>
            <w:r>
              <w:rPr>
                <w:sz w:val="18"/>
              </w:rPr>
              <w:t>GET /api/book</w:t>
            </w:r>
          </w:p>
        </w:tc>
        <w:tc>
          <w:tcPr>
            <w:tcW w:type="dxa" w:w="6192"/>
          </w:tcPr>
          <w:p>
            <w:pPr>
              <w:widowControl/>
              <w:spacing w:after="100"/>
            </w:pPr>
            <w:r>
              <w:rPr>
                <w:sz w:val="18"/>
              </w:rPr>
              <w:t>18-chapter map with section references and hashes.</w:t>
            </w:r>
          </w:p>
        </w:tc>
      </w:tr>
      <w:tr>
        <w:trPr>
          <w:cantSplit/>
        </w:trPr>
        <w:tc>
          <w:tcPr>
            <w:tcW w:type="dxa" w:w="3384"/>
          </w:tcPr>
          <w:p>
            <w:pPr>
              <w:widowControl/>
              <w:spacing w:after="100"/>
            </w:pPr>
            <w:r>
              <w:rPr>
                <w:sz w:val="18"/>
              </w:rPr>
              <w:t>POST /api/run</w:t>
            </w:r>
          </w:p>
        </w:tc>
        <w:tc>
          <w:tcPr>
            <w:tcW w:type="dxa" w:w="6192"/>
          </w:tcPr>
          <w:p>
            <w:pPr>
              <w:widowControl/>
              <w:spacing w:after="100"/>
            </w:pPr>
            <w:r>
              <w:rPr>
                <w:sz w:val="18"/>
              </w:rPr>
              <w:t>Validated experiment identifier and parameter object.</w:t>
            </w:r>
          </w:p>
        </w:tc>
      </w:tr>
      <w:tr>
        <w:trPr>
          <w:cantSplit/>
        </w:trPr>
        <w:tc>
          <w:tcPr>
            <w:tcW w:type="dxa" w:w="3384"/>
          </w:tcPr>
          <w:p>
            <w:pPr>
              <w:widowControl/>
              <w:spacing w:after="100"/>
            </w:pPr>
            <w:r>
              <w:rPr>
                <w:sz w:val="18"/>
              </w:rPr>
              <w:t>POST /api/fit</w:t>
            </w:r>
          </w:p>
        </w:tc>
        <w:tc>
          <w:tcPr>
            <w:tcW w:type="dxa" w:w="6192"/>
          </w:tcPr>
          <w:p>
            <w:pPr>
              <w:widowControl/>
              <w:spacing w:after="100"/>
            </w:pPr>
            <w:r>
              <w:rPr>
                <w:sz w:val="18"/>
              </w:rPr>
              <w:t>CSV text plus source/acquisition metadata.</w:t>
            </w:r>
          </w:p>
        </w:tc>
      </w:tr>
    </w:tbl>
    <w:p>
      <w:pPr>
        <w:widowControl/>
      </w:pPr>
    </w:p>
    <w:p>
      <w:pPr>
        <w:widowControl/>
      </w:pPr>
      <w:r>
        <w:t>The process binds only to 127.0.0.1. Accepted Host/Origin values, a fresh session token, JSON content type and bounded payloads protect this local workflow. There is no endpoint for reading arbitrary files, executing user code or actuating devices. HTML output is escaped; formula-like CSV strings are prefixed.</w:t>
      </w:r>
    </w:p>
    <w:p>
      <w:pPr>
        <w:widowControl/>
      </w:pPr>
      <w:r>
        <w:t>The server is not a hardened multi-user deployment. It does not authenticate institutional users, encrypt stored capsules or implement consent/retention management. Do not expose it through an unreviewed public proxy or enter identifiable clinical records. Local users can still misuse compute resources or filesystem privileges.</w:t>
      </w:r>
    </w:p>
    <w:p>
      <w:pPr>
        <w:widowControl/>
      </w:pPr>
      <w:r>
        <w:t>Actual HTTP routes were tested with Python requests. Environment policy blocked direct browser navigation to localhost. Browser components were therefore exercised with the original DOM/JS and an explicit fetch-to-Python-HTTP harness. This checked interaction and real engine responses, but did not establish a direct browser/network end-to-end pass or browser enforcement of CSP headers.</w:t>
      </w:r>
    </w:p>
    <w:p>
      <w:pPr>
        <w:widowControl/>
      </w:pPr>
      <w:r>
        <w:br w:type="page"/>
      </w:r>
    </w:p>
    <w:p>
      <w:pPr>
        <w:widowControl/>
      </w:pPr>
      <w:r>
        <w:rPr>
          <w:b/>
          <w:color w:val="177C82"/>
          <w:sz w:val="18"/>
        </w:rPr>
        <w:t>15 / BOOK-LINKED LEARNING</w:t>
      </w:r>
    </w:p>
    <w:p>
      <w:pPr>
        <w:pStyle w:val="Heading1"/>
        <w:widowControl/>
      </w:pPr>
      <w:r>
        <w:t>Reading path: chapters 1–9</w:t>
      </w:r>
    </w:p>
    <w:tbl>
      <w:tblPr>
        <w:tblStyle w:val="LightShading-Accent1"/>
        <w:tblW w:type="auto" w:w="0"/>
        <w:tblLayout w:type="fixed"/>
        <w:tblLook w:firstColumn="1" w:firstRow="1" w:lastColumn="0" w:lastRow="0" w:noHBand="0" w:noVBand="1" w:val="04A0"/>
      </w:tblPr>
      <w:tblGrid>
        <w:gridCol w:w="3221"/>
        <w:gridCol w:w="3221"/>
        <w:gridCol w:w="3221"/>
      </w:tblGrid>
      <w:tr>
        <w:trPr>
          <w:tblHeader/>
          <w:cantSplit/>
        </w:trPr>
        <w:tc>
          <w:tcPr>
            <w:tcW w:type="dxa" w:w="5256"/>
          </w:tcPr>
          <w:p>
            <w:pPr>
              <w:widowControl/>
            </w:pPr>
            <w:r>
              <w:t>Chapter</w:t>
            </w:r>
          </w:p>
        </w:tc>
        <w:tc>
          <w:tcPr>
            <w:tcW w:type="dxa" w:w="2016"/>
          </w:tcPr>
          <w:p>
            <w:pPr>
              <w:widowControl/>
            </w:pPr>
            <w:r>
              <w:t>Executable entry</w:t>
            </w:r>
          </w:p>
        </w:tc>
        <w:tc>
          <w:tcPr>
            <w:tcW w:type="dxa" w:w="2304"/>
          </w:tcPr>
          <w:p>
            <w:pPr>
              <w:widowControl/>
            </w:pPr>
            <w:r>
              <w:t>Source sections</w:t>
            </w:r>
          </w:p>
        </w:tc>
      </w:tr>
      <w:tr>
        <w:trPr>
          <w:cantSplit/>
        </w:trPr>
        <w:tc>
          <w:tcPr>
            <w:tcW w:type="dxa" w:w="5256"/>
          </w:tcPr>
          <w:p>
            <w:pPr>
              <w:widowControl/>
              <w:spacing w:after="100"/>
            </w:pPr>
            <w:r>
              <w:rPr>
                <w:sz w:val="18"/>
              </w:rPr>
              <w:t>1. The problem of an actionable world</w:t>
            </w:r>
          </w:p>
        </w:tc>
        <w:tc>
          <w:tcPr>
            <w:tcW w:type="dxa" w:w="2016"/>
          </w:tcPr>
          <w:p>
            <w:pPr>
              <w:widowControl/>
              <w:spacing w:after="100"/>
            </w:pPr>
            <w:r>
              <w:rPr>
                <w:sz w:val="18"/>
              </w:rPr>
              <w:t>loop</w:t>
            </w:r>
          </w:p>
        </w:tc>
        <w:tc>
          <w:tcPr>
            <w:tcW w:type="dxa" w:w="2304"/>
          </w:tcPr>
          <w:p>
            <w:pPr>
              <w:widowControl/>
              <w:spacing w:after="100"/>
            </w:pPr>
            <w:r>
              <w:rPr>
                <w:sz w:val="18"/>
              </w:rPr>
              <w:t>1.8, 1.16</w:t>
            </w:r>
          </w:p>
        </w:tc>
      </w:tr>
      <w:tr>
        <w:trPr>
          <w:cantSplit/>
        </w:trPr>
        <w:tc>
          <w:tcPr>
            <w:tcW w:type="dxa" w:w="5256"/>
          </w:tcPr>
          <w:p>
            <w:pPr>
              <w:widowControl/>
              <w:spacing w:after="100"/>
            </w:pPr>
            <w:r>
              <w:rPr>
                <w:sz w:val="18"/>
              </w:rPr>
              <w:t>2. The physical prehistory of neural systems</w:t>
            </w:r>
          </w:p>
        </w:tc>
        <w:tc>
          <w:tcPr>
            <w:tcW w:type="dxa" w:w="2016"/>
          </w:tcPr>
          <w:p>
            <w:pPr>
              <w:widowControl/>
              <w:spacing w:after="100"/>
            </w:pPr>
            <w:r>
              <w:rPr>
                <w:sz w:val="18"/>
              </w:rPr>
              <w:t>nernst</w:t>
            </w:r>
          </w:p>
        </w:tc>
        <w:tc>
          <w:tcPr>
            <w:tcW w:type="dxa" w:w="2304"/>
          </w:tcPr>
          <w:p>
            <w:pPr>
              <w:widowControl/>
              <w:spacing w:after="100"/>
            </w:pPr>
            <w:r>
              <w:rPr>
                <w:sz w:val="18"/>
              </w:rPr>
              <w:t>2.7</w:t>
            </w:r>
          </w:p>
        </w:tc>
      </w:tr>
      <w:tr>
        <w:trPr>
          <w:cantSplit/>
        </w:trPr>
        <w:tc>
          <w:tcPr>
            <w:tcW w:type="dxa" w:w="5256"/>
          </w:tcPr>
          <w:p>
            <w:pPr>
              <w:widowControl/>
              <w:spacing w:after="100"/>
            </w:pPr>
            <w:r>
              <w:rPr>
                <w:sz w:val="18"/>
              </w:rPr>
              <w:t>3. Communication before the first neural nets</w:t>
            </w:r>
          </w:p>
        </w:tc>
        <w:tc>
          <w:tcPr>
            <w:tcW w:type="dxa" w:w="2016"/>
          </w:tcPr>
          <w:p>
            <w:pPr>
              <w:widowControl/>
              <w:spacing w:after="100"/>
            </w:pPr>
            <w:r>
              <w:rPr>
                <w:sz w:val="18"/>
              </w:rPr>
              <w:t>delay</w:t>
            </w:r>
          </w:p>
        </w:tc>
        <w:tc>
          <w:tcPr>
            <w:tcW w:type="dxa" w:w="2304"/>
          </w:tcPr>
          <w:p>
            <w:pPr>
              <w:widowControl/>
              <w:spacing w:after="100"/>
            </w:pPr>
            <w:r>
              <w:rPr>
                <w:sz w:val="18"/>
              </w:rPr>
              <w:t>3.1, 3.18</w:t>
            </w:r>
          </w:p>
        </w:tc>
      </w:tr>
      <w:tr>
        <w:trPr>
          <w:cantSplit/>
        </w:trPr>
        <w:tc>
          <w:tcPr>
            <w:tcW w:type="dxa" w:w="5256"/>
          </w:tcPr>
          <w:p>
            <w:pPr>
              <w:widowControl/>
              <w:spacing w:after="100"/>
            </w:pPr>
            <w:r>
              <w:rPr>
                <w:sz w:val="18"/>
              </w:rPr>
              <w:t>4. Evolutionary branches of centralization</w:t>
            </w:r>
          </w:p>
        </w:tc>
        <w:tc>
          <w:tcPr>
            <w:tcW w:type="dxa" w:w="2016"/>
          </w:tcPr>
          <w:p>
            <w:pPr>
              <w:widowControl/>
              <w:spacing w:after="100"/>
            </w:pPr>
            <w:r>
              <w:rPr>
                <w:sz w:val="18"/>
              </w:rPr>
              <w:t>network</w:t>
            </w:r>
          </w:p>
        </w:tc>
        <w:tc>
          <w:tcPr>
            <w:tcW w:type="dxa" w:w="2304"/>
          </w:tcPr>
          <w:p>
            <w:pPr>
              <w:widowControl/>
              <w:spacing w:after="100"/>
            </w:pPr>
            <w:r>
              <w:rPr>
                <w:sz w:val="18"/>
              </w:rPr>
              <w:t>4.10</w:t>
            </w:r>
          </w:p>
        </w:tc>
      </w:tr>
      <w:tr>
        <w:trPr>
          <w:cantSplit/>
        </w:trPr>
        <w:tc>
          <w:tcPr>
            <w:tcW w:type="dxa" w:w="5256"/>
          </w:tcPr>
          <w:p>
            <w:pPr>
              <w:widowControl/>
              <w:spacing w:after="100"/>
            </w:pPr>
            <w:r>
              <w:rPr>
                <w:sz w:val="18"/>
              </w:rPr>
              <w:t>5. Development, connections and experience</w:t>
            </w:r>
          </w:p>
        </w:tc>
        <w:tc>
          <w:tcPr>
            <w:tcW w:type="dxa" w:w="2016"/>
          </w:tcPr>
          <w:p>
            <w:pPr>
              <w:widowControl/>
              <w:spacing w:after="100"/>
            </w:pPr>
            <w:r>
              <w:rPr>
                <w:sz w:val="18"/>
              </w:rPr>
              <w:t>development</w:t>
            </w:r>
          </w:p>
        </w:tc>
        <w:tc>
          <w:tcPr>
            <w:tcW w:type="dxa" w:w="2304"/>
          </w:tcPr>
          <w:p>
            <w:pPr>
              <w:widowControl/>
              <w:spacing w:after="100"/>
            </w:pPr>
            <w:r>
              <w:rPr>
                <w:sz w:val="18"/>
              </w:rPr>
              <w:t>5.11, 5.16</w:t>
            </w:r>
          </w:p>
        </w:tc>
      </w:tr>
      <w:tr>
        <w:trPr>
          <w:cantSplit/>
        </w:trPr>
        <w:tc>
          <w:tcPr>
            <w:tcW w:type="dxa" w:w="5256"/>
          </w:tcPr>
          <w:p>
            <w:pPr>
              <w:widowControl/>
              <w:spacing w:after="100"/>
            </w:pPr>
            <w:r>
              <w:rPr>
                <w:sz w:val="18"/>
              </w:rPr>
              <w:t>6. Electrical neurons and propagation</w:t>
            </w:r>
          </w:p>
        </w:tc>
        <w:tc>
          <w:tcPr>
            <w:tcW w:type="dxa" w:w="2016"/>
          </w:tcPr>
          <w:p>
            <w:pPr>
              <w:widowControl/>
              <w:spacing w:after="100"/>
            </w:pPr>
            <w:r>
              <w:rPr>
                <w:sz w:val="18"/>
              </w:rPr>
              <w:t>hh</w:t>
            </w:r>
          </w:p>
        </w:tc>
        <w:tc>
          <w:tcPr>
            <w:tcW w:type="dxa" w:w="2304"/>
          </w:tcPr>
          <w:p>
            <w:pPr>
              <w:widowControl/>
              <w:spacing w:after="100"/>
            </w:pPr>
            <w:r>
              <w:rPr>
                <w:sz w:val="18"/>
              </w:rPr>
              <w:t>6.4, 6.6, 6.7</w:t>
            </w:r>
          </w:p>
        </w:tc>
      </w:tr>
      <w:tr>
        <w:trPr>
          <w:cantSplit/>
        </w:trPr>
        <w:tc>
          <w:tcPr>
            <w:tcW w:type="dxa" w:w="5256"/>
          </w:tcPr>
          <w:p>
            <w:pPr>
              <w:widowControl/>
              <w:spacing w:after="100"/>
            </w:pPr>
            <w:r>
              <w:rPr>
                <w:sz w:val="18"/>
              </w:rPr>
              <w:t>7. Synapses, glia and the cellular community</w:t>
            </w:r>
          </w:p>
        </w:tc>
        <w:tc>
          <w:tcPr>
            <w:tcW w:type="dxa" w:w="2016"/>
          </w:tcPr>
          <w:p>
            <w:pPr>
              <w:widowControl/>
              <w:spacing w:after="100"/>
            </w:pPr>
            <w:r>
              <w:rPr>
                <w:sz w:val="18"/>
              </w:rPr>
              <w:t>release</w:t>
            </w:r>
          </w:p>
        </w:tc>
        <w:tc>
          <w:tcPr>
            <w:tcW w:type="dxa" w:w="2304"/>
          </w:tcPr>
          <w:p>
            <w:pPr>
              <w:widowControl/>
              <w:spacing w:after="100"/>
            </w:pPr>
            <w:r>
              <w:rPr>
                <w:sz w:val="18"/>
              </w:rPr>
              <w:t>7.2, 7.3</w:t>
            </w:r>
          </w:p>
        </w:tc>
      </w:tr>
      <w:tr>
        <w:trPr>
          <w:cantSplit/>
        </w:trPr>
        <w:tc>
          <w:tcPr>
            <w:tcW w:type="dxa" w:w="5256"/>
          </w:tcPr>
          <w:p>
            <w:pPr>
              <w:widowControl/>
              <w:spacing w:after="100"/>
            </w:pPr>
            <w:r>
              <w:rPr>
                <w:sz w:val="18"/>
              </w:rPr>
              <w:t>8. Sensation and active perception</w:t>
            </w:r>
          </w:p>
        </w:tc>
        <w:tc>
          <w:tcPr>
            <w:tcW w:type="dxa" w:w="2016"/>
          </w:tcPr>
          <w:p>
            <w:pPr>
              <w:widowControl/>
              <w:spacing w:after="100"/>
            </w:pPr>
            <w:r>
              <w:rPr>
                <w:sz w:val="18"/>
              </w:rPr>
              <w:t>detection</w:t>
            </w:r>
          </w:p>
        </w:tc>
        <w:tc>
          <w:tcPr>
            <w:tcW w:type="dxa" w:w="2304"/>
          </w:tcPr>
          <w:p>
            <w:pPr>
              <w:widowControl/>
              <w:spacing w:after="100"/>
            </w:pPr>
            <w:r>
              <w:rPr>
                <w:sz w:val="18"/>
              </w:rPr>
              <w:t>8.15</w:t>
            </w:r>
          </w:p>
        </w:tc>
      </w:tr>
      <w:tr>
        <w:trPr>
          <w:cantSplit/>
        </w:trPr>
        <w:tc>
          <w:tcPr>
            <w:tcW w:type="dxa" w:w="5256"/>
          </w:tcPr>
          <w:p>
            <w:pPr>
              <w:widowControl/>
              <w:spacing w:after="100"/>
            </w:pPr>
            <w:r>
              <w:rPr>
                <w:sz w:val="18"/>
              </w:rPr>
              <w:t>9. Movement and feedback control</w:t>
            </w:r>
          </w:p>
        </w:tc>
        <w:tc>
          <w:tcPr>
            <w:tcW w:type="dxa" w:w="2016"/>
          </w:tcPr>
          <w:p>
            <w:pPr>
              <w:widowControl/>
              <w:spacing w:after="100"/>
            </w:pPr>
            <w:r>
              <w:rPr>
                <w:sz w:val="18"/>
              </w:rPr>
              <w:t>motor</w:t>
            </w:r>
          </w:p>
        </w:tc>
        <w:tc>
          <w:tcPr>
            <w:tcW w:type="dxa" w:w="2304"/>
          </w:tcPr>
          <w:p>
            <w:pPr>
              <w:widowControl/>
              <w:spacing w:after="100"/>
            </w:pPr>
            <w:r>
              <w:rPr>
                <w:sz w:val="18"/>
              </w:rPr>
              <w:t>9.7, 9.15</w:t>
            </w:r>
          </w:p>
        </w:tc>
      </w:tr>
    </w:tbl>
    <w:p>
      <w:pPr>
        <w:widowControl/>
      </w:pPr>
    </w:p>
    <w:p>
      <w:pPr>
        <w:widowControl/>
      </w:pPr>
      <w:r>
        <w:t>These mappings preserve the book’s distinction between physical conditions, evolutionary history, individual construction and ongoing operation. They do not turn living species into a ladder toward humans, nor claim a scalar model explains the origin of the entire nervous system.</w:t>
      </w:r>
    </w:p>
    <w:p>
      <w:pPr>
        <w:pStyle w:val="Heading2"/>
        <w:widowControl/>
      </w:pPr>
      <w:r>
        <w:t>A repeatable reading exercise</w:t>
      </w:r>
    </w:p>
    <w:p>
      <w:pPr>
        <w:widowControl/>
      </w:pPr>
      <w:r>
        <w:t>Read the linked section, write a prediction, run the default model and save the capsule. Change one permitted assumption and predict again before executing. Keep a case that contradicts the first expectation. State whether the result follows from the model algebra or has independent biological support.</w:t>
      </w:r>
    </w:p>
    <w:p>
      <w:pPr>
        <w:widowControl/>
      </w:pPr>
      <w:r>
        <w:t>Chapter hashes identify the exact supplied final source. The software distributes identifiers, original English interpretations and hashes; it does not republish the book’s 255,367-character body.</w:t>
      </w:r>
    </w:p>
    <w:p>
      <w:pPr>
        <w:widowControl/>
      </w:pPr>
      <w:r>
        <w:br w:type="page"/>
      </w:r>
    </w:p>
    <w:p>
      <w:pPr>
        <w:widowControl/>
      </w:pPr>
      <w:r>
        <w:rPr>
          <w:b/>
          <w:color w:val="177C82"/>
          <w:sz w:val="18"/>
        </w:rPr>
        <w:t>16 / FROM BODY TO OPEN INQUIRY</w:t>
      </w:r>
    </w:p>
    <w:p>
      <w:pPr>
        <w:pStyle w:val="Heading1"/>
        <w:widowControl/>
      </w:pPr>
      <w:r>
        <w:t>Reading path: chapters 10–18</w:t>
      </w:r>
    </w:p>
    <w:tbl>
      <w:tblPr>
        <w:tblStyle w:val="LightShading-Accent1"/>
        <w:tblW w:type="auto" w:w="0"/>
        <w:tblLayout w:type="fixed"/>
        <w:tblLook w:firstColumn="1" w:firstRow="1" w:lastColumn="0" w:lastRow="0" w:noHBand="0" w:noVBand="1" w:val="04A0"/>
      </w:tblPr>
      <w:tblGrid>
        <w:gridCol w:w="3221"/>
        <w:gridCol w:w="3221"/>
        <w:gridCol w:w="3221"/>
      </w:tblGrid>
      <w:tr>
        <w:trPr>
          <w:tblHeader/>
          <w:cantSplit/>
        </w:trPr>
        <w:tc>
          <w:tcPr>
            <w:tcW w:type="dxa" w:w="5256"/>
          </w:tcPr>
          <w:p>
            <w:pPr>
              <w:widowControl/>
            </w:pPr>
            <w:r>
              <w:t>Chapter</w:t>
            </w:r>
          </w:p>
        </w:tc>
        <w:tc>
          <w:tcPr>
            <w:tcW w:type="dxa" w:w="2016"/>
          </w:tcPr>
          <w:p>
            <w:pPr>
              <w:widowControl/>
            </w:pPr>
            <w:r>
              <w:t>Executable entry</w:t>
            </w:r>
          </w:p>
        </w:tc>
        <w:tc>
          <w:tcPr>
            <w:tcW w:type="dxa" w:w="2304"/>
          </w:tcPr>
          <w:p>
            <w:pPr>
              <w:widowControl/>
            </w:pPr>
            <w:r>
              <w:t>Source sections</w:t>
            </w:r>
          </w:p>
        </w:tc>
      </w:tr>
      <w:tr>
        <w:trPr>
          <w:cantSplit/>
        </w:trPr>
        <w:tc>
          <w:tcPr>
            <w:tcW w:type="dxa" w:w="5256"/>
          </w:tcPr>
          <w:p>
            <w:pPr>
              <w:widowControl/>
              <w:spacing w:after="100"/>
            </w:pPr>
            <w:r>
              <w:rPr>
                <w:sz w:val="18"/>
              </w:rPr>
              <w:t>10. Interoception and bodily regulation</w:t>
            </w:r>
          </w:p>
        </w:tc>
        <w:tc>
          <w:tcPr>
            <w:tcW w:type="dxa" w:w="2016"/>
          </w:tcPr>
          <w:p>
            <w:pPr>
              <w:widowControl/>
              <w:spacing w:after="100"/>
            </w:pPr>
            <w:r>
              <w:rPr>
                <w:sz w:val="18"/>
              </w:rPr>
              <w:t>body</w:t>
            </w:r>
          </w:p>
        </w:tc>
        <w:tc>
          <w:tcPr>
            <w:tcW w:type="dxa" w:w="2304"/>
          </w:tcPr>
          <w:p>
            <w:pPr>
              <w:widowControl/>
              <w:spacing w:after="100"/>
            </w:pPr>
            <w:r>
              <w:rPr>
                <w:sz w:val="18"/>
              </w:rPr>
              <w:t>10.1, 10.15</w:t>
            </w:r>
          </w:p>
        </w:tc>
      </w:tr>
      <w:tr>
        <w:trPr>
          <w:cantSplit/>
        </w:trPr>
        <w:tc>
          <w:tcPr>
            <w:tcW w:type="dxa" w:w="5256"/>
          </w:tcPr>
          <w:p>
            <w:pPr>
              <w:widowControl/>
              <w:spacing w:after="100"/>
            </w:pPr>
            <w:r>
              <w:rPr>
                <w:sz w:val="18"/>
              </w:rPr>
              <w:t>11. Learning, reconstruction and forgetting</w:t>
            </w:r>
          </w:p>
        </w:tc>
        <w:tc>
          <w:tcPr>
            <w:tcW w:type="dxa" w:w="2016"/>
          </w:tcPr>
          <w:p>
            <w:pPr>
              <w:widowControl/>
              <w:spacing w:after="100"/>
            </w:pPr>
            <w:r>
              <w:rPr>
                <w:sz w:val="18"/>
              </w:rPr>
              <w:t>attractor</w:t>
            </w:r>
          </w:p>
        </w:tc>
        <w:tc>
          <w:tcPr>
            <w:tcW w:type="dxa" w:w="2304"/>
          </w:tcPr>
          <w:p>
            <w:pPr>
              <w:widowControl/>
              <w:spacing w:after="100"/>
            </w:pPr>
            <w:r>
              <w:rPr>
                <w:sz w:val="18"/>
              </w:rPr>
              <w:t>11.9, 11.17</w:t>
            </w:r>
          </w:p>
        </w:tc>
      </w:tr>
      <w:tr>
        <w:trPr>
          <w:cantSplit/>
        </w:trPr>
        <w:tc>
          <w:tcPr>
            <w:tcW w:type="dxa" w:w="5256"/>
          </w:tcPr>
          <w:p>
            <w:pPr>
              <w:widowControl/>
              <w:spacing w:after="100"/>
            </w:pPr>
            <w:r>
              <w:rPr>
                <w:sz w:val="18"/>
              </w:rPr>
              <w:t>12. Value, affect and choice</w:t>
            </w:r>
          </w:p>
        </w:tc>
        <w:tc>
          <w:tcPr>
            <w:tcW w:type="dxa" w:w="2016"/>
          </w:tcPr>
          <w:p>
            <w:pPr>
              <w:widowControl/>
              <w:spacing w:after="100"/>
            </w:pPr>
            <w:r>
              <w:rPr>
                <w:sz w:val="18"/>
              </w:rPr>
              <w:t>td</w:t>
            </w:r>
          </w:p>
        </w:tc>
        <w:tc>
          <w:tcPr>
            <w:tcW w:type="dxa" w:w="2304"/>
          </w:tcPr>
          <w:p>
            <w:pPr>
              <w:widowControl/>
              <w:spacing w:after="100"/>
            </w:pPr>
            <w:r>
              <w:rPr>
                <w:sz w:val="18"/>
              </w:rPr>
              <w:t>12.3, 12.5</w:t>
            </w:r>
          </w:p>
        </w:tc>
      </w:tr>
      <w:tr>
        <w:trPr>
          <w:cantSplit/>
        </w:trPr>
        <w:tc>
          <w:tcPr>
            <w:tcW w:type="dxa" w:w="5256"/>
          </w:tcPr>
          <w:p>
            <w:pPr>
              <w:widowControl/>
              <w:spacing w:after="100"/>
            </w:pPr>
            <w:r>
              <w:rPr>
                <w:sz w:val="18"/>
              </w:rPr>
              <w:t>13. Sleep, rhythms and a lifetime</w:t>
            </w:r>
          </w:p>
        </w:tc>
        <w:tc>
          <w:tcPr>
            <w:tcW w:type="dxa" w:w="2016"/>
          </w:tcPr>
          <w:p>
            <w:pPr>
              <w:widowControl/>
              <w:spacing w:after="100"/>
            </w:pPr>
            <w:r>
              <w:rPr>
                <w:sz w:val="18"/>
              </w:rPr>
              <w:t>sleep</w:t>
            </w:r>
          </w:p>
        </w:tc>
        <w:tc>
          <w:tcPr>
            <w:tcW w:type="dxa" w:w="2304"/>
          </w:tcPr>
          <w:p>
            <w:pPr>
              <w:widowControl/>
              <w:spacing w:after="100"/>
            </w:pPr>
            <w:r>
              <w:rPr>
                <w:sz w:val="18"/>
              </w:rPr>
              <w:t>13.2, 13.3</w:t>
            </w:r>
          </w:p>
        </w:tc>
      </w:tr>
      <w:tr>
        <w:trPr>
          <w:cantSplit/>
        </w:trPr>
        <w:tc>
          <w:tcPr>
            <w:tcW w:type="dxa" w:w="5256"/>
          </w:tcPr>
          <w:p>
            <w:pPr>
              <w:widowControl/>
              <w:spacing w:after="100"/>
            </w:pPr>
            <w:r>
              <w:rPr>
                <w:sz w:val="18"/>
              </w:rPr>
              <w:t>14. Damage and functional repair</w:t>
            </w:r>
          </w:p>
        </w:tc>
        <w:tc>
          <w:tcPr>
            <w:tcW w:type="dxa" w:w="2016"/>
          </w:tcPr>
          <w:p>
            <w:pPr>
              <w:widowControl/>
              <w:spacing w:after="100"/>
            </w:pPr>
            <w:r>
              <w:rPr>
                <w:sz w:val="18"/>
              </w:rPr>
              <w:t>cable</w:t>
            </w:r>
          </w:p>
        </w:tc>
        <w:tc>
          <w:tcPr>
            <w:tcW w:type="dxa" w:w="2304"/>
          </w:tcPr>
          <w:p>
            <w:pPr>
              <w:widowControl/>
              <w:spacing w:after="100"/>
            </w:pPr>
            <w:r>
              <w:rPr>
                <w:sz w:val="18"/>
              </w:rPr>
              <w:t>14.7</w:t>
            </w:r>
          </w:p>
        </w:tc>
      </w:tr>
      <w:tr>
        <w:trPr>
          <w:cantSplit/>
        </w:trPr>
        <w:tc>
          <w:tcPr>
            <w:tcW w:type="dxa" w:w="5256"/>
          </w:tcPr>
          <w:p>
            <w:pPr>
              <w:widowControl/>
              <w:spacing w:after="100"/>
            </w:pPr>
            <w:r>
              <w:rPr>
                <w:sz w:val="18"/>
              </w:rPr>
              <w:t>15. Language, other people and culture</w:t>
            </w:r>
          </w:p>
        </w:tc>
        <w:tc>
          <w:tcPr>
            <w:tcW w:type="dxa" w:w="2016"/>
          </w:tcPr>
          <w:p>
            <w:pPr>
              <w:widowControl/>
              <w:spacing w:after="100"/>
            </w:pPr>
            <w:r>
              <w:rPr>
                <w:sz w:val="18"/>
              </w:rPr>
              <w:t>social</w:t>
            </w:r>
          </w:p>
        </w:tc>
        <w:tc>
          <w:tcPr>
            <w:tcW w:type="dxa" w:w="2304"/>
          </w:tcPr>
          <w:p>
            <w:pPr>
              <w:widowControl/>
              <w:spacing w:after="100"/>
            </w:pPr>
            <w:r>
              <w:rPr>
                <w:sz w:val="18"/>
              </w:rPr>
              <w:t>15.10, 15.14</w:t>
            </w:r>
          </w:p>
        </w:tc>
      </w:tr>
      <w:tr>
        <w:trPr>
          <w:cantSplit/>
        </w:trPr>
        <w:tc>
          <w:tcPr>
            <w:tcW w:type="dxa" w:w="5256"/>
          </w:tcPr>
          <w:p>
            <w:pPr>
              <w:widowControl/>
              <w:spacing w:after="100"/>
            </w:pPr>
            <w:r>
              <w:rPr>
                <w:sz w:val="18"/>
              </w:rPr>
              <w:t>16. Consciousness, self and testable distinctions</w:t>
            </w:r>
          </w:p>
        </w:tc>
        <w:tc>
          <w:tcPr>
            <w:tcW w:type="dxa" w:w="2016"/>
          </w:tcPr>
          <w:p>
            <w:pPr>
              <w:widowControl/>
              <w:spacing w:after="100"/>
            </w:pPr>
            <w:r>
              <w:rPr>
                <w:sz w:val="18"/>
              </w:rPr>
              <w:t>access</w:t>
            </w:r>
          </w:p>
        </w:tc>
        <w:tc>
          <w:tcPr>
            <w:tcW w:type="dxa" w:w="2304"/>
          </w:tcPr>
          <w:p>
            <w:pPr>
              <w:widowControl/>
              <w:spacing w:after="100"/>
            </w:pPr>
            <w:r>
              <w:rPr>
                <w:sz w:val="18"/>
              </w:rPr>
              <w:t>16.3, 16.5, 16.17</w:t>
            </w:r>
          </w:p>
        </w:tc>
      </w:tr>
      <w:tr>
        <w:trPr>
          <w:cantSplit/>
        </w:trPr>
        <w:tc>
          <w:tcPr>
            <w:tcW w:type="dxa" w:w="5256"/>
          </w:tcPr>
          <w:p>
            <w:pPr>
              <w:widowControl/>
              <w:spacing w:after="100"/>
            </w:pPr>
            <w:r>
              <w:rPr>
                <w:sz w:val="18"/>
              </w:rPr>
              <w:t>17. Connectomes, causal models and neural engineering</w:t>
            </w:r>
          </w:p>
        </w:tc>
        <w:tc>
          <w:tcPr>
            <w:tcW w:type="dxa" w:w="2016"/>
          </w:tcPr>
          <w:p>
            <w:pPr>
              <w:widowControl/>
              <w:spacing w:after="100"/>
            </w:pPr>
            <w:r>
              <w:rPr>
                <w:sz w:val="18"/>
              </w:rPr>
              <w:t>identify</w:t>
            </w:r>
          </w:p>
        </w:tc>
        <w:tc>
          <w:tcPr>
            <w:tcW w:type="dxa" w:w="2304"/>
          </w:tcPr>
          <w:p>
            <w:pPr>
              <w:widowControl/>
              <w:spacing w:after="100"/>
            </w:pPr>
            <w:r>
              <w:rPr>
                <w:sz w:val="18"/>
              </w:rPr>
              <w:t>17.7, 17.8, 17.9</w:t>
            </w:r>
          </w:p>
        </w:tc>
      </w:tr>
      <w:tr>
        <w:trPr>
          <w:cantSplit/>
        </w:trPr>
        <w:tc>
          <w:tcPr>
            <w:tcW w:type="dxa" w:w="5256"/>
          </w:tcPr>
          <w:p>
            <w:pPr>
              <w:widowControl/>
              <w:spacing w:after="100"/>
            </w:pPr>
            <w:r>
              <w:rPr>
                <w:sz w:val="18"/>
              </w:rPr>
              <w:t>18. Energy, information and possible minds</w:t>
            </w:r>
          </w:p>
        </w:tc>
        <w:tc>
          <w:tcPr>
            <w:tcW w:type="dxa" w:w="2016"/>
          </w:tcPr>
          <w:p>
            <w:pPr>
              <w:widowControl/>
              <w:spacing w:after="100"/>
            </w:pPr>
            <w:r>
              <w:rPr>
                <w:sz w:val="18"/>
              </w:rPr>
              <w:t>energy</w:t>
            </w:r>
          </w:p>
        </w:tc>
        <w:tc>
          <w:tcPr>
            <w:tcW w:type="dxa" w:w="2304"/>
          </w:tcPr>
          <w:p>
            <w:pPr>
              <w:widowControl/>
              <w:spacing w:after="100"/>
            </w:pPr>
            <w:r>
              <w:rPr>
                <w:sz w:val="18"/>
              </w:rPr>
              <w:t>18.4, 18.8, 18.11</w:t>
            </w:r>
          </w:p>
        </w:tc>
      </w:tr>
    </w:tbl>
    <w:p>
      <w:pPr>
        <w:widowControl/>
      </w:pPr>
    </w:p>
    <w:p>
      <w:pPr>
        <w:widowControl/>
      </w:pPr>
      <w:r>
        <w:t>The memory-attractor lab and the evidence-versioning lab are intentionally separate. One models retrieval dynamics in a small symmetric network; the other preserves sources and interpretations in software. Their relationship is a research analogy that can generate tasks, not proof that neurons store event-log schemas.</w:t>
      </w:r>
    </w:p>
    <w:p>
      <w:pPr>
        <w:widowControl/>
      </w:pPr>
      <w:r>
        <w:t>The access lab makes report availability distinguishable from task performance. It preserves the book’s caution about observation and experience, rather than returning a numerical consciousness verdict. The energy lab keeps limits and candidate variables explicit instead of deriving value from resource use.</w:t>
      </w:r>
    </w:p>
    <w:p>
      <w:pPr>
        <w:widowControl/>
      </w:pPr>
      <w:r>
        <w:br w:type="page"/>
      </w:r>
    </w:p>
    <w:p>
      <w:pPr>
        <w:widowControl/>
      </w:pPr>
      <w:r>
        <w:rPr>
          <w:b/>
          <w:color w:val="177C82"/>
          <w:sz w:val="18"/>
        </w:rPr>
        <w:t>17 / BEYOND ONE LAB PER CHAPTER</w:t>
      </w:r>
    </w:p>
    <w:p>
      <w:pPr>
        <w:pStyle w:val="Heading1"/>
        <w:widowControl/>
      </w:pPr>
      <w:r>
        <w:t>Six extension entries and interoperability</w:t>
      </w:r>
    </w:p>
    <w:tbl>
      <w:tblPr>
        <w:tblStyle w:val="LightShading-Accent1"/>
        <w:tblW w:type="auto" w:w="0"/>
        <w:tblLayout w:type="fixed"/>
        <w:tblLook w:firstColumn="1" w:firstRow="1" w:lastColumn="0" w:lastRow="0" w:noHBand="0" w:noVBand="1" w:val="04A0"/>
      </w:tblPr>
      <w:tblGrid>
        <w:gridCol w:w="3221"/>
        <w:gridCol w:w="3221"/>
        <w:gridCol w:w="3221"/>
      </w:tblGrid>
      <w:tr>
        <w:trPr>
          <w:tblHeader/>
          <w:cantSplit/>
        </w:trPr>
        <w:tc>
          <w:tcPr>
            <w:tcW w:type="dxa" w:w="1728"/>
          </w:tcPr>
          <w:p>
            <w:pPr>
              <w:widowControl/>
            </w:pPr>
            <w:r>
              <w:t>Entry</w:t>
            </w:r>
          </w:p>
        </w:tc>
        <w:tc>
          <w:tcPr>
            <w:tcW w:type="dxa" w:w="4320"/>
          </w:tcPr>
          <w:p>
            <w:pPr>
              <w:widowControl/>
            </w:pPr>
            <w:r>
              <w:t>Purpose</w:t>
            </w:r>
          </w:p>
        </w:tc>
        <w:tc>
          <w:tcPr>
            <w:tcW w:type="dxa" w:w="3528"/>
          </w:tcPr>
          <w:p>
            <w:pPr>
              <w:widowControl/>
            </w:pPr>
            <w:r>
              <w:t>Limit</w:t>
            </w:r>
          </w:p>
        </w:tc>
      </w:tr>
      <w:tr>
        <w:trPr>
          <w:cantSplit/>
        </w:trPr>
        <w:tc>
          <w:tcPr>
            <w:tcW w:type="dxa" w:w="1728"/>
          </w:tcPr>
          <w:p>
            <w:pPr>
              <w:widowControl/>
              <w:spacing w:after="100"/>
            </w:pPr>
            <w:r>
              <w:rPr>
                <w:sz w:val="18"/>
              </w:rPr>
              <w:t>clamp</w:t>
            </w:r>
          </w:p>
        </w:tc>
        <w:tc>
          <w:tcPr>
            <w:tcW w:type="dxa" w:w="4320"/>
          </w:tcPr>
          <w:p>
            <w:pPr>
              <w:widowControl/>
              <w:spacing w:after="100"/>
            </w:pPr>
            <w:r>
              <w:rPr>
                <w:sz w:val="18"/>
              </w:rPr>
              <w:t>Inspect voltage-dependent gate fractions and time constants.</w:t>
            </w:r>
          </w:p>
        </w:tc>
        <w:tc>
          <w:tcPr>
            <w:tcW w:type="dxa" w:w="3528"/>
          </w:tcPr>
          <w:p>
            <w:pPr>
              <w:widowControl/>
              <w:spacing w:after="100"/>
            </w:pPr>
            <w:r>
              <w:rPr>
                <w:sz w:val="18"/>
              </w:rPr>
              <w:t>Fixed canonical kinetics.</w:t>
            </w:r>
          </w:p>
        </w:tc>
      </w:tr>
      <w:tr>
        <w:trPr>
          <w:cantSplit/>
        </w:trPr>
        <w:tc>
          <w:tcPr>
            <w:tcW w:type="dxa" w:w="1728"/>
          </w:tcPr>
          <w:p>
            <w:pPr>
              <w:widowControl/>
              <w:spacing w:after="100"/>
            </w:pPr>
            <w:r>
              <w:rPr>
                <w:sz w:val="18"/>
              </w:rPr>
              <w:t>alias</w:t>
            </w:r>
          </w:p>
        </w:tc>
        <w:tc>
          <w:tcPr>
            <w:tcW w:type="dxa" w:w="4320"/>
          </w:tcPr>
          <w:p>
            <w:pPr>
              <w:widowControl/>
              <w:spacing w:after="100"/>
            </w:pPr>
            <w:r>
              <w:rPr>
                <w:sz w:val="18"/>
              </w:rPr>
              <w:t>Check equivalence of different sources after sampling.</w:t>
            </w:r>
          </w:p>
        </w:tc>
        <w:tc>
          <w:tcPr>
            <w:tcW w:type="dxa" w:w="3528"/>
          </w:tcPr>
          <w:p>
            <w:pPr>
              <w:widowControl/>
              <w:spacing w:after="100"/>
            </w:pPr>
            <w:r>
              <w:rPr>
                <w:sz w:val="18"/>
              </w:rPr>
              <w:t>No anti-alias acquisition stack.</w:t>
            </w:r>
          </w:p>
        </w:tc>
      </w:tr>
      <w:tr>
        <w:trPr>
          <w:cantSplit/>
        </w:trPr>
        <w:tc>
          <w:tcPr>
            <w:tcW w:type="dxa" w:w="1728"/>
          </w:tcPr>
          <w:p>
            <w:pPr>
              <w:widowControl/>
              <w:spacing w:after="100"/>
            </w:pPr>
            <w:r>
              <w:rPr>
                <w:sz w:val="18"/>
              </w:rPr>
              <w:t>mapping</w:t>
            </w:r>
          </w:p>
        </w:tc>
        <w:tc>
          <w:tcPr>
            <w:tcW w:type="dxa" w:w="4320"/>
          </w:tcPr>
          <w:p>
            <w:pPr>
              <w:widowControl/>
              <w:spacing w:after="100"/>
            </w:pPr>
            <w:r>
              <w:rPr>
                <w:sz w:val="18"/>
              </w:rPr>
              <w:t>Matched-cue, paired-seed remapping study.</w:t>
            </w:r>
          </w:p>
        </w:tc>
        <w:tc>
          <w:tcPr>
            <w:tcW w:type="dxa" w:w="3528"/>
          </w:tcPr>
          <w:p>
            <w:pPr>
              <w:widowControl/>
              <w:spacing w:after="100"/>
            </w:pPr>
            <w:r>
              <w:rPr>
                <w:sz w:val="18"/>
              </w:rPr>
              <w:t>Synthetic tasks and assumed costs.</w:t>
            </w:r>
          </w:p>
        </w:tc>
      </w:tr>
      <w:tr>
        <w:trPr>
          <w:cantSplit/>
        </w:trPr>
        <w:tc>
          <w:tcPr>
            <w:tcW w:type="dxa" w:w="1728"/>
          </w:tcPr>
          <w:p>
            <w:pPr>
              <w:widowControl/>
              <w:spacing w:after="100"/>
            </w:pPr>
            <w:r>
              <w:rPr>
                <w:sz w:val="18"/>
              </w:rPr>
              <w:t>revision</w:t>
            </w:r>
          </w:p>
        </w:tc>
        <w:tc>
          <w:tcPr>
            <w:tcW w:type="dxa" w:w="4320"/>
          </w:tcPr>
          <w:p>
            <w:pPr>
              <w:widowControl/>
              <w:spacing w:after="100"/>
            </w:pPr>
            <w:r>
              <w:rPr>
                <w:sz w:val="18"/>
              </w:rPr>
              <w:t>Query source/interpretation/goal history under correction.</w:t>
            </w:r>
          </w:p>
        </w:tc>
        <w:tc>
          <w:tcPr>
            <w:tcW w:type="dxa" w:w="3528"/>
          </w:tcPr>
          <w:p>
            <w:pPr>
              <w:widowControl/>
              <w:spacing w:after="100"/>
            </w:pPr>
            <w:r>
              <w:rPr>
                <w:sz w:val="18"/>
              </w:rPr>
              <w:t>Constructed tasks; serialized-byte cost.</w:t>
            </w:r>
          </w:p>
        </w:tc>
      </w:tr>
      <w:tr>
        <w:trPr>
          <w:cantSplit/>
        </w:trPr>
        <w:tc>
          <w:tcPr>
            <w:tcW w:type="dxa" w:w="1728"/>
          </w:tcPr>
          <w:p>
            <w:pPr>
              <w:widowControl/>
              <w:spacing w:after="100"/>
            </w:pPr>
            <w:r>
              <w:rPr>
                <w:sz w:val="18"/>
              </w:rPr>
              <w:t>tournament</w:t>
            </w:r>
          </w:p>
        </w:tc>
        <w:tc>
          <w:tcPr>
            <w:tcW w:type="dxa" w:w="4320"/>
          </w:tcPr>
          <w:p>
            <w:pPr>
              <w:widowControl/>
              <w:spacing w:after="100"/>
            </w:pPr>
            <w:r>
              <w:rPr>
                <w:sz w:val="18"/>
              </w:rPr>
              <w:t>Validate nested predictive models with a final test partition.</w:t>
            </w:r>
          </w:p>
        </w:tc>
        <w:tc>
          <w:tcPr>
            <w:tcW w:type="dxa" w:w="3528"/>
          </w:tcPr>
          <w:p>
            <w:pPr>
              <w:widowControl/>
              <w:spacing w:after="100"/>
            </w:pPr>
            <w:r>
              <w:rPr>
                <w:sz w:val="18"/>
              </w:rPr>
              <w:t>Observed synthetic history, small OLS.</w:t>
            </w:r>
          </w:p>
        </w:tc>
      </w:tr>
      <w:tr>
        <w:trPr>
          <w:cantSplit/>
        </w:trPr>
        <w:tc>
          <w:tcPr>
            <w:tcW w:type="dxa" w:w="1728"/>
          </w:tcPr>
          <w:p>
            <w:pPr>
              <w:widowControl/>
              <w:spacing w:after="100"/>
            </w:pPr>
            <w:r>
              <w:rPr>
                <w:sz w:val="18"/>
              </w:rPr>
              <w:t>candidate</w:t>
            </w:r>
          </w:p>
        </w:tc>
        <w:tc>
          <w:tcPr>
            <w:tcW w:type="dxa" w:w="4320"/>
          </w:tcPr>
          <w:p>
            <w:pPr>
              <w:widowControl/>
              <w:spacing w:after="100"/>
            </w:pPr>
            <w:r>
              <w:rPr>
                <w:sz w:val="18"/>
              </w:rPr>
              <w:t>Evaluate an explicitly dimensional energy-information feature.</w:t>
            </w:r>
          </w:p>
        </w:tc>
        <w:tc>
          <w:tcPr>
            <w:tcW w:type="dxa" w:w="3528"/>
          </w:tcPr>
          <w:p>
            <w:pPr>
              <w:widowControl/>
              <w:spacing w:after="100"/>
            </w:pPr>
            <w:r>
              <w:rPr>
                <w:sz w:val="18"/>
              </w:rPr>
              <w:t>Cannot identify an independent field.</w:t>
            </w:r>
          </w:p>
        </w:tc>
      </w:tr>
    </w:tbl>
    <w:p>
      <w:pPr>
        <w:widowControl/>
      </w:pPr>
    </w:p>
    <w:p>
      <w:pPr>
        <w:pStyle w:val="Heading2"/>
        <w:widowControl/>
      </w:pPr>
      <w:r>
        <w:t>Read-only cross-organ record exchange</w:t>
      </w:r>
    </w:p>
    <w:p>
      <w:pPr>
        <w:pStyle w:val="Code"/>
        <w:widowControl/>
      </w:pPr>
      <w:r>
        <w:t>python run.py bridge --input examples/nephrogenesis_transport_result.json \</w:t>
      </w:r>
    </w:p>
    <w:p>
      <w:pPr>
        <w:pStyle w:val="Code"/>
        <w:widowControl/>
      </w:pPr>
      <w:r>
        <w:t xml:space="preserve">  --out runs/kidney-record.json</w:t>
      </w:r>
    </w:p>
    <w:p>
      <w:pPr>
        <w:widowControl/>
      </w:pPr>
      <w:r>
        <w:t>The supplied renal example was actually generated from the inspected NEPHROGENESIS engine. The adapter preserves the original result and its file digest in a new envelope labeled imported_unverified. It records the original book sections and explicitly says that renal state units, control semantics and outcomes have not been converted into neural variables.</w:t>
      </w:r>
    </w:p>
    <w:p>
      <w:pPr>
        <w:widowControl/>
      </w:pPr>
      <w:r>
        <w:t>This is a tested narrow interoperability step, not a claim that all DIKWP repositories share a working API. It does not execute foreign code, couple organ state equations, verify source-run integrity or produce clinical conclusions. Other upstream native integrations remain outside this release.</w:t>
      </w:r>
    </w:p>
    <w:p>
      <w:pPr>
        <w:widowControl/>
      </w:pPr>
      <w:r>
        <w:br w:type="page"/>
      </w:r>
    </w:p>
    <w:p>
      <w:pPr>
        <w:widowControl/>
      </w:pPr>
      <w:r>
        <w:rPr>
          <w:b/>
          <w:color w:val="177C82"/>
          <w:sz w:val="18"/>
        </w:rPr>
        <w:t>18 / MEASURED RESULTS</w:t>
      </w:r>
    </w:p>
    <w:p>
      <w:pPr>
        <w:pStyle w:val="Heading1"/>
        <w:widowControl/>
      </w:pPr>
      <w:r>
        <w:t>Verification that can be inspected</w:t>
      </w:r>
    </w:p>
    <w:tbl>
      <w:tblPr>
        <w:tblStyle w:val="LightShading-Accent1"/>
        <w:tblW w:type="auto" w:w="0"/>
        <w:tblLayout w:type="fixed"/>
        <w:tblLook w:firstColumn="1" w:firstRow="1" w:lastColumn="0" w:lastRow="0" w:noHBand="0" w:noVBand="1" w:val="04A0"/>
      </w:tblPr>
      <w:tblGrid>
        <w:gridCol w:w="4831"/>
        <w:gridCol w:w="4831"/>
      </w:tblGrid>
      <w:tr>
        <w:trPr>
          <w:tblHeader/>
          <w:cantSplit/>
        </w:trPr>
        <w:tc>
          <w:tcPr>
            <w:tcW w:type="dxa" w:w="4608"/>
          </w:tcPr>
          <w:p>
            <w:pPr>
              <w:widowControl/>
            </w:pPr>
            <w:r>
              <w:t>Gate</w:t>
            </w:r>
          </w:p>
        </w:tc>
        <w:tc>
          <w:tcPr>
            <w:tcW w:type="dxa" w:w="4968"/>
          </w:tcPr>
          <w:p>
            <w:pPr>
              <w:widowControl/>
            </w:pPr>
            <w:r>
              <w:t>Observed result</w:t>
            </w:r>
          </w:p>
        </w:tc>
      </w:tr>
      <w:tr>
        <w:trPr>
          <w:cantSplit/>
        </w:trPr>
        <w:tc>
          <w:tcPr>
            <w:tcW w:type="dxa" w:w="4608"/>
          </w:tcPr>
          <w:p>
            <w:pPr>
              <w:widowControl/>
              <w:spacing w:after="100"/>
            </w:pPr>
            <w:r>
              <w:rPr>
                <w:sz w:val="18"/>
              </w:rPr>
              <w:t>New-system unittest suite</w:t>
            </w:r>
          </w:p>
        </w:tc>
        <w:tc>
          <w:tcPr>
            <w:tcW w:type="dxa" w:w="4968"/>
          </w:tcPr>
          <w:p>
            <w:pPr>
              <w:widowControl/>
              <w:spacing w:after="100"/>
            </w:pPr>
            <w:r>
              <w:rPr>
                <w:sz w:val="18"/>
              </w:rPr>
              <w:t>235 tests; 0 failures, 0 errors.</w:t>
            </w:r>
          </w:p>
        </w:tc>
      </w:tr>
      <w:tr>
        <w:trPr>
          <w:cantSplit/>
        </w:trPr>
        <w:tc>
          <w:tcPr>
            <w:tcW w:type="dxa" w:w="4608"/>
          </w:tcPr>
          <w:p>
            <w:pPr>
              <w:widowControl/>
              <w:spacing w:after="100"/>
            </w:pPr>
            <w:r>
              <w:rPr>
                <w:sz w:val="18"/>
              </w:rPr>
              <w:t>Core imported statement / branch coverage</w:t>
            </w:r>
          </w:p>
        </w:tc>
        <w:tc>
          <w:tcPr>
            <w:tcW w:type="dxa" w:w="4968"/>
          </w:tcPr>
          <w:p>
            <w:pPr>
              <w:widowControl/>
              <w:spacing w:after="100"/>
            </w:pPr>
            <w:r>
              <w:rPr>
                <w:sz w:val="18"/>
              </w:rPr>
              <w:t>96.12% / 87.10%; CLI subprocess coverage excluded.</w:t>
            </w:r>
          </w:p>
        </w:tc>
      </w:tr>
      <w:tr>
        <w:trPr>
          <w:cantSplit/>
        </w:trPr>
        <w:tc>
          <w:tcPr>
            <w:tcW w:type="dxa" w:w="4608"/>
          </w:tcPr>
          <w:p>
            <w:pPr>
              <w:widowControl/>
              <w:spacing w:after="100"/>
            </w:pPr>
            <w:r>
              <w:rPr>
                <w:sz w:val="18"/>
              </w:rPr>
              <w:t>Default experiments</w:t>
            </w:r>
          </w:p>
        </w:tc>
        <w:tc>
          <w:tcPr>
            <w:tcW w:type="dxa" w:w="4968"/>
          </w:tcPr>
          <w:p>
            <w:pPr>
              <w:widowControl/>
              <w:spacing w:after="100"/>
            </w:pPr>
            <w:r>
              <w:rPr>
                <w:sz w:val="18"/>
              </w:rPr>
              <w:t>24 successfully generated and actually recomputed.</w:t>
            </w:r>
          </w:p>
        </w:tc>
      </w:tr>
      <w:tr>
        <w:trPr>
          <w:cantSplit/>
        </w:trPr>
        <w:tc>
          <w:tcPr>
            <w:tcW w:type="dxa" w:w="4608"/>
          </w:tcPr>
          <w:p>
            <w:pPr>
              <w:widowControl/>
              <w:spacing w:after="100"/>
            </w:pPr>
            <w:r>
              <w:rPr>
                <w:sz w:val="18"/>
              </w:rPr>
              <w:t>Passive CSV fit</w:t>
            </w:r>
          </w:p>
        </w:tc>
        <w:tc>
          <w:tcPr>
            <w:tcW w:type="dxa" w:w="4968"/>
          </w:tcPr>
          <w:p>
            <w:pPr>
              <w:widowControl/>
              <w:spacing w:after="100"/>
            </w:pPr>
            <w:r>
              <w:rPr>
                <w:sz w:val="18"/>
              </w:rPr>
              <w:t>Saved and recomputed in addition to the 24 defaults.</w:t>
            </w:r>
          </w:p>
        </w:tc>
      </w:tr>
      <w:tr>
        <w:trPr>
          <w:cantSplit/>
        </w:trPr>
        <w:tc>
          <w:tcPr>
            <w:tcW w:type="dxa" w:w="4608"/>
          </w:tcPr>
          <w:p>
            <w:pPr>
              <w:widowControl/>
              <w:spacing w:after="100"/>
            </w:pPr>
            <w:r>
              <w:rPr>
                <w:sz w:val="18"/>
              </w:rPr>
              <w:t>Independent HH RHS + DOP853</w:t>
            </w:r>
          </w:p>
        </w:tc>
        <w:tc>
          <w:tcPr>
            <w:tcW w:type="dxa" w:w="4968"/>
          </w:tcPr>
          <w:p>
            <w:pPr>
              <w:widowControl/>
              <w:spacing w:after="100"/>
            </w:pPr>
            <w:r>
              <w:rPr>
                <w:sz w:val="18"/>
              </w:rPr>
              <w:t>Voltage difference shrinks under three RK4 step sizes.</w:t>
            </w:r>
          </w:p>
        </w:tc>
      </w:tr>
      <w:tr>
        <w:trPr>
          <w:cantSplit/>
        </w:trPr>
        <w:tc>
          <w:tcPr>
            <w:tcW w:type="dxa" w:w="4608"/>
          </w:tcPr>
          <w:p>
            <w:pPr>
              <w:widowControl/>
              <w:spacing w:after="100"/>
            </w:pPr>
            <w:r>
              <w:rPr>
                <w:sz w:val="18"/>
              </w:rPr>
              <w:t>Browser harness</w:t>
            </w:r>
          </w:p>
        </w:tc>
        <w:tc>
          <w:tcPr>
            <w:tcW w:type="dxa" w:w="4968"/>
          </w:tcPr>
          <w:p>
            <w:pPr>
              <w:widowControl/>
              <w:spacing w:after="100"/>
            </w:pPr>
            <w:r>
              <w:rPr>
                <w:sz w:val="18"/>
              </w:rPr>
              <w:t>24 labs, 18 chapter buttons, fit, download and mobile layout checked.</w:t>
            </w:r>
          </w:p>
        </w:tc>
      </w:tr>
      <w:tr>
        <w:trPr>
          <w:cantSplit/>
        </w:trPr>
        <w:tc>
          <w:tcPr>
            <w:tcW w:type="dxa" w:w="4608"/>
          </w:tcPr>
          <w:p>
            <w:pPr>
              <w:widowControl/>
              <w:spacing w:after="100"/>
            </w:pPr>
            <w:r>
              <w:rPr>
                <w:sz w:val="18"/>
              </w:rPr>
              <w:t>Real Python HTTP</w:t>
            </w:r>
          </w:p>
        </w:tc>
        <w:tc>
          <w:tcPr>
            <w:tcW w:type="dxa" w:w="4968"/>
          </w:tcPr>
          <w:p>
            <w:pPr>
              <w:widowControl/>
              <w:spacing w:after="100"/>
            </w:pPr>
            <w:r>
              <w:rPr>
                <w:sz w:val="18"/>
              </w:rPr>
              <w:t>All experiment endpoints plus malformed-input and access checks.</w:t>
            </w:r>
          </w:p>
        </w:tc>
      </w:tr>
      <w:tr>
        <w:trPr>
          <w:cantSplit/>
        </w:trPr>
        <w:tc>
          <w:tcPr>
            <w:tcW w:type="dxa" w:w="4608"/>
          </w:tcPr>
          <w:p>
            <w:pPr>
              <w:widowControl/>
              <w:spacing w:after="100"/>
            </w:pPr>
            <w:r>
              <w:rPr>
                <w:sz w:val="18"/>
              </w:rPr>
              <w:t>Upstream baseline, not added to new test count</w:t>
            </w:r>
          </w:p>
        </w:tc>
        <w:tc>
          <w:tcPr>
            <w:tcW w:type="dxa" w:w="4968"/>
          </w:tcPr>
          <w:p>
            <w:pPr>
              <w:widowControl/>
              <w:spacing w:after="100"/>
            </w:pPr>
            <w:r>
              <w:rPr>
                <w:sz w:val="18"/>
              </w:rPr>
              <w:t>198 tests passed; five current source blobs matched.</w:t>
            </w:r>
          </w:p>
        </w:tc>
      </w:tr>
    </w:tbl>
    <w:p>
      <w:pPr>
        <w:widowControl/>
      </w:pPr>
    </w:p>
    <w:p>
      <w:pPr>
        <w:widowControl/>
      </w:pPr>
      <w:r>
        <w:t>At dt=0.025 ms, the maximum HH voltage discrepancy against the independent RHS/DOP853 comparison is about 0.00600 mV. It drops to 0.000305 mV at dt=0.0125 and 0.0000172 mV at dt=0.00625. Charge residuals remain near round-off rather than decreasing monotonically with the number of integration steps.</w:t>
      </w:r>
    </w:p>
    <w:p>
      <w:pPr>
        <w:widowControl/>
      </w:pPr>
      <w:r>
        <w:t>The validation directory retains raw test output, source-match identities, default results, coverage, solver and browser records. The final delivery audit additionally records clean ZIP extraction, wheel installation outside the source directory and replay checks. Those are engineering gates, not clinical or independent biological validation.</w:t>
      </w:r>
    </w:p>
    <w:p>
      <w:pPr>
        <w:widowControl/>
      </w:pPr>
      <w:r>
        <w:t>The provided CI matrix is configuration, not evidence that GitHub has executed it. Only Linux/Python 3.13.5 and the stated browser harness were used locally. No external user adoption or non-author replication is asserted.</w:t>
      </w:r>
    </w:p>
    <w:p>
      <w:pPr>
        <w:widowControl/>
      </w:pPr>
      <w:r>
        <w:br w:type="page"/>
      </w:r>
    </w:p>
    <w:p>
      <w:pPr>
        <w:widowControl/>
      </w:pPr>
      <w:r>
        <w:rPr>
          <w:b/>
          <w:color w:val="177C82"/>
          <w:sz w:val="18"/>
        </w:rPr>
        <w:t>19 / MAINTAINER WORKFLOW</w:t>
      </w:r>
    </w:p>
    <w:p>
      <w:pPr>
        <w:pStyle w:val="Heading1"/>
        <w:widowControl/>
      </w:pPr>
      <w:r>
        <w:t>Extending and publishing one maintainable system</w:t>
      </w:r>
    </w:p>
    <w:p>
      <w:pPr>
        <w:widowControl/>
      </w:pPr>
      <w:r>
        <w:t>Keep one canonical source tree rather than distributing only renamed ZIPs. Add bounded mechanisms and experiments under one registry, with new source anchors, parameter contracts, tests and failure conditions. Avoid a new top-level “OS” for every chapter when a focused module can extend the shared engine.</w:t>
      </w:r>
    </w:p>
    <w:p>
      <w:pPr>
        <w:pStyle w:val="Code"/>
        <w:widowControl/>
      </w:pPr>
      <w:r>
        <w:t>python -m unittest discover -s tests -v</w:t>
      </w:r>
    </w:p>
    <w:p>
      <w:pPr>
        <w:pStyle w:val="Code"/>
        <w:widowControl/>
      </w:pPr>
      <w:r>
        <w:t>python tools/verify_release.py</w:t>
      </w:r>
    </w:p>
    <w:p>
      <w:pPr>
        <w:pStyle w:val="Code"/>
        <w:widowControl/>
      </w:pPr>
      <w:r>
        <w:t>python run.py demo --out runs/new-release</w:t>
      </w:r>
    </w:p>
    <w:p>
      <w:pPr>
        <w:widowControl/>
      </w:pPr>
      <w:r>
        <w:t>For a new scientific result, preserve both accepted and failed runs. Use independent data before making biological claims. For a new inference method, include null mechanisms and competing explanations. For a change to history handling, verify that raw records remain unchanged while dependent interpretations and goals can be reconstructed.</w:t>
      </w:r>
    </w:p>
    <w:p>
      <w:pPr>
        <w:widowControl/>
      </w:pPr>
      <w:r>
        <w:t>The wheel, source ZIP, full handbook and evidence records can be published after the maintainer reviews license, attribution and release scope. This delivery has not created a repository, changed branch rules, run remote CI, registered a DOI or uploaded a release. CFF provides a software citation without an invented DOI.</w:t>
      </w:r>
    </w:p>
    <w:p>
      <w:pPr>
        <w:pStyle w:val="Heading2"/>
        <w:widowControl/>
      </w:pPr>
      <w:r>
        <w:t>Next evidence milestones</w:t>
      </w:r>
    </w:p>
    <w:p>
      <w:pPr>
        <w:widowControl/>
      </w:pPr>
      <w:r>
        <w:t>A valuable next step is an independent execution outside the author’s environment. Another is a public passive-recording dataset with licensing, acquisition metadata and a justified model family. A third is an independently designed correction/transfer task that could defeat the current versioned-memory comparison. Each should have a bounded criterion, not a universal “validated brain” label.</w:t>
      </w:r>
    </w:p>
    <w:p>
      <w:pPr>
        <w:widowControl/>
      </w:pPr>
      <w:r>
        <w:t>Read LICENSE, NOTICE, SECURITY.md, CONTRIBUTING.md and PUBLICATION.md before adaptation. The full book, third-party papers and font files are not relicensed by this software’s Apache-2.0 license.</w:t>
      </w:r>
    </w:p>
    <w:p>
      <w:pPr>
        <w:widowControl/>
      </w:pPr>
      <w:r>
        <w:br w:type="page"/>
      </w:r>
    </w:p>
    <w:p>
      <w:pPr>
        <w:widowControl/>
      </w:pPr>
      <w:r>
        <w:rPr>
          <w:b/>
          <w:color w:val="177C82"/>
          <w:sz w:val="18"/>
        </w:rPr>
        <w:t>20 / CLOSE THE LOOP</w:t>
      </w:r>
    </w:p>
    <w:p>
      <w:pPr>
        <w:pStyle w:val="Heading1"/>
        <w:widowControl/>
      </w:pPr>
      <w:r>
        <w:t>Sources, omissions and scientific meaning</w:t>
      </w:r>
    </w:p>
    <w:tbl>
      <w:tblPr>
        <w:tblStyle w:val="LightShading-Accent1"/>
        <w:tblW w:type="auto" w:w="0"/>
        <w:tblLayout w:type="fixed"/>
        <w:tblLook w:firstColumn="1" w:firstRow="1" w:lastColumn="0" w:lastRow="0" w:noHBand="0" w:noVBand="1" w:val="04A0"/>
      </w:tblPr>
      <w:tblGrid>
        <w:gridCol w:w="4831"/>
        <w:gridCol w:w="4831"/>
      </w:tblGrid>
      <w:tr>
        <w:trPr>
          <w:tblHeader/>
          <w:cantSplit/>
        </w:trPr>
        <w:tc>
          <w:tcPr>
            <w:tcW w:type="dxa" w:w="3384"/>
          </w:tcPr>
          <w:p>
            <w:pPr>
              <w:widowControl/>
            </w:pPr>
            <w:r>
              <w:t>Source</w:t>
            </w:r>
          </w:p>
        </w:tc>
        <w:tc>
          <w:tcPr>
            <w:tcW w:type="dxa" w:w="6192"/>
          </w:tcPr>
          <w:p>
            <w:pPr>
              <w:widowControl/>
            </w:pPr>
            <w:r>
              <w:t>Use and actual access scope</w:t>
            </w:r>
          </w:p>
        </w:tc>
      </w:tr>
      <w:tr>
        <w:trPr>
          <w:cantSplit/>
        </w:trPr>
        <w:tc>
          <w:tcPr>
            <w:tcW w:type="dxa" w:w="3384"/>
          </w:tcPr>
          <w:p>
            <w:pPr>
              <w:widowControl/>
              <w:spacing w:after="100"/>
            </w:pPr>
            <w:r>
              <w:rPr>
                <w:sz w:val="18"/>
              </w:rPr>
              <w:t>Supplied nervous-system manuscript</w:t>
            </w:r>
          </w:p>
        </w:tc>
        <w:tc>
          <w:tcPr>
            <w:tcW w:type="dxa" w:w="6192"/>
          </w:tcPr>
          <w:p>
            <w:pPr>
              <w:widowControl/>
              <w:spacing w:after="100"/>
            </w:pPr>
            <w:r>
              <w:rPr>
                <w:sz w:val="18"/>
              </w:rPr>
              <w:t>Selected source sections, final chapter anchors and hashes; core research framing, not a validation dataset.</w:t>
            </w:r>
          </w:p>
        </w:tc>
      </w:tr>
      <w:tr>
        <w:trPr>
          <w:cantSplit/>
        </w:trPr>
        <w:tc>
          <w:tcPr>
            <w:tcW w:type="dxa" w:w="3384"/>
          </w:tcPr>
          <w:p>
            <w:pPr>
              <w:widowControl/>
              <w:spacing w:after="100"/>
            </w:pPr>
            <w:r>
              <w:rPr>
                <w:sz w:val="18"/>
              </w:rPr>
              <w:t>Hodgkin &amp; Huxley (1952)</w:t>
            </w:r>
          </w:p>
        </w:tc>
        <w:tc>
          <w:tcPr>
            <w:tcW w:type="dxa" w:w="6192"/>
          </w:tcPr>
          <w:p>
            <w:pPr>
              <w:widowControl/>
              <w:spacing w:after="100"/>
            </w:pPr>
            <w:r>
              <w:rPr>
                <w:sz w:val="18"/>
              </w:rPr>
              <w:t>PubMed bibliographic record, DOI 10.1113/jphysiol.1952.sp004764. The page has no abstract.</w:t>
            </w:r>
          </w:p>
        </w:tc>
      </w:tr>
      <w:tr>
        <w:trPr>
          <w:cantSplit/>
        </w:trPr>
        <w:tc>
          <w:tcPr>
            <w:tcW w:type="dxa" w:w="3384"/>
          </w:tcPr>
          <w:p>
            <w:pPr>
              <w:widowControl/>
              <w:spacing w:after="100"/>
            </w:pPr>
            <w:r>
              <w:rPr>
                <w:sz w:val="18"/>
              </w:rPr>
              <w:t>Brian2 official HH example</w:t>
            </w:r>
          </w:p>
        </w:tc>
        <w:tc>
          <w:tcPr>
            <w:tcW w:type="dxa" w:w="6192"/>
          </w:tcPr>
          <w:p>
            <w:pPr>
              <w:widowControl/>
              <w:spacing w:after="100"/>
            </w:pPr>
            <w:r>
              <w:rPr>
                <w:sz w:val="18"/>
              </w:rPr>
              <w:t>Equations, parameter values and voltage conventions checked. Brian2 was not executed or bundled.</w:t>
            </w:r>
          </w:p>
        </w:tc>
      </w:tr>
      <w:tr>
        <w:trPr>
          <w:cantSplit/>
        </w:trPr>
        <w:tc>
          <w:tcPr>
            <w:tcW w:type="dxa" w:w="3384"/>
          </w:tcPr>
          <w:p>
            <w:pPr>
              <w:widowControl/>
              <w:spacing w:after="100"/>
            </w:pPr>
            <w:r>
              <w:rPr>
                <w:sz w:val="18"/>
              </w:rPr>
              <w:t>Hopfield (1982), via the book</w:t>
            </w:r>
          </w:p>
        </w:tc>
        <w:tc>
          <w:tcPr>
            <w:tcW w:type="dxa" w:w="6192"/>
          </w:tcPr>
          <w:p>
            <w:pPr>
              <w:widowControl/>
              <w:spacing w:after="100"/>
            </w:pPr>
            <w:r>
              <w:rPr>
                <w:sz w:val="18"/>
              </w:rPr>
              <w:t>Standard small symmetric retrieval model, DOI 10.1073/pnas.79.8.2554. No empirical reproduction claimed.</w:t>
            </w:r>
          </w:p>
        </w:tc>
      </w:tr>
      <w:tr>
        <w:trPr>
          <w:cantSplit/>
        </w:trPr>
        <w:tc>
          <w:tcPr>
            <w:tcW w:type="dxa" w:w="3384"/>
          </w:tcPr>
          <w:p>
            <w:pPr>
              <w:widowControl/>
              <w:spacing w:after="100"/>
            </w:pPr>
            <w:r>
              <w:rPr>
                <w:sz w:val="18"/>
              </w:rPr>
              <w:t>Landauer (1961), via the book</w:t>
            </w:r>
          </w:p>
        </w:tc>
        <w:tc>
          <w:tcPr>
            <w:tcW w:type="dxa" w:w="6192"/>
          </w:tcPr>
          <w:p>
            <w:pPr>
              <w:widowControl/>
              <w:spacing w:after="100"/>
            </w:pPr>
            <w:r>
              <w:rPr>
                <w:sz w:val="18"/>
              </w:rPr>
              <w:t>Conditional erasure bound, DOI 10.1147/rd.53.0183; not brain energy measurement.</w:t>
            </w:r>
          </w:p>
        </w:tc>
      </w:tr>
      <w:tr>
        <w:trPr>
          <w:cantSplit/>
        </w:trPr>
        <w:tc>
          <w:tcPr>
            <w:tcW w:type="dxa" w:w="3384"/>
          </w:tcPr>
          <w:p>
            <w:pPr>
              <w:widowControl/>
              <w:spacing w:after="100"/>
            </w:pPr>
            <w:r>
              <w:rPr>
                <w:sz w:val="18"/>
              </w:rPr>
              <w:t>Supplied ResearchGate listing</w:t>
            </w:r>
          </w:p>
        </w:tc>
        <w:tc>
          <w:tcPr>
            <w:tcW w:type="dxa" w:w="6192"/>
          </w:tcPr>
          <w:p>
            <w:pPr>
              <w:widowControl/>
              <w:spacing w:after="100"/>
            </w:pPr>
            <w:r>
              <w:rPr>
                <w:sz w:val="18"/>
              </w:rPr>
              <w:t>Technical-report/preprint status and authorship metadata; not full-text verification of new-field claims.</w:t>
            </w:r>
          </w:p>
        </w:tc>
      </w:tr>
    </w:tbl>
    <w:p>
      <w:pPr>
        <w:widowControl/>
      </w:pPr>
    </w:p>
    <w:p>
      <w:pPr>
        <w:widowControl/>
      </w:pPr>
      <w:r>
        <w:t>Primary access points are retained in data/references.json and UPSTREAM_REVIEW.md. The original book remains the source for its terminology and organization. The companion’s generators, numerical examples, software contracts and comparisons are explicitly its own implementations and conditional extensions.</w:t>
      </w:r>
    </w:p>
    <w:p>
      <w:pPr>
        <w:widowControl/>
      </w:pPr>
      <w:r>
        <w:t>There is no full 3D anatomy, human parameter calibration, complete endocrine/neural coupling, NWB/ABF stack, real neural-device control, independent clinical dataset, general intelligence proof, phenomenal-consciousness detector or experimentally confirmed independent information field in this release. Those are substantive scientific gaps, not gaps that a larger archive or more tests would automatically remove.</w:t>
      </w:r>
    </w:p>
    <w:p>
      <w:pPr>
        <w:widowControl/>
      </w:pPr>
      <w:r>
        <w:t>The finished deliverable is useful because its scope is executable: a reader can change a parameter, reproduce a result, inspect a missing assumption, retract an interpretation and replace a model. The book’s open inquiry becomes a software practice that allows its first answer to be corrected.</w:t>
      </w:r>
    </w:p>
    <w:sectPr w:rsidR="00FC693F" w:rsidRPr="0006063C" w:rsidSect="00034616">
      <w:headerReference w:type="default" r:id="rId9"/>
      <w:footerReference w:type="default" r:id="rId10"/>
      <w:pgSz w:w="11909" w:h="16834"/>
      <w:pgMar w:top="1051"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181"/>
        <w:sz w:val="16"/>
      </w:rPr>
      <w:t>NEUROGENESIS-Lab    /    TECHNICAL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53149"/>
      <w:sz w:val="46"/>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Calibri" w:hAnsi="Calibri"/>
      <w:b/>
      <w:bCs/>
      <w:color w:val="153149"/>
      <w:sz w:val="28"/>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Calibri" w:hAnsi="Calibri"/>
      <w:b/>
      <w:bCs/>
      <w:color w:val="1531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color w:val="153149"/>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15314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71"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NEUROGENESIS-Lab: Energy, Information and Reconstructive Neural Science</dc:title>
  <dc:subject>English research and teaching companion to A Brief History of the Nervous System</dc:subject>
  <dc:creator>Yucong Duan</dc:creator>
  <cp:keywords/>
  <dc:description>generated by python-docx</dc:description>
  <cp:lastModifiedBy/>
  <cp:revision>1</cp:revision>
  <dcterms:created xsi:type="dcterms:W3CDTF">2013-12-23T23:15:00Z</dcterms:created>
  <dcterms:modified xsi:type="dcterms:W3CDTF">2013-12-23T23:15:00Z</dcterms:modified>
  <cp:category/>
</cp:coreProperties>
</file>