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BBCDA" w14:textId="77777777" w:rsidR="00015BAC" w:rsidRDefault="00000000">
      <w:pPr>
        <w:spacing w:before="1800"/>
        <w:jc w:val="center"/>
      </w:pPr>
      <w:r>
        <w:rPr>
          <w:b/>
          <w:bCs/>
          <w:color w:val="1F2A44"/>
          <w:sz w:val="52"/>
          <w:szCs w:val="52"/>
        </w:rPr>
        <w:t>NUSANTARA DIGITAL GROUP</w:t>
      </w:r>
    </w:p>
    <w:p w14:paraId="5598CD83" w14:textId="77777777" w:rsidR="00015BAC" w:rsidRDefault="00000000">
      <w:pPr>
        <w:spacing w:after="60"/>
        <w:jc w:val="center"/>
      </w:pPr>
      <w:r>
        <w:rPr>
          <w:color w:val="6B7280"/>
          <w:sz w:val="24"/>
          <w:szCs w:val="24"/>
        </w:rPr>
        <w:t>Software &amp; Digital Marketing • Indonesia</w:t>
      </w:r>
    </w:p>
    <w:p w14:paraId="6210FE05" w14:textId="77777777" w:rsidR="00015BAC" w:rsidRDefault="00000000">
      <w:pPr>
        <w:spacing w:before="400"/>
        <w:jc w:val="center"/>
      </w:pPr>
      <w:r>
        <w:rPr>
          <w:b/>
          <w:bCs/>
          <w:color w:val="2E5BFF"/>
          <w:sz w:val="34"/>
          <w:szCs w:val="34"/>
        </w:rPr>
        <w:t>Annual Financial Performance Report</w:t>
      </w:r>
    </w:p>
    <w:p w14:paraId="40EDE114" w14:textId="77777777" w:rsidR="00015BAC" w:rsidRDefault="00000000">
      <w:pPr>
        <w:spacing w:after="600"/>
        <w:jc w:val="center"/>
      </w:pPr>
      <w:r>
        <w:rPr>
          <w:color w:val="6B7280"/>
        </w:rPr>
        <w:t xml:space="preserve">Fiscal Year </w:t>
      </w:r>
      <w:proofErr w:type="gramStart"/>
      <w:r>
        <w:rPr>
          <w:color w:val="6B7280"/>
        </w:rPr>
        <w:t>2025  •</w:t>
      </w:r>
      <w:proofErr w:type="gramEnd"/>
      <w:r>
        <w:rPr>
          <w:color w:val="6B7280"/>
        </w:rPr>
        <w:t xml:space="preserve">  Profitability, Cost &amp; Forecast Analysis</w:t>
      </w:r>
    </w:p>
    <w:p w14:paraId="00E09F40" w14:textId="77777777" w:rsidR="00015BAC" w:rsidRDefault="00000000">
      <w:pPr>
        <w:jc w:val="center"/>
      </w:pPr>
      <w:r>
        <w:rPr>
          <w:i/>
          <w:iCs/>
          <w:color w:val="6B7280"/>
          <w:sz w:val="20"/>
          <w:szCs w:val="20"/>
        </w:rPr>
        <w:t>Prepared by the Finance Analytics Function</w:t>
      </w:r>
    </w:p>
    <w:p w14:paraId="444A0BB4" w14:textId="4F2AC295" w:rsidR="00015BAC" w:rsidRDefault="00000000">
      <w:pPr>
        <w:jc w:val="center"/>
      </w:pPr>
      <w:r>
        <w:rPr>
          <w:i/>
          <w:iCs/>
          <w:color w:val="6B7280"/>
          <w:sz w:val="18"/>
          <w:szCs w:val="18"/>
        </w:rPr>
        <w:t>Tools: Microsoft Excel • Dashboard Visualization</w:t>
      </w:r>
    </w:p>
    <w:p w14:paraId="67AFCDBC" w14:textId="77777777" w:rsidR="00015BAC" w:rsidRDefault="00000000">
      <w:r>
        <w:br w:type="page"/>
      </w:r>
    </w:p>
    <w:p w14:paraId="5E748654" w14:textId="77777777" w:rsidR="00015BAC" w:rsidRDefault="00000000">
      <w:pPr>
        <w:pStyle w:val="Heading1"/>
      </w:pPr>
      <w:bookmarkStart w:id="0" w:name="_Toc230899263"/>
      <w:r>
        <w:lastRenderedPageBreak/>
        <w:t>Table of Contents</w:t>
      </w:r>
      <w:bookmarkEnd w:id="0"/>
    </w:p>
    <w:sdt>
      <w:sdtPr>
        <w:alias w:val="Contents"/>
        <w:id w:val="-648201869"/>
      </w:sdtPr>
      <w:sdtContent>
        <w:p w14:paraId="375226F9" w14:textId="77777777" w:rsidR="000E07B0" w:rsidRDefault="00000000">
          <w:pPr>
            <w:pStyle w:val="TOC1"/>
            <w:tabs>
              <w:tab w:val="right" w:leader="dot" w:pos="9350"/>
            </w:tabs>
            <w:rPr>
              <w:noProof/>
            </w:rPr>
          </w:pPr>
          <w:r>
            <w:fldChar w:fldCharType="begin"/>
          </w:r>
          <w:r>
            <w:instrText>TOC \h \o "1-2"</w:instrText>
          </w:r>
          <w:r>
            <w:fldChar w:fldCharType="separate"/>
          </w:r>
          <w:hyperlink w:anchor="_Toc230899263" w:history="1">
            <w:r w:rsidR="000E07B0" w:rsidRPr="00AB61D3">
              <w:rPr>
                <w:rStyle w:val="Hyperlink"/>
                <w:noProof/>
              </w:rPr>
              <w:t>Table of Contents</w:t>
            </w:r>
            <w:r w:rsidR="000E07B0">
              <w:rPr>
                <w:noProof/>
              </w:rPr>
              <w:tab/>
            </w:r>
            <w:r w:rsidR="000E07B0">
              <w:rPr>
                <w:noProof/>
              </w:rPr>
              <w:fldChar w:fldCharType="begin"/>
            </w:r>
            <w:r w:rsidR="000E07B0">
              <w:rPr>
                <w:noProof/>
              </w:rPr>
              <w:instrText xml:space="preserve"> PAGEREF _Toc230899263 \h </w:instrText>
            </w:r>
            <w:r w:rsidR="000E07B0">
              <w:rPr>
                <w:noProof/>
              </w:rPr>
            </w:r>
            <w:r w:rsidR="000E07B0">
              <w:rPr>
                <w:noProof/>
              </w:rPr>
              <w:fldChar w:fldCharType="separate"/>
            </w:r>
            <w:r w:rsidR="000E07B0">
              <w:rPr>
                <w:noProof/>
              </w:rPr>
              <w:t>1</w:t>
            </w:r>
            <w:r w:rsidR="000E07B0">
              <w:rPr>
                <w:noProof/>
              </w:rPr>
              <w:fldChar w:fldCharType="end"/>
            </w:r>
          </w:hyperlink>
        </w:p>
        <w:p w14:paraId="65ADEBDB" w14:textId="0779F6F6" w:rsidR="000E07B0" w:rsidRDefault="000E07B0">
          <w:pPr>
            <w:pStyle w:val="TOC1"/>
            <w:tabs>
              <w:tab w:val="right" w:leader="dot" w:pos="9350"/>
            </w:tabs>
            <w:rPr>
              <w:noProof/>
            </w:rPr>
          </w:pPr>
          <w:hyperlink w:anchor="_Toc230899264" w:history="1">
            <w:r w:rsidRPr="00AB61D3">
              <w:rPr>
                <w:rStyle w:val="Hyperlink"/>
                <w:noProof/>
              </w:rPr>
              <w:t>1. Executive Summary</w:t>
            </w:r>
            <w:r>
              <w:rPr>
                <w:noProof/>
              </w:rPr>
              <w:tab/>
            </w:r>
            <w:r w:rsidR="009B72B2">
              <w:rPr>
                <w:noProof/>
              </w:rPr>
              <w:t>3</w:t>
            </w:r>
          </w:hyperlink>
        </w:p>
        <w:p w14:paraId="5C3E22BF" w14:textId="4850E446" w:rsidR="000E07B0" w:rsidRDefault="000E07B0">
          <w:pPr>
            <w:pStyle w:val="TOC1"/>
            <w:tabs>
              <w:tab w:val="right" w:leader="dot" w:pos="9350"/>
            </w:tabs>
            <w:rPr>
              <w:noProof/>
            </w:rPr>
          </w:pPr>
          <w:hyperlink w:anchor="_Toc230899265" w:history="1">
            <w:r w:rsidRPr="00AB61D3">
              <w:rPr>
                <w:rStyle w:val="Hyperlink"/>
                <w:noProof/>
              </w:rPr>
              <w:t>2. Monthly Revenue Trend</w:t>
            </w:r>
            <w:r>
              <w:rPr>
                <w:noProof/>
              </w:rPr>
              <w:tab/>
            </w:r>
            <w:r w:rsidR="009B72B2">
              <w:rPr>
                <w:noProof/>
              </w:rPr>
              <w:t>4</w:t>
            </w:r>
          </w:hyperlink>
        </w:p>
        <w:p w14:paraId="56C7F2B2" w14:textId="7D194D05" w:rsidR="000E07B0" w:rsidRDefault="000E07B0">
          <w:pPr>
            <w:pStyle w:val="TOC1"/>
            <w:tabs>
              <w:tab w:val="right" w:leader="dot" w:pos="9350"/>
            </w:tabs>
            <w:rPr>
              <w:noProof/>
            </w:rPr>
          </w:pPr>
          <w:hyperlink w:anchor="_Toc230899266" w:history="1">
            <w:r w:rsidRPr="00AB61D3">
              <w:rPr>
                <w:rStyle w:val="Hyperlink"/>
                <w:noProof/>
              </w:rPr>
              <w:t>3. Profitability Analysis by Service</w:t>
            </w:r>
            <w:r>
              <w:rPr>
                <w:noProof/>
              </w:rPr>
              <w:tab/>
            </w:r>
            <w:r w:rsidR="009B72B2">
              <w:rPr>
                <w:noProof/>
              </w:rPr>
              <w:t>4</w:t>
            </w:r>
          </w:hyperlink>
        </w:p>
        <w:p w14:paraId="4FB6736D" w14:textId="526B3030" w:rsidR="000E07B0" w:rsidRDefault="000E07B0">
          <w:pPr>
            <w:pStyle w:val="TOC1"/>
            <w:tabs>
              <w:tab w:val="right" w:leader="dot" w:pos="9350"/>
            </w:tabs>
            <w:rPr>
              <w:noProof/>
            </w:rPr>
          </w:pPr>
          <w:hyperlink w:anchor="_Toc230899267" w:history="1">
            <w:r w:rsidRPr="00AB61D3">
              <w:rPr>
                <w:rStyle w:val="Hyperlink"/>
                <w:noProof/>
              </w:rPr>
              <w:t>4. Operational Cost Breakdown</w:t>
            </w:r>
            <w:r>
              <w:rPr>
                <w:noProof/>
              </w:rPr>
              <w:tab/>
            </w:r>
            <w:r w:rsidR="009B72B2">
              <w:rPr>
                <w:noProof/>
              </w:rPr>
              <w:t>4</w:t>
            </w:r>
          </w:hyperlink>
        </w:p>
        <w:p w14:paraId="2576F17E" w14:textId="13DC417E" w:rsidR="000E07B0" w:rsidRDefault="000E07B0">
          <w:pPr>
            <w:pStyle w:val="TOC1"/>
            <w:tabs>
              <w:tab w:val="right" w:leader="dot" w:pos="9350"/>
            </w:tabs>
            <w:rPr>
              <w:noProof/>
            </w:rPr>
          </w:pPr>
          <w:hyperlink w:anchor="_Toc230899268" w:history="1">
            <w:r w:rsidRPr="00AB61D3">
              <w:rPr>
                <w:rStyle w:val="Hyperlink"/>
                <w:noProof/>
              </w:rPr>
              <w:t>5. Budget vs Actual Analysis</w:t>
            </w:r>
            <w:r>
              <w:rPr>
                <w:noProof/>
              </w:rPr>
              <w:tab/>
            </w:r>
            <w:r w:rsidR="009B72B2">
              <w:rPr>
                <w:noProof/>
              </w:rPr>
              <w:t>6</w:t>
            </w:r>
          </w:hyperlink>
        </w:p>
        <w:p w14:paraId="5F1B40E5" w14:textId="5B963085" w:rsidR="000E07B0" w:rsidRDefault="000E07B0">
          <w:pPr>
            <w:pStyle w:val="TOC1"/>
            <w:tabs>
              <w:tab w:val="right" w:leader="dot" w:pos="9350"/>
            </w:tabs>
            <w:rPr>
              <w:noProof/>
            </w:rPr>
          </w:pPr>
          <w:hyperlink w:anchor="_Toc230899269" w:history="1">
            <w:r w:rsidRPr="00AB61D3">
              <w:rPr>
                <w:rStyle w:val="Hyperlink"/>
                <w:noProof/>
              </w:rPr>
              <w:t>6. Forecast Next 3 Months</w:t>
            </w:r>
            <w:r>
              <w:rPr>
                <w:noProof/>
              </w:rPr>
              <w:tab/>
            </w:r>
            <w:r w:rsidR="009B72B2">
              <w:rPr>
                <w:noProof/>
              </w:rPr>
              <w:t>6</w:t>
            </w:r>
          </w:hyperlink>
        </w:p>
        <w:p w14:paraId="33956E07" w14:textId="70688CC9" w:rsidR="000E07B0" w:rsidRDefault="000E07B0">
          <w:pPr>
            <w:pStyle w:val="TOC1"/>
            <w:tabs>
              <w:tab w:val="right" w:leader="dot" w:pos="9350"/>
            </w:tabs>
            <w:rPr>
              <w:noProof/>
            </w:rPr>
          </w:pPr>
          <w:hyperlink w:anchor="_Toc230899270" w:history="1">
            <w:r w:rsidRPr="00AB61D3">
              <w:rPr>
                <w:rStyle w:val="Hyperlink"/>
                <w:noProof/>
              </w:rPr>
              <w:t>7. Cost-Saving Opportunities</w:t>
            </w:r>
            <w:r>
              <w:rPr>
                <w:noProof/>
              </w:rPr>
              <w:tab/>
            </w:r>
            <w:r w:rsidR="009B72B2">
              <w:rPr>
                <w:noProof/>
              </w:rPr>
              <w:t>7</w:t>
            </w:r>
          </w:hyperlink>
        </w:p>
        <w:p w14:paraId="06AADE69" w14:textId="4147FF71" w:rsidR="000E07B0" w:rsidRDefault="000E07B0">
          <w:pPr>
            <w:pStyle w:val="TOC1"/>
            <w:tabs>
              <w:tab w:val="right" w:leader="dot" w:pos="9350"/>
            </w:tabs>
            <w:rPr>
              <w:noProof/>
            </w:rPr>
          </w:pPr>
          <w:hyperlink w:anchor="_Toc230899271" w:history="1">
            <w:r w:rsidRPr="00AB61D3">
              <w:rPr>
                <w:rStyle w:val="Hyperlink"/>
                <w:noProof/>
              </w:rPr>
              <w:t>8. Revenue Optimization Opportunities</w:t>
            </w:r>
            <w:r>
              <w:rPr>
                <w:noProof/>
              </w:rPr>
              <w:tab/>
            </w:r>
            <w:r w:rsidR="009B72B2">
              <w:rPr>
                <w:noProof/>
              </w:rPr>
              <w:t>7</w:t>
            </w:r>
          </w:hyperlink>
        </w:p>
        <w:p w14:paraId="642309C8" w14:textId="0C8603F7" w:rsidR="000E07B0" w:rsidRDefault="000E07B0">
          <w:pPr>
            <w:pStyle w:val="TOC1"/>
            <w:tabs>
              <w:tab w:val="right" w:leader="dot" w:pos="9350"/>
            </w:tabs>
            <w:rPr>
              <w:noProof/>
            </w:rPr>
          </w:pPr>
          <w:hyperlink w:anchor="_Toc230899272" w:history="1">
            <w:r w:rsidRPr="00AB61D3">
              <w:rPr>
                <w:rStyle w:val="Hyperlink"/>
                <w:noProof/>
              </w:rPr>
              <w:t>9. Business Recommendations</w:t>
            </w:r>
            <w:r>
              <w:rPr>
                <w:noProof/>
              </w:rPr>
              <w:tab/>
            </w:r>
            <w:r w:rsidR="009B72B2">
              <w:rPr>
                <w:noProof/>
              </w:rPr>
              <w:t>7</w:t>
            </w:r>
          </w:hyperlink>
        </w:p>
        <w:p w14:paraId="2F3B1ADE" w14:textId="7214F646" w:rsidR="000E07B0" w:rsidRDefault="000E07B0">
          <w:pPr>
            <w:pStyle w:val="TOC2"/>
            <w:tabs>
              <w:tab w:val="right" w:leader="dot" w:pos="9350"/>
            </w:tabs>
            <w:rPr>
              <w:noProof/>
            </w:rPr>
          </w:pPr>
          <w:hyperlink w:anchor="_Toc230899273" w:history="1">
            <w:r w:rsidRPr="00AB61D3">
              <w:rPr>
                <w:rStyle w:val="Hyperlink"/>
                <w:noProof/>
              </w:rPr>
              <w:t>Which service should receive higher investment</w:t>
            </w:r>
            <w:r>
              <w:rPr>
                <w:noProof/>
              </w:rPr>
              <w:tab/>
            </w:r>
            <w:r w:rsidR="009B72B2">
              <w:rPr>
                <w:noProof/>
              </w:rPr>
              <w:t>7</w:t>
            </w:r>
          </w:hyperlink>
        </w:p>
        <w:p w14:paraId="09828EFE" w14:textId="5AE8B3D9" w:rsidR="000E07B0" w:rsidRDefault="000E07B0">
          <w:pPr>
            <w:pStyle w:val="TOC2"/>
            <w:tabs>
              <w:tab w:val="right" w:leader="dot" w:pos="9350"/>
            </w:tabs>
            <w:rPr>
              <w:noProof/>
            </w:rPr>
          </w:pPr>
          <w:hyperlink w:anchor="_Toc230899274" w:history="1">
            <w:r w:rsidRPr="00AB61D3">
              <w:rPr>
                <w:rStyle w:val="Hyperlink"/>
                <w:noProof/>
              </w:rPr>
              <w:t>Which operational costs should be reduced</w:t>
            </w:r>
            <w:r>
              <w:rPr>
                <w:noProof/>
              </w:rPr>
              <w:tab/>
            </w:r>
            <w:r w:rsidR="009B72B2">
              <w:rPr>
                <w:noProof/>
              </w:rPr>
              <w:t>7</w:t>
            </w:r>
          </w:hyperlink>
        </w:p>
        <w:p w14:paraId="70B45FAA" w14:textId="2BCB4BB6" w:rsidR="000E07B0" w:rsidRDefault="000E07B0">
          <w:pPr>
            <w:pStyle w:val="TOC2"/>
            <w:tabs>
              <w:tab w:val="right" w:leader="dot" w:pos="9350"/>
            </w:tabs>
            <w:rPr>
              <w:noProof/>
            </w:rPr>
          </w:pPr>
          <w:hyperlink w:anchor="_Toc230899275" w:history="1">
            <w:r w:rsidRPr="00AB61D3">
              <w:rPr>
                <w:rStyle w:val="Hyperlink"/>
                <w:noProof/>
              </w:rPr>
              <w:t>Which business segment generates the highest profitability</w:t>
            </w:r>
            <w:r>
              <w:rPr>
                <w:noProof/>
              </w:rPr>
              <w:tab/>
            </w:r>
            <w:r w:rsidR="009B72B2">
              <w:rPr>
                <w:noProof/>
              </w:rPr>
              <w:t>7</w:t>
            </w:r>
          </w:hyperlink>
        </w:p>
        <w:p w14:paraId="52C70234" w14:textId="4A020743" w:rsidR="000E07B0" w:rsidRDefault="000E07B0">
          <w:pPr>
            <w:pStyle w:val="TOC2"/>
            <w:tabs>
              <w:tab w:val="right" w:leader="dot" w:pos="9350"/>
            </w:tabs>
            <w:rPr>
              <w:noProof/>
            </w:rPr>
          </w:pPr>
          <w:hyperlink w:anchor="_Toc230899276" w:history="1">
            <w:r w:rsidRPr="00AB61D3">
              <w:rPr>
                <w:rStyle w:val="Hyperlink"/>
                <w:noProof/>
              </w:rPr>
              <w:t>Recommendation to improve marketing efficiency</w:t>
            </w:r>
            <w:r>
              <w:rPr>
                <w:noProof/>
              </w:rPr>
              <w:tab/>
            </w:r>
            <w:r w:rsidR="009B72B2">
              <w:rPr>
                <w:noProof/>
              </w:rPr>
              <w:t>7</w:t>
            </w:r>
          </w:hyperlink>
        </w:p>
        <w:p w14:paraId="37AC7210" w14:textId="624192F3" w:rsidR="000E07B0" w:rsidRDefault="000E07B0">
          <w:pPr>
            <w:pStyle w:val="TOC1"/>
            <w:tabs>
              <w:tab w:val="right" w:leader="dot" w:pos="9350"/>
            </w:tabs>
            <w:rPr>
              <w:noProof/>
            </w:rPr>
          </w:pPr>
          <w:hyperlink w:anchor="_Toc230899277" w:history="1">
            <w:r w:rsidRPr="00AB61D3">
              <w:rPr>
                <w:rStyle w:val="Hyperlink"/>
                <w:noProof/>
              </w:rPr>
              <w:t>10. Methodology &amp; Notes</w:t>
            </w:r>
            <w:r>
              <w:rPr>
                <w:noProof/>
              </w:rPr>
              <w:tab/>
            </w:r>
            <w:r w:rsidR="009B72B2">
              <w:rPr>
                <w:noProof/>
              </w:rPr>
              <w:t>8</w:t>
            </w:r>
          </w:hyperlink>
        </w:p>
        <w:p w14:paraId="6DA09C3D" w14:textId="77777777" w:rsidR="00015BAC" w:rsidRDefault="00000000">
          <w:r>
            <w:fldChar w:fldCharType="end"/>
          </w:r>
        </w:p>
      </w:sdtContent>
    </w:sdt>
    <w:p w14:paraId="4596B47D" w14:textId="77777777" w:rsidR="00015BAC" w:rsidRDefault="00000000">
      <w:r>
        <w:br w:type="page"/>
      </w:r>
    </w:p>
    <w:p w14:paraId="419701A4" w14:textId="77777777" w:rsidR="00015BAC" w:rsidRDefault="00000000">
      <w:pPr>
        <w:pStyle w:val="Heading1"/>
      </w:pPr>
      <w:bookmarkStart w:id="1" w:name="_Toc230899264"/>
      <w:r>
        <w:lastRenderedPageBreak/>
        <w:t>1. Executive Summary</w:t>
      </w:r>
      <w:bookmarkEnd w:id="1"/>
    </w:p>
    <w:p w14:paraId="5926CF70" w14:textId="77777777" w:rsidR="00015BAC" w:rsidRDefault="00000000">
      <w:pPr>
        <w:spacing w:after="120"/>
      </w:pPr>
      <w:r>
        <w:t>Nusantara Digital Group is an Indonesia-based software and digital marketing company operating four service lines: Influencer Marketing, Ads Management, E-commerce Enablement, and a SaaS Creator Platform. This report analyses twelve months of FY2025 performance and sets out the budget, forecast, and improvement actions for the next quarter. All monetary figures are stated in IDR millions.</w:t>
      </w:r>
    </w:p>
    <w:p w14:paraId="40F0D3E1" w14:textId="77777777" w:rsidR="00015BAC" w:rsidRDefault="00000000">
      <w:pPr>
        <w:spacing w:after="120"/>
      </w:pPr>
      <w:r>
        <w:rPr>
          <w:b/>
          <w:bCs/>
        </w:rPr>
        <w:t>Headline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15BAC" w14:paraId="156C50AB"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71FD308F" w14:textId="77777777" w:rsidR="00015BAC" w:rsidRDefault="00000000">
            <w:pPr>
              <w:jc w:val="center"/>
            </w:pPr>
            <w:r>
              <w:rPr>
                <w:b/>
                <w:bCs/>
                <w:color w:val="FFFFFF"/>
                <w:sz w:val="20"/>
                <w:szCs w:val="20"/>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193CC547" w14:textId="77777777" w:rsidR="00015BAC" w:rsidRDefault="00000000">
            <w:pPr>
              <w:jc w:val="center"/>
            </w:pPr>
            <w:r>
              <w:rPr>
                <w:b/>
                <w:bCs/>
                <w:color w:val="FFFFFF"/>
                <w:sz w:val="20"/>
                <w:szCs w:val="20"/>
              </w:rPr>
              <w:t>FY2025 Result</w:t>
            </w:r>
          </w:p>
        </w:tc>
        <w:tc>
          <w:tcPr>
            <w:tcW w:w="312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4B68FADA" w14:textId="77777777" w:rsidR="00015BAC" w:rsidRDefault="00000000">
            <w:pPr>
              <w:jc w:val="center"/>
            </w:pPr>
            <w:r>
              <w:rPr>
                <w:b/>
                <w:bCs/>
                <w:color w:val="FFFFFF"/>
                <w:sz w:val="20"/>
                <w:szCs w:val="20"/>
              </w:rPr>
              <w:t>Read-through</w:t>
            </w:r>
          </w:p>
        </w:tc>
      </w:tr>
      <w:tr w:rsidR="00015BAC" w14:paraId="3F0479AE"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F70EE" w14:textId="77777777" w:rsidR="00015BAC" w:rsidRDefault="00000000">
            <w:r>
              <w:rPr>
                <w:color w:val="000000"/>
                <w:sz w:val="20"/>
                <w:szCs w:val="20"/>
              </w:rPr>
              <w:t>Total Revenue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7C5F3C" w14:textId="7AD48A32" w:rsidR="00015BAC" w:rsidRDefault="00000000">
            <w:pPr>
              <w:jc w:val="right"/>
            </w:pPr>
            <w:r>
              <w:rPr>
                <w:color w:val="000000"/>
                <w:sz w:val="20"/>
                <w:szCs w:val="20"/>
              </w:rPr>
              <w:t xml:space="preserve">IDR 59,187 </w:t>
            </w:r>
            <w:proofErr w:type="spellStart"/>
            <w:r w:rsidR="001760F8">
              <w:rPr>
                <w:color w:val="000000"/>
                <w:sz w:val="20"/>
                <w:szCs w:val="20"/>
              </w:rPr>
              <w:t>mn</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5E558A" w14:textId="77777777" w:rsidR="00015BAC" w:rsidRDefault="00000000">
            <w:pPr>
              <w:jc w:val="right"/>
            </w:pPr>
            <w:r>
              <w:rPr>
                <w:color w:val="000000"/>
                <w:sz w:val="20"/>
                <w:szCs w:val="20"/>
              </w:rPr>
              <w:t>Up 66.3% from Jan to Dec</w:t>
            </w:r>
          </w:p>
        </w:tc>
      </w:tr>
      <w:tr w:rsidR="00015BAC" w14:paraId="197E6CAD"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2FB"/>
            <w:tcMar>
              <w:top w:w="80" w:type="dxa"/>
              <w:left w:w="120" w:type="dxa"/>
              <w:bottom w:w="80" w:type="dxa"/>
              <w:right w:w="120" w:type="dxa"/>
            </w:tcMar>
          </w:tcPr>
          <w:p w14:paraId="29BCED71" w14:textId="77777777" w:rsidR="00015BAC" w:rsidRDefault="00000000">
            <w:r>
              <w:rPr>
                <w:color w:val="000000"/>
                <w:sz w:val="20"/>
                <w:szCs w:val="20"/>
              </w:rPr>
              <w:t>Gross Profit</w:t>
            </w:r>
          </w:p>
        </w:tc>
        <w:tc>
          <w:tcPr>
            <w:tcW w:w="3120" w:type="dxa"/>
            <w:tcBorders>
              <w:top w:val="single" w:sz="1" w:space="0" w:color="CCCCCC"/>
              <w:left w:val="single" w:sz="1" w:space="0" w:color="CCCCCC"/>
              <w:bottom w:val="single" w:sz="1" w:space="0" w:color="CCCCCC"/>
              <w:right w:val="single" w:sz="1" w:space="0" w:color="CCCCCC"/>
            </w:tcBorders>
            <w:shd w:val="clear" w:color="auto" w:fill="EEF2FB"/>
            <w:tcMar>
              <w:top w:w="80" w:type="dxa"/>
              <w:left w:w="120" w:type="dxa"/>
              <w:bottom w:w="80" w:type="dxa"/>
              <w:right w:w="120" w:type="dxa"/>
            </w:tcMar>
          </w:tcPr>
          <w:p w14:paraId="4FEDCABC" w14:textId="4E70178C" w:rsidR="00015BAC" w:rsidRDefault="00000000">
            <w:pPr>
              <w:jc w:val="right"/>
            </w:pPr>
            <w:r>
              <w:rPr>
                <w:color w:val="000000"/>
                <w:sz w:val="20"/>
                <w:szCs w:val="20"/>
              </w:rPr>
              <w:t xml:space="preserve">IDR 31,618 </w:t>
            </w:r>
            <w:proofErr w:type="spellStart"/>
            <w:r w:rsidR="001760F8">
              <w:rPr>
                <w:color w:val="000000"/>
                <w:sz w:val="20"/>
                <w:szCs w:val="20"/>
              </w:rPr>
              <w:t>mn</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EF2FB"/>
            <w:tcMar>
              <w:top w:w="80" w:type="dxa"/>
              <w:left w:w="120" w:type="dxa"/>
              <w:bottom w:w="80" w:type="dxa"/>
              <w:right w:w="120" w:type="dxa"/>
            </w:tcMar>
          </w:tcPr>
          <w:p w14:paraId="70878176" w14:textId="77777777" w:rsidR="00015BAC" w:rsidRDefault="00000000">
            <w:pPr>
              <w:jc w:val="right"/>
            </w:pPr>
            <w:r>
              <w:rPr>
                <w:color w:val="000000"/>
                <w:sz w:val="20"/>
                <w:szCs w:val="20"/>
              </w:rPr>
              <w:t>53.4% gross margin</w:t>
            </w:r>
          </w:p>
        </w:tc>
      </w:tr>
      <w:tr w:rsidR="00015BAC" w14:paraId="3CFF67C9"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1BF667" w14:textId="77777777" w:rsidR="00015BAC" w:rsidRDefault="00000000">
            <w:r>
              <w:rPr>
                <w:color w:val="000000"/>
                <w:sz w:val="20"/>
                <w:szCs w:val="20"/>
              </w:rPr>
              <w:t>Net Profit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C880D2" w14:textId="7A3A6AF7" w:rsidR="00015BAC" w:rsidRDefault="00000000">
            <w:pPr>
              <w:jc w:val="right"/>
            </w:pPr>
            <w:r>
              <w:rPr>
                <w:color w:val="000000"/>
                <w:sz w:val="20"/>
                <w:szCs w:val="20"/>
              </w:rPr>
              <w:t xml:space="preserve">IDR 14,391 </w:t>
            </w:r>
            <w:proofErr w:type="spellStart"/>
            <w:r w:rsidR="001760F8">
              <w:rPr>
                <w:color w:val="000000"/>
                <w:sz w:val="20"/>
                <w:szCs w:val="20"/>
              </w:rPr>
              <w:t>mn</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02C2FF" w14:textId="77777777" w:rsidR="00015BAC" w:rsidRDefault="00000000">
            <w:pPr>
              <w:jc w:val="right"/>
            </w:pPr>
            <w:r>
              <w:rPr>
                <w:color w:val="000000"/>
                <w:sz w:val="20"/>
                <w:szCs w:val="20"/>
              </w:rPr>
              <w:t>24.3% net margin</w:t>
            </w:r>
          </w:p>
        </w:tc>
      </w:tr>
      <w:tr w:rsidR="00015BAC" w14:paraId="3D05EE74"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2FB"/>
            <w:tcMar>
              <w:top w:w="80" w:type="dxa"/>
              <w:left w:w="120" w:type="dxa"/>
              <w:bottom w:w="80" w:type="dxa"/>
              <w:right w:w="120" w:type="dxa"/>
            </w:tcMar>
          </w:tcPr>
          <w:p w14:paraId="2D3D57DF" w14:textId="77777777" w:rsidR="00015BAC" w:rsidRDefault="00000000">
            <w:r>
              <w:rPr>
                <w:color w:val="000000"/>
                <w:sz w:val="20"/>
                <w:szCs w:val="20"/>
              </w:rPr>
              <w:t>Operating Expense Ratio</w:t>
            </w:r>
          </w:p>
        </w:tc>
        <w:tc>
          <w:tcPr>
            <w:tcW w:w="3120" w:type="dxa"/>
            <w:tcBorders>
              <w:top w:val="single" w:sz="1" w:space="0" w:color="CCCCCC"/>
              <w:left w:val="single" w:sz="1" w:space="0" w:color="CCCCCC"/>
              <w:bottom w:val="single" w:sz="1" w:space="0" w:color="CCCCCC"/>
              <w:right w:val="single" w:sz="1" w:space="0" w:color="CCCCCC"/>
            </w:tcBorders>
            <w:shd w:val="clear" w:color="auto" w:fill="EEF2FB"/>
            <w:tcMar>
              <w:top w:w="80" w:type="dxa"/>
              <w:left w:w="120" w:type="dxa"/>
              <w:bottom w:w="80" w:type="dxa"/>
              <w:right w:w="120" w:type="dxa"/>
            </w:tcMar>
          </w:tcPr>
          <w:p w14:paraId="2560D54A" w14:textId="77777777" w:rsidR="00015BAC" w:rsidRDefault="00000000">
            <w:pPr>
              <w:jc w:val="right"/>
            </w:pPr>
            <w:r>
              <w:rPr>
                <w:color w:val="000000"/>
                <w:sz w:val="20"/>
                <w:szCs w:val="20"/>
              </w:rPr>
              <w:t>75.7%</w:t>
            </w:r>
          </w:p>
        </w:tc>
        <w:tc>
          <w:tcPr>
            <w:tcW w:w="3120" w:type="dxa"/>
            <w:tcBorders>
              <w:top w:val="single" w:sz="1" w:space="0" w:color="CCCCCC"/>
              <w:left w:val="single" w:sz="1" w:space="0" w:color="CCCCCC"/>
              <w:bottom w:val="single" w:sz="1" w:space="0" w:color="CCCCCC"/>
              <w:right w:val="single" w:sz="1" w:space="0" w:color="CCCCCC"/>
            </w:tcBorders>
            <w:shd w:val="clear" w:color="auto" w:fill="EEF2FB"/>
            <w:tcMar>
              <w:top w:w="80" w:type="dxa"/>
              <w:left w:w="120" w:type="dxa"/>
              <w:bottom w:w="80" w:type="dxa"/>
              <w:right w:w="120" w:type="dxa"/>
            </w:tcMar>
          </w:tcPr>
          <w:p w14:paraId="0EE3321B" w14:textId="77777777" w:rsidR="00015BAC" w:rsidRDefault="00000000">
            <w:pPr>
              <w:jc w:val="right"/>
            </w:pPr>
            <w:r>
              <w:rPr>
                <w:color w:val="000000"/>
                <w:sz w:val="20"/>
                <w:szCs w:val="20"/>
              </w:rPr>
              <w:t>Headroom for efficiency gains</w:t>
            </w:r>
          </w:p>
        </w:tc>
      </w:tr>
      <w:tr w:rsidR="00015BAC" w14:paraId="41FE2EC2"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99BE45" w14:textId="77777777" w:rsidR="00015BAC" w:rsidRDefault="00000000">
            <w:r>
              <w:rPr>
                <w:color w:val="000000"/>
                <w:sz w:val="20"/>
                <w:szCs w:val="20"/>
              </w:rPr>
              <w:t>Blended ROAS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526A5" w14:textId="77777777" w:rsidR="00015BAC" w:rsidRDefault="00000000">
            <w:pPr>
              <w:jc w:val="right"/>
            </w:pPr>
            <w:r>
              <w:rPr>
                <w:color w:val="000000"/>
                <w:sz w:val="20"/>
                <w:szCs w:val="20"/>
              </w:rPr>
              <w:t>4.18x</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87004" w14:textId="77777777" w:rsidR="00015BAC" w:rsidRDefault="00000000">
            <w:pPr>
              <w:jc w:val="right"/>
            </w:pPr>
            <w:r>
              <w:rPr>
                <w:color w:val="000000"/>
                <w:sz w:val="20"/>
                <w:szCs w:val="20"/>
              </w:rPr>
              <w:t>Healthy ad efficiency</w:t>
            </w:r>
          </w:p>
        </w:tc>
      </w:tr>
      <w:tr w:rsidR="00015BAC" w14:paraId="4E030376"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2FB"/>
            <w:tcMar>
              <w:top w:w="80" w:type="dxa"/>
              <w:left w:w="120" w:type="dxa"/>
              <w:bottom w:w="80" w:type="dxa"/>
              <w:right w:w="120" w:type="dxa"/>
            </w:tcMar>
          </w:tcPr>
          <w:p w14:paraId="4F549221" w14:textId="77777777" w:rsidR="00015BAC" w:rsidRDefault="00000000">
            <w:r>
              <w:rPr>
                <w:color w:val="000000"/>
                <w:sz w:val="20"/>
                <w:szCs w:val="20"/>
              </w:rPr>
              <w:t>Average CAC</w:t>
            </w:r>
          </w:p>
        </w:tc>
        <w:tc>
          <w:tcPr>
            <w:tcW w:w="3120" w:type="dxa"/>
            <w:tcBorders>
              <w:top w:val="single" w:sz="1" w:space="0" w:color="CCCCCC"/>
              <w:left w:val="single" w:sz="1" w:space="0" w:color="CCCCCC"/>
              <w:bottom w:val="single" w:sz="1" w:space="0" w:color="CCCCCC"/>
              <w:right w:val="single" w:sz="1" w:space="0" w:color="CCCCCC"/>
            </w:tcBorders>
            <w:shd w:val="clear" w:color="auto" w:fill="EEF2FB"/>
            <w:tcMar>
              <w:top w:w="80" w:type="dxa"/>
              <w:left w:w="120" w:type="dxa"/>
              <w:bottom w:w="80" w:type="dxa"/>
              <w:right w:w="120" w:type="dxa"/>
            </w:tcMar>
          </w:tcPr>
          <w:p w14:paraId="7A76EB07" w14:textId="16E453E3" w:rsidR="00015BAC" w:rsidRDefault="00000000">
            <w:pPr>
              <w:jc w:val="right"/>
            </w:pPr>
            <w:r>
              <w:rPr>
                <w:color w:val="000000"/>
                <w:sz w:val="20"/>
                <w:szCs w:val="20"/>
              </w:rPr>
              <w:t xml:space="preserve">IDR 3.80 </w:t>
            </w:r>
            <w:proofErr w:type="spellStart"/>
            <w:r w:rsidR="001760F8">
              <w:rPr>
                <w:color w:val="000000"/>
                <w:sz w:val="20"/>
                <w:szCs w:val="20"/>
              </w:rPr>
              <w:t>mn</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EF2FB"/>
            <w:tcMar>
              <w:top w:w="80" w:type="dxa"/>
              <w:left w:w="120" w:type="dxa"/>
              <w:bottom w:w="80" w:type="dxa"/>
              <w:right w:w="120" w:type="dxa"/>
            </w:tcMar>
          </w:tcPr>
          <w:p w14:paraId="3F237317" w14:textId="77777777" w:rsidR="00015BAC" w:rsidRDefault="00000000">
            <w:pPr>
              <w:jc w:val="right"/>
            </w:pPr>
            <w:r>
              <w:rPr>
                <w:color w:val="000000"/>
                <w:sz w:val="20"/>
                <w:szCs w:val="20"/>
              </w:rPr>
              <w:t>Per new client acquired</w:t>
            </w:r>
          </w:p>
        </w:tc>
      </w:tr>
      <w:tr w:rsidR="00015BAC" w14:paraId="4CDF6D07"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A891FE" w14:textId="77777777" w:rsidR="00015BAC" w:rsidRDefault="00000000">
            <w:r>
              <w:rPr>
                <w:color w:val="000000"/>
                <w:sz w:val="20"/>
                <w:szCs w:val="20"/>
              </w:rPr>
              <w:t>Budget Utilization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5AC18" w14:textId="77777777" w:rsidR="00015BAC" w:rsidRDefault="00000000">
            <w:pPr>
              <w:jc w:val="right"/>
            </w:pPr>
            <w:r>
              <w:rPr>
                <w:color w:val="000000"/>
                <w:sz w:val="20"/>
                <w:szCs w:val="20"/>
              </w:rPr>
              <w:t>75.6%</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D7E0FF" w14:textId="77777777" w:rsidR="00015BAC" w:rsidRDefault="00000000">
            <w:pPr>
              <w:jc w:val="right"/>
            </w:pPr>
            <w:r>
              <w:rPr>
                <w:color w:val="000000"/>
                <w:sz w:val="20"/>
                <w:szCs w:val="20"/>
              </w:rPr>
              <w:t>Consistently under budget</w:t>
            </w:r>
          </w:p>
        </w:tc>
      </w:tr>
    </w:tbl>
    <w:p w14:paraId="32668FF1" w14:textId="77777777" w:rsidR="00015BAC" w:rsidRDefault="00015BAC">
      <w:pPr>
        <w:spacing w:after="120"/>
      </w:pPr>
    </w:p>
    <w:p w14:paraId="23ACE7B2" w14:textId="173592FE" w:rsidR="00015BAC" w:rsidRDefault="00000000">
      <w:pPr>
        <w:spacing w:after="120"/>
      </w:pPr>
      <w:r>
        <w:t>The business is growing strongly and profitably. Revenue is supported by clear Indonesian seasonality the Ramadan/</w:t>
      </w:r>
      <w:proofErr w:type="spellStart"/>
      <w:r>
        <w:t>Lebaran</w:t>
      </w:r>
      <w:proofErr w:type="spellEnd"/>
      <w:r>
        <w:t xml:space="preserve"> period (Mar</w:t>
      </w:r>
      <w:r w:rsidR="000E07B0">
        <w:t>-</w:t>
      </w:r>
      <w:r>
        <w:t xml:space="preserve">Apr) and the </w:t>
      </w:r>
      <w:proofErr w:type="spellStart"/>
      <w:r>
        <w:t>Harbolnas</w:t>
      </w:r>
      <w:proofErr w:type="spellEnd"/>
      <w:r>
        <w:t xml:space="preserve"> year-end sales events (Nov</w:t>
      </w:r>
      <w:r w:rsidR="000E07B0">
        <w:t>-</w:t>
      </w:r>
      <w:r>
        <w:t>Dec) drive the two demand peaks. The headline opportunity is margin quality rather than top-line growth: operational cost absorbs 46.6% of revenue, and the SaaS platform delivers a far higher gross margin (69.7%) than the rest of the portfolio.</w:t>
      </w:r>
    </w:p>
    <w:p w14:paraId="3B4154A8" w14:textId="77777777" w:rsidR="00015BAC" w:rsidRDefault="00000000">
      <w:pPr>
        <w:spacing w:after="120"/>
      </w:pPr>
      <w:r>
        <w:rPr>
          <w:b/>
          <w:bCs/>
        </w:rPr>
        <w:t>Top three actions for next quarter:</w:t>
      </w:r>
    </w:p>
    <w:p w14:paraId="54598553" w14:textId="77777777" w:rsidR="00015BAC" w:rsidRDefault="00000000">
      <w:pPr>
        <w:pStyle w:val="ListParagraph"/>
        <w:numPr>
          <w:ilvl w:val="0"/>
          <w:numId w:val="2"/>
        </w:numPr>
        <w:spacing w:after="60"/>
      </w:pPr>
      <w:r>
        <w:t>Shift incremental investment toward the SaaS Creator Platform, the highest-margin line, to lift blended profitability.</w:t>
      </w:r>
    </w:p>
    <w:p w14:paraId="095CA842" w14:textId="77777777" w:rsidR="00015BAC" w:rsidRDefault="00000000">
      <w:pPr>
        <w:pStyle w:val="ListParagraph"/>
        <w:numPr>
          <w:ilvl w:val="0"/>
          <w:numId w:val="2"/>
        </w:numPr>
        <w:spacing w:after="60"/>
      </w:pPr>
      <w:r>
        <w:t>Renegotiate and consolidate operational-cost contracts in Ads Management, where cost intensity is highest (55% of that line's revenue).</w:t>
      </w:r>
    </w:p>
    <w:p w14:paraId="42AF9D0E" w14:textId="32E90DF2" w:rsidR="00015BAC" w:rsidRDefault="00000000">
      <w:pPr>
        <w:pStyle w:val="ListParagraph"/>
        <w:numPr>
          <w:ilvl w:val="0"/>
          <w:numId w:val="2"/>
        </w:numPr>
        <w:spacing w:after="60"/>
      </w:pPr>
      <w:r>
        <w:t>Tighten the link between budget and delivery chronic 24% underspend signals planning that overstates need and starves growth bets.</w:t>
      </w:r>
    </w:p>
    <w:p w14:paraId="6628FAF3" w14:textId="77777777" w:rsidR="00015BAC" w:rsidRDefault="00000000">
      <w:r>
        <w:br w:type="page"/>
      </w:r>
    </w:p>
    <w:p w14:paraId="4D302673" w14:textId="77777777" w:rsidR="00015BAC" w:rsidRDefault="00000000">
      <w:pPr>
        <w:pStyle w:val="Heading1"/>
      </w:pPr>
      <w:bookmarkStart w:id="2" w:name="_Toc230899265"/>
      <w:r>
        <w:lastRenderedPageBreak/>
        <w:t>2. Monthly Revenue Trend</w:t>
      </w:r>
      <w:bookmarkEnd w:id="2"/>
    </w:p>
    <w:p w14:paraId="4B3FF260" w14:textId="3FA0AE8C" w:rsidR="00015BAC" w:rsidRDefault="00000000">
      <w:pPr>
        <w:spacing w:after="120"/>
      </w:pPr>
      <w:r>
        <w:t xml:space="preserve">Revenue rose from IDR 3,946 </w:t>
      </w:r>
      <w:proofErr w:type="spellStart"/>
      <w:r w:rsidR="001760F8">
        <w:t>mn</w:t>
      </w:r>
      <w:proofErr w:type="spellEnd"/>
      <w:r>
        <w:t xml:space="preserve"> in January to IDR 6,561 </w:t>
      </w:r>
      <w:proofErr w:type="spellStart"/>
      <w:r w:rsidR="001760F8">
        <w:t>mn</w:t>
      </w:r>
      <w:proofErr w:type="spellEnd"/>
      <w:r>
        <w:t xml:space="preserve"> in December, a 66.3% increase across the year. Growth was not linear: visible spikes occur in March</w:t>
      </w:r>
      <w:r w:rsidR="000E07B0">
        <w:t>-</w:t>
      </w:r>
      <w:r>
        <w:t>April and again in November</w:t>
      </w:r>
      <w:r w:rsidR="000E07B0">
        <w:t>-</w:t>
      </w:r>
      <w:r>
        <w:t xml:space="preserve">December, consistent with Indonesian consumer-spending cycles around </w:t>
      </w:r>
      <w:proofErr w:type="spellStart"/>
      <w:r>
        <w:t>Lebaran</w:t>
      </w:r>
      <w:proofErr w:type="spellEnd"/>
      <w:r>
        <w:t xml:space="preserve"> and the </w:t>
      </w:r>
      <w:proofErr w:type="spellStart"/>
      <w:r>
        <w:t>Harbolnas</w:t>
      </w:r>
      <w:proofErr w:type="spellEnd"/>
      <w:r>
        <w:t xml:space="preserve"> (11.11 / 12.12) shopping festivals. The mid-year months (May</w:t>
      </w:r>
      <w:r w:rsidR="000E07B0">
        <w:t>-</w:t>
      </w:r>
      <w:r>
        <w:t>August) form a stable plateau.</w:t>
      </w:r>
    </w:p>
    <w:p w14:paraId="6F423C97" w14:textId="5CEAB32A" w:rsidR="00015BAC" w:rsidRDefault="00000000">
      <w:pPr>
        <w:pStyle w:val="ListParagraph"/>
        <w:numPr>
          <w:ilvl w:val="0"/>
          <w:numId w:val="3"/>
        </w:numPr>
        <w:spacing w:after="60"/>
      </w:pPr>
      <w:r>
        <w:t>Two demand peaks (Mar</w:t>
      </w:r>
      <w:r w:rsidR="000E07B0">
        <w:t>-</w:t>
      </w:r>
      <w:r>
        <w:t>Apr and Nov</w:t>
      </w:r>
      <w:r w:rsidR="000E07B0">
        <w:t>-</w:t>
      </w:r>
      <w:r>
        <w:t>Dec) account for the majority of upside variance.</w:t>
      </w:r>
    </w:p>
    <w:p w14:paraId="5B1B6663" w14:textId="77777777" w:rsidR="00015BAC" w:rsidRDefault="00000000">
      <w:pPr>
        <w:pStyle w:val="ListParagraph"/>
        <w:numPr>
          <w:ilvl w:val="0"/>
          <w:numId w:val="3"/>
        </w:numPr>
        <w:spacing w:after="60"/>
      </w:pPr>
      <w:r>
        <w:t xml:space="preserve">The year-end peak is the strongest, reflecting concentrated e-commerce and ads demand during </w:t>
      </w:r>
      <w:proofErr w:type="spellStart"/>
      <w:r>
        <w:t>Harbolnas</w:t>
      </w:r>
      <w:proofErr w:type="spellEnd"/>
      <w:r>
        <w:t>.</w:t>
      </w:r>
    </w:p>
    <w:p w14:paraId="4533D5C8" w14:textId="77777777" w:rsidR="00015BAC" w:rsidRDefault="00000000">
      <w:pPr>
        <w:pStyle w:val="ListParagraph"/>
        <w:numPr>
          <w:ilvl w:val="0"/>
          <w:numId w:val="3"/>
        </w:numPr>
        <w:spacing w:after="60"/>
      </w:pPr>
      <w:r>
        <w:t>Planning implication: staffing and media-buying capacity should be flexed up ahead of these two windows.</w:t>
      </w:r>
    </w:p>
    <w:p w14:paraId="709D301F" w14:textId="77777777" w:rsidR="00015BAC" w:rsidRDefault="00000000">
      <w:pPr>
        <w:pStyle w:val="Heading1"/>
      </w:pPr>
      <w:bookmarkStart w:id="3" w:name="_Toc230899266"/>
      <w:r>
        <w:t>3. Profitability Analysis by Service</w:t>
      </w:r>
      <w:bookmarkEnd w:id="3"/>
    </w:p>
    <w:p w14:paraId="594C06A1" w14:textId="77777777" w:rsidR="00015BAC" w:rsidRDefault="00000000">
      <w:pPr>
        <w:spacing w:after="120"/>
      </w:pPr>
      <w:r>
        <w:t xml:space="preserve">Each service line contributes differently to revenue and profit. Ads Management is the largest revenue contributor but the </w:t>
      </w:r>
      <w:proofErr w:type="gramStart"/>
      <w:r>
        <w:t>lowest-margin</w:t>
      </w:r>
      <w:proofErr w:type="gramEnd"/>
      <w:r>
        <w:t>; the SaaS Creator Platform is the smallest line by revenue yet by far the most profitable per rupiah earned.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392"/>
        <w:gridCol w:w="1392"/>
        <w:gridCol w:w="1392"/>
        <w:gridCol w:w="1392"/>
        <w:gridCol w:w="1392"/>
      </w:tblGrid>
      <w:tr w:rsidR="00015BAC" w14:paraId="5F42AA8C"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54A72195" w14:textId="77777777" w:rsidR="00015BAC" w:rsidRDefault="00000000">
            <w:pPr>
              <w:jc w:val="center"/>
            </w:pPr>
            <w:r>
              <w:rPr>
                <w:b/>
                <w:bCs/>
                <w:color w:val="FFFFFF"/>
                <w:sz w:val="20"/>
                <w:szCs w:val="20"/>
              </w:rPr>
              <w:t>Service Line</w:t>
            </w:r>
          </w:p>
        </w:tc>
        <w:tc>
          <w:tcPr>
            <w:tcW w:w="1392"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2AC03BD4" w14:textId="77777777" w:rsidR="00015BAC" w:rsidRDefault="00000000">
            <w:pPr>
              <w:jc w:val="center"/>
            </w:pPr>
            <w:r>
              <w:rPr>
                <w:b/>
                <w:bCs/>
                <w:color w:val="FFFFFF"/>
                <w:sz w:val="20"/>
                <w:szCs w:val="20"/>
              </w:rPr>
              <w:t>Revenue</w:t>
            </w:r>
          </w:p>
        </w:tc>
        <w:tc>
          <w:tcPr>
            <w:tcW w:w="1392"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2BC400AB" w14:textId="77777777" w:rsidR="00015BAC" w:rsidRDefault="00000000">
            <w:pPr>
              <w:jc w:val="center"/>
            </w:pPr>
            <w:r>
              <w:rPr>
                <w:b/>
                <w:bCs/>
                <w:color w:val="FFFFFF"/>
                <w:sz w:val="20"/>
                <w:szCs w:val="20"/>
              </w:rPr>
              <w:t>Gross Profit</w:t>
            </w:r>
          </w:p>
        </w:tc>
        <w:tc>
          <w:tcPr>
            <w:tcW w:w="1392"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195A72FF" w14:textId="77777777" w:rsidR="00015BAC" w:rsidRDefault="00000000">
            <w:pPr>
              <w:jc w:val="center"/>
            </w:pPr>
            <w:r>
              <w:rPr>
                <w:b/>
                <w:bCs/>
                <w:color w:val="FFFFFF"/>
                <w:sz w:val="20"/>
                <w:szCs w:val="20"/>
              </w:rPr>
              <w:t>Net Profit</w:t>
            </w:r>
          </w:p>
        </w:tc>
        <w:tc>
          <w:tcPr>
            <w:tcW w:w="1392"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3DFA5011" w14:textId="77777777" w:rsidR="00015BAC" w:rsidRDefault="00000000">
            <w:pPr>
              <w:jc w:val="center"/>
            </w:pPr>
            <w:r>
              <w:rPr>
                <w:b/>
                <w:bCs/>
                <w:color w:val="FFFFFF"/>
                <w:sz w:val="20"/>
                <w:szCs w:val="20"/>
              </w:rPr>
              <w:t>GP %</w:t>
            </w:r>
          </w:p>
        </w:tc>
        <w:tc>
          <w:tcPr>
            <w:tcW w:w="1392"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46DE7531" w14:textId="77777777" w:rsidR="00015BAC" w:rsidRDefault="00000000">
            <w:pPr>
              <w:jc w:val="center"/>
            </w:pPr>
            <w:r>
              <w:rPr>
                <w:b/>
                <w:bCs/>
                <w:color w:val="FFFFFF"/>
                <w:sz w:val="20"/>
                <w:szCs w:val="20"/>
              </w:rPr>
              <w:t>NP %</w:t>
            </w:r>
          </w:p>
        </w:tc>
      </w:tr>
      <w:tr w:rsidR="00015BAC" w14:paraId="2AF23CE8"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959D38" w14:textId="77777777" w:rsidR="00015BAC" w:rsidRDefault="00000000">
            <w:r>
              <w:rPr>
                <w:color w:val="000000"/>
                <w:sz w:val="20"/>
                <w:szCs w:val="20"/>
              </w:rPr>
              <w:t>SaaS Creator Platform</w:t>
            </w:r>
          </w:p>
        </w:tc>
        <w:tc>
          <w:tcPr>
            <w:tcW w:w="13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BD3772" w14:textId="77777777" w:rsidR="00015BAC" w:rsidRDefault="00000000">
            <w:pPr>
              <w:jc w:val="right"/>
            </w:pPr>
            <w:r>
              <w:rPr>
                <w:color w:val="000000"/>
                <w:sz w:val="20"/>
                <w:szCs w:val="20"/>
              </w:rPr>
              <w:t>9,260</w:t>
            </w:r>
          </w:p>
        </w:tc>
        <w:tc>
          <w:tcPr>
            <w:tcW w:w="13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0502E7" w14:textId="77777777" w:rsidR="00015BAC" w:rsidRDefault="00000000">
            <w:pPr>
              <w:jc w:val="right"/>
            </w:pPr>
            <w:r>
              <w:rPr>
                <w:color w:val="000000"/>
                <w:sz w:val="20"/>
                <w:szCs w:val="20"/>
              </w:rPr>
              <w:t>6,458</w:t>
            </w:r>
          </w:p>
        </w:tc>
        <w:tc>
          <w:tcPr>
            <w:tcW w:w="13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4D46BC" w14:textId="77777777" w:rsidR="00015BAC" w:rsidRDefault="00000000">
            <w:pPr>
              <w:jc w:val="right"/>
            </w:pPr>
            <w:r>
              <w:rPr>
                <w:color w:val="000000"/>
                <w:sz w:val="20"/>
                <w:szCs w:val="20"/>
              </w:rPr>
              <w:t>2,180</w:t>
            </w:r>
          </w:p>
        </w:tc>
        <w:tc>
          <w:tcPr>
            <w:tcW w:w="13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9F8CF1" w14:textId="77777777" w:rsidR="00015BAC" w:rsidRDefault="00000000">
            <w:pPr>
              <w:jc w:val="right"/>
            </w:pPr>
            <w:r>
              <w:rPr>
                <w:color w:val="000000"/>
                <w:sz w:val="20"/>
                <w:szCs w:val="20"/>
              </w:rPr>
              <w:t>69.7%</w:t>
            </w:r>
          </w:p>
        </w:tc>
        <w:tc>
          <w:tcPr>
            <w:tcW w:w="13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EEA9BB" w14:textId="77777777" w:rsidR="00015BAC" w:rsidRDefault="00000000">
            <w:pPr>
              <w:jc w:val="right"/>
            </w:pPr>
            <w:r>
              <w:rPr>
                <w:color w:val="000000"/>
                <w:sz w:val="20"/>
                <w:szCs w:val="20"/>
              </w:rPr>
              <w:t>23.5%</w:t>
            </w:r>
          </w:p>
        </w:tc>
      </w:tr>
      <w:tr w:rsidR="00015BAC" w14:paraId="729DDE97"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2FB"/>
            <w:tcMar>
              <w:top w:w="80" w:type="dxa"/>
              <w:left w:w="120" w:type="dxa"/>
              <w:bottom w:w="80" w:type="dxa"/>
              <w:right w:w="120" w:type="dxa"/>
            </w:tcMar>
          </w:tcPr>
          <w:p w14:paraId="2A175F2F" w14:textId="77777777" w:rsidR="00015BAC" w:rsidRDefault="00000000">
            <w:r>
              <w:rPr>
                <w:color w:val="000000"/>
                <w:sz w:val="20"/>
                <w:szCs w:val="20"/>
              </w:rPr>
              <w:t>Influencer Marketing</w:t>
            </w:r>
          </w:p>
        </w:tc>
        <w:tc>
          <w:tcPr>
            <w:tcW w:w="1392" w:type="dxa"/>
            <w:tcBorders>
              <w:top w:val="single" w:sz="1" w:space="0" w:color="CCCCCC"/>
              <w:left w:val="single" w:sz="1" w:space="0" w:color="CCCCCC"/>
              <w:bottom w:val="single" w:sz="1" w:space="0" w:color="CCCCCC"/>
              <w:right w:val="single" w:sz="1" w:space="0" w:color="CCCCCC"/>
            </w:tcBorders>
            <w:shd w:val="clear" w:color="auto" w:fill="EEF2FB"/>
            <w:tcMar>
              <w:top w:w="80" w:type="dxa"/>
              <w:left w:w="120" w:type="dxa"/>
              <w:bottom w:w="80" w:type="dxa"/>
              <w:right w:w="120" w:type="dxa"/>
            </w:tcMar>
          </w:tcPr>
          <w:p w14:paraId="5DAB4BD0" w14:textId="77777777" w:rsidR="00015BAC" w:rsidRDefault="00000000">
            <w:pPr>
              <w:jc w:val="right"/>
            </w:pPr>
            <w:r>
              <w:rPr>
                <w:color w:val="000000"/>
                <w:sz w:val="20"/>
                <w:szCs w:val="20"/>
              </w:rPr>
              <w:t>12,856</w:t>
            </w:r>
          </w:p>
        </w:tc>
        <w:tc>
          <w:tcPr>
            <w:tcW w:w="1392" w:type="dxa"/>
            <w:tcBorders>
              <w:top w:val="single" w:sz="1" w:space="0" w:color="CCCCCC"/>
              <w:left w:val="single" w:sz="1" w:space="0" w:color="CCCCCC"/>
              <w:bottom w:val="single" w:sz="1" w:space="0" w:color="CCCCCC"/>
              <w:right w:val="single" w:sz="1" w:space="0" w:color="CCCCCC"/>
            </w:tcBorders>
            <w:shd w:val="clear" w:color="auto" w:fill="EEF2FB"/>
            <w:tcMar>
              <w:top w:w="80" w:type="dxa"/>
              <w:left w:w="120" w:type="dxa"/>
              <w:bottom w:w="80" w:type="dxa"/>
              <w:right w:w="120" w:type="dxa"/>
            </w:tcMar>
          </w:tcPr>
          <w:p w14:paraId="0F885E2E" w14:textId="77777777" w:rsidR="00015BAC" w:rsidRDefault="00000000">
            <w:pPr>
              <w:jc w:val="right"/>
            </w:pPr>
            <w:r>
              <w:rPr>
                <w:color w:val="000000"/>
                <w:sz w:val="20"/>
                <w:szCs w:val="20"/>
              </w:rPr>
              <w:t>7,456</w:t>
            </w:r>
          </w:p>
        </w:tc>
        <w:tc>
          <w:tcPr>
            <w:tcW w:w="1392" w:type="dxa"/>
            <w:tcBorders>
              <w:top w:val="single" w:sz="1" w:space="0" w:color="CCCCCC"/>
              <w:left w:val="single" w:sz="1" w:space="0" w:color="CCCCCC"/>
              <w:bottom w:val="single" w:sz="1" w:space="0" w:color="CCCCCC"/>
              <w:right w:val="single" w:sz="1" w:space="0" w:color="CCCCCC"/>
            </w:tcBorders>
            <w:shd w:val="clear" w:color="auto" w:fill="EEF2FB"/>
            <w:tcMar>
              <w:top w:w="80" w:type="dxa"/>
              <w:left w:w="120" w:type="dxa"/>
              <w:bottom w:w="80" w:type="dxa"/>
              <w:right w:w="120" w:type="dxa"/>
            </w:tcMar>
          </w:tcPr>
          <w:p w14:paraId="7D91C899" w14:textId="77777777" w:rsidR="00015BAC" w:rsidRDefault="00000000">
            <w:pPr>
              <w:jc w:val="right"/>
            </w:pPr>
            <w:r>
              <w:rPr>
                <w:color w:val="000000"/>
                <w:sz w:val="20"/>
                <w:szCs w:val="20"/>
              </w:rPr>
              <w:t>3,959</w:t>
            </w:r>
          </w:p>
        </w:tc>
        <w:tc>
          <w:tcPr>
            <w:tcW w:w="1392" w:type="dxa"/>
            <w:tcBorders>
              <w:top w:val="single" w:sz="1" w:space="0" w:color="CCCCCC"/>
              <w:left w:val="single" w:sz="1" w:space="0" w:color="CCCCCC"/>
              <w:bottom w:val="single" w:sz="1" w:space="0" w:color="CCCCCC"/>
              <w:right w:val="single" w:sz="1" w:space="0" w:color="CCCCCC"/>
            </w:tcBorders>
            <w:shd w:val="clear" w:color="auto" w:fill="EEF2FB"/>
            <w:tcMar>
              <w:top w:w="80" w:type="dxa"/>
              <w:left w:w="120" w:type="dxa"/>
              <w:bottom w:w="80" w:type="dxa"/>
              <w:right w:w="120" w:type="dxa"/>
            </w:tcMar>
          </w:tcPr>
          <w:p w14:paraId="5CC99722" w14:textId="77777777" w:rsidR="00015BAC" w:rsidRDefault="00000000">
            <w:pPr>
              <w:jc w:val="right"/>
            </w:pPr>
            <w:r>
              <w:rPr>
                <w:color w:val="000000"/>
                <w:sz w:val="20"/>
                <w:szCs w:val="20"/>
              </w:rPr>
              <w:t>58.0%</w:t>
            </w:r>
          </w:p>
        </w:tc>
        <w:tc>
          <w:tcPr>
            <w:tcW w:w="1392" w:type="dxa"/>
            <w:tcBorders>
              <w:top w:val="single" w:sz="1" w:space="0" w:color="CCCCCC"/>
              <w:left w:val="single" w:sz="1" w:space="0" w:color="CCCCCC"/>
              <w:bottom w:val="single" w:sz="1" w:space="0" w:color="CCCCCC"/>
              <w:right w:val="single" w:sz="1" w:space="0" w:color="CCCCCC"/>
            </w:tcBorders>
            <w:shd w:val="clear" w:color="auto" w:fill="EEF2FB"/>
            <w:tcMar>
              <w:top w:w="80" w:type="dxa"/>
              <w:left w:w="120" w:type="dxa"/>
              <w:bottom w:w="80" w:type="dxa"/>
              <w:right w:w="120" w:type="dxa"/>
            </w:tcMar>
          </w:tcPr>
          <w:p w14:paraId="3CB7CF70" w14:textId="77777777" w:rsidR="00015BAC" w:rsidRDefault="00000000">
            <w:pPr>
              <w:jc w:val="right"/>
            </w:pPr>
            <w:r>
              <w:rPr>
                <w:color w:val="000000"/>
                <w:sz w:val="20"/>
                <w:szCs w:val="20"/>
              </w:rPr>
              <w:t>30.8%</w:t>
            </w:r>
          </w:p>
        </w:tc>
      </w:tr>
      <w:tr w:rsidR="00015BAC" w14:paraId="21AEF97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13E11" w14:textId="77777777" w:rsidR="00015BAC" w:rsidRDefault="00000000">
            <w:r>
              <w:rPr>
                <w:color w:val="000000"/>
                <w:sz w:val="20"/>
                <w:szCs w:val="20"/>
              </w:rPr>
              <w:t>E-commerce Enablement</w:t>
            </w:r>
          </w:p>
        </w:tc>
        <w:tc>
          <w:tcPr>
            <w:tcW w:w="13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66EBB6" w14:textId="77777777" w:rsidR="00015BAC" w:rsidRDefault="00000000">
            <w:pPr>
              <w:jc w:val="right"/>
            </w:pPr>
            <w:r>
              <w:rPr>
                <w:color w:val="000000"/>
                <w:sz w:val="20"/>
                <w:szCs w:val="20"/>
              </w:rPr>
              <w:t>16,465</w:t>
            </w:r>
          </w:p>
        </w:tc>
        <w:tc>
          <w:tcPr>
            <w:tcW w:w="13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6DA7A4" w14:textId="77777777" w:rsidR="00015BAC" w:rsidRDefault="00000000">
            <w:pPr>
              <w:jc w:val="right"/>
            </w:pPr>
            <w:r>
              <w:rPr>
                <w:color w:val="000000"/>
                <w:sz w:val="20"/>
                <w:szCs w:val="20"/>
              </w:rPr>
              <w:t>8,496</w:t>
            </w:r>
          </w:p>
        </w:tc>
        <w:tc>
          <w:tcPr>
            <w:tcW w:w="13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5289A" w14:textId="77777777" w:rsidR="00015BAC" w:rsidRDefault="00000000">
            <w:pPr>
              <w:jc w:val="right"/>
            </w:pPr>
            <w:r>
              <w:rPr>
                <w:color w:val="000000"/>
                <w:sz w:val="20"/>
                <w:szCs w:val="20"/>
              </w:rPr>
              <w:t>4,022</w:t>
            </w:r>
          </w:p>
        </w:tc>
        <w:tc>
          <w:tcPr>
            <w:tcW w:w="13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3769D" w14:textId="77777777" w:rsidR="00015BAC" w:rsidRDefault="00000000">
            <w:pPr>
              <w:jc w:val="right"/>
            </w:pPr>
            <w:r>
              <w:rPr>
                <w:color w:val="000000"/>
                <w:sz w:val="20"/>
                <w:szCs w:val="20"/>
              </w:rPr>
              <w:t>51.6%</w:t>
            </w:r>
          </w:p>
        </w:tc>
        <w:tc>
          <w:tcPr>
            <w:tcW w:w="13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DA1045" w14:textId="77777777" w:rsidR="00015BAC" w:rsidRDefault="00000000">
            <w:pPr>
              <w:jc w:val="right"/>
            </w:pPr>
            <w:r>
              <w:rPr>
                <w:color w:val="000000"/>
                <w:sz w:val="20"/>
                <w:szCs w:val="20"/>
              </w:rPr>
              <w:t>24.4%</w:t>
            </w:r>
          </w:p>
        </w:tc>
      </w:tr>
      <w:tr w:rsidR="00015BAC" w14:paraId="3382F90D"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2FB"/>
            <w:tcMar>
              <w:top w:w="80" w:type="dxa"/>
              <w:left w:w="120" w:type="dxa"/>
              <w:bottom w:w="80" w:type="dxa"/>
              <w:right w:w="120" w:type="dxa"/>
            </w:tcMar>
          </w:tcPr>
          <w:p w14:paraId="50A602C1" w14:textId="77777777" w:rsidR="00015BAC" w:rsidRDefault="00000000">
            <w:r>
              <w:rPr>
                <w:color w:val="000000"/>
                <w:sz w:val="20"/>
                <w:szCs w:val="20"/>
              </w:rPr>
              <w:t>Ads Management</w:t>
            </w:r>
          </w:p>
        </w:tc>
        <w:tc>
          <w:tcPr>
            <w:tcW w:w="1392" w:type="dxa"/>
            <w:tcBorders>
              <w:top w:val="single" w:sz="1" w:space="0" w:color="CCCCCC"/>
              <w:left w:val="single" w:sz="1" w:space="0" w:color="CCCCCC"/>
              <w:bottom w:val="single" w:sz="1" w:space="0" w:color="CCCCCC"/>
              <w:right w:val="single" w:sz="1" w:space="0" w:color="CCCCCC"/>
            </w:tcBorders>
            <w:shd w:val="clear" w:color="auto" w:fill="EEF2FB"/>
            <w:tcMar>
              <w:top w:w="80" w:type="dxa"/>
              <w:left w:w="120" w:type="dxa"/>
              <w:bottom w:w="80" w:type="dxa"/>
              <w:right w:w="120" w:type="dxa"/>
            </w:tcMar>
          </w:tcPr>
          <w:p w14:paraId="0BC497DC" w14:textId="77777777" w:rsidR="00015BAC" w:rsidRDefault="00000000">
            <w:pPr>
              <w:jc w:val="right"/>
            </w:pPr>
            <w:r>
              <w:rPr>
                <w:color w:val="000000"/>
                <w:sz w:val="20"/>
                <w:szCs w:val="20"/>
              </w:rPr>
              <w:t>20,606</w:t>
            </w:r>
          </w:p>
        </w:tc>
        <w:tc>
          <w:tcPr>
            <w:tcW w:w="1392" w:type="dxa"/>
            <w:tcBorders>
              <w:top w:val="single" w:sz="1" w:space="0" w:color="CCCCCC"/>
              <w:left w:val="single" w:sz="1" w:space="0" w:color="CCCCCC"/>
              <w:bottom w:val="single" w:sz="1" w:space="0" w:color="CCCCCC"/>
              <w:right w:val="single" w:sz="1" w:space="0" w:color="CCCCCC"/>
            </w:tcBorders>
            <w:shd w:val="clear" w:color="auto" w:fill="EEF2FB"/>
            <w:tcMar>
              <w:top w:w="80" w:type="dxa"/>
              <w:left w:w="120" w:type="dxa"/>
              <w:bottom w:w="80" w:type="dxa"/>
              <w:right w:w="120" w:type="dxa"/>
            </w:tcMar>
          </w:tcPr>
          <w:p w14:paraId="10027C10" w14:textId="77777777" w:rsidR="00015BAC" w:rsidRDefault="00000000">
            <w:pPr>
              <w:jc w:val="right"/>
            </w:pPr>
            <w:r>
              <w:rPr>
                <w:color w:val="000000"/>
                <w:sz w:val="20"/>
                <w:szCs w:val="20"/>
              </w:rPr>
              <w:t>9,209</w:t>
            </w:r>
          </w:p>
        </w:tc>
        <w:tc>
          <w:tcPr>
            <w:tcW w:w="1392" w:type="dxa"/>
            <w:tcBorders>
              <w:top w:val="single" w:sz="1" w:space="0" w:color="CCCCCC"/>
              <w:left w:val="single" w:sz="1" w:space="0" w:color="CCCCCC"/>
              <w:bottom w:val="single" w:sz="1" w:space="0" w:color="CCCCCC"/>
              <w:right w:val="single" w:sz="1" w:space="0" w:color="CCCCCC"/>
            </w:tcBorders>
            <w:shd w:val="clear" w:color="auto" w:fill="EEF2FB"/>
            <w:tcMar>
              <w:top w:w="80" w:type="dxa"/>
              <w:left w:w="120" w:type="dxa"/>
              <w:bottom w:w="80" w:type="dxa"/>
              <w:right w:w="120" w:type="dxa"/>
            </w:tcMar>
          </w:tcPr>
          <w:p w14:paraId="4A5E1A93" w14:textId="77777777" w:rsidR="00015BAC" w:rsidRDefault="00000000">
            <w:pPr>
              <w:jc w:val="right"/>
            </w:pPr>
            <w:r>
              <w:rPr>
                <w:color w:val="000000"/>
                <w:sz w:val="20"/>
                <w:szCs w:val="20"/>
              </w:rPr>
              <w:t>4,230</w:t>
            </w:r>
          </w:p>
        </w:tc>
        <w:tc>
          <w:tcPr>
            <w:tcW w:w="1392" w:type="dxa"/>
            <w:tcBorders>
              <w:top w:val="single" w:sz="1" w:space="0" w:color="CCCCCC"/>
              <w:left w:val="single" w:sz="1" w:space="0" w:color="CCCCCC"/>
              <w:bottom w:val="single" w:sz="1" w:space="0" w:color="CCCCCC"/>
              <w:right w:val="single" w:sz="1" w:space="0" w:color="CCCCCC"/>
            </w:tcBorders>
            <w:shd w:val="clear" w:color="auto" w:fill="EEF2FB"/>
            <w:tcMar>
              <w:top w:w="80" w:type="dxa"/>
              <w:left w:w="120" w:type="dxa"/>
              <w:bottom w:w="80" w:type="dxa"/>
              <w:right w:w="120" w:type="dxa"/>
            </w:tcMar>
          </w:tcPr>
          <w:p w14:paraId="172E4C0D" w14:textId="77777777" w:rsidR="00015BAC" w:rsidRDefault="00000000">
            <w:pPr>
              <w:jc w:val="right"/>
            </w:pPr>
            <w:r>
              <w:rPr>
                <w:color w:val="000000"/>
                <w:sz w:val="20"/>
                <w:szCs w:val="20"/>
              </w:rPr>
              <w:t>44.7%</w:t>
            </w:r>
          </w:p>
        </w:tc>
        <w:tc>
          <w:tcPr>
            <w:tcW w:w="1392" w:type="dxa"/>
            <w:tcBorders>
              <w:top w:val="single" w:sz="1" w:space="0" w:color="CCCCCC"/>
              <w:left w:val="single" w:sz="1" w:space="0" w:color="CCCCCC"/>
              <w:bottom w:val="single" w:sz="1" w:space="0" w:color="CCCCCC"/>
              <w:right w:val="single" w:sz="1" w:space="0" w:color="CCCCCC"/>
            </w:tcBorders>
            <w:shd w:val="clear" w:color="auto" w:fill="EEF2FB"/>
            <w:tcMar>
              <w:top w:w="80" w:type="dxa"/>
              <w:left w:w="120" w:type="dxa"/>
              <w:bottom w:w="80" w:type="dxa"/>
              <w:right w:w="120" w:type="dxa"/>
            </w:tcMar>
          </w:tcPr>
          <w:p w14:paraId="66284F9C" w14:textId="77777777" w:rsidR="00015BAC" w:rsidRDefault="00000000">
            <w:pPr>
              <w:jc w:val="right"/>
            </w:pPr>
            <w:r>
              <w:rPr>
                <w:color w:val="000000"/>
                <w:sz w:val="20"/>
                <w:szCs w:val="20"/>
              </w:rPr>
              <w:t>20.5%</w:t>
            </w:r>
          </w:p>
        </w:tc>
      </w:tr>
    </w:tbl>
    <w:p w14:paraId="42993858" w14:textId="77777777" w:rsidR="00015BAC" w:rsidRDefault="00015BAC">
      <w:pPr>
        <w:spacing w:after="120"/>
      </w:pPr>
    </w:p>
    <w:p w14:paraId="0B1372E5" w14:textId="31C8C5BF" w:rsidR="00015BAC" w:rsidRDefault="00000000">
      <w:pPr>
        <w:pStyle w:val="ListParagraph"/>
        <w:numPr>
          <w:ilvl w:val="0"/>
          <w:numId w:val="3"/>
        </w:numPr>
        <w:spacing w:after="60"/>
      </w:pPr>
      <w:r>
        <w:t>Influencer Marketing has the best net margin (30.8%) strong profit conversion with moderate cost intensity.</w:t>
      </w:r>
    </w:p>
    <w:p w14:paraId="042B7664" w14:textId="77777777" w:rsidR="00015BAC" w:rsidRDefault="00000000">
      <w:pPr>
        <w:pStyle w:val="ListParagraph"/>
        <w:numPr>
          <w:ilvl w:val="0"/>
          <w:numId w:val="3"/>
        </w:numPr>
        <w:spacing w:after="60"/>
      </w:pPr>
      <w:r>
        <w:t>SaaS shows the best gross margin (69.7%); its lower net margin reflects heavier software-subscription and employee costs that scale well as the platform grows.</w:t>
      </w:r>
    </w:p>
    <w:p w14:paraId="12697A7A" w14:textId="77777777" w:rsidR="00015BAC" w:rsidRDefault="00000000">
      <w:pPr>
        <w:pStyle w:val="ListParagraph"/>
        <w:numPr>
          <w:ilvl w:val="0"/>
          <w:numId w:val="3"/>
        </w:numPr>
        <w:spacing w:after="60"/>
      </w:pPr>
      <w:r>
        <w:t>Ads Management drives volume but dilutes blended margin; it should be managed for efficiency, not abandoned.</w:t>
      </w:r>
    </w:p>
    <w:p w14:paraId="738C4ADF" w14:textId="77777777" w:rsidR="00015BAC" w:rsidRDefault="00000000">
      <w:pPr>
        <w:pStyle w:val="Heading1"/>
      </w:pPr>
      <w:bookmarkStart w:id="4" w:name="_Toc230899267"/>
      <w:r>
        <w:t>4. Operational Cost Breakdown</w:t>
      </w:r>
      <w:bookmarkEnd w:id="4"/>
    </w:p>
    <w:p w14:paraId="682141D3" w14:textId="63BEE43D" w:rsidR="00015BAC" w:rsidRDefault="00000000">
      <w:pPr>
        <w:spacing w:after="120"/>
      </w:pPr>
      <w:r>
        <w:t xml:space="preserve">Total cost across all categories was IDR 44,796 </w:t>
      </w:r>
      <w:proofErr w:type="spellStart"/>
      <w:r w:rsidR="001760F8">
        <w:t>mn</w:t>
      </w:r>
      <w:proofErr w:type="spellEnd"/>
      <w:r>
        <w:t>, equal to 75.7% of revenue. Operational cost is by far the largest component and the primary lever for margin improvement.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15BAC" w14:paraId="07C1E9B8"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5EE71C62" w14:textId="77777777" w:rsidR="00015BAC" w:rsidRDefault="00000000">
            <w:pPr>
              <w:jc w:val="center"/>
            </w:pPr>
            <w:r>
              <w:rPr>
                <w:b/>
                <w:bCs/>
                <w:color w:val="FFFFFF"/>
                <w:sz w:val="20"/>
                <w:szCs w:val="20"/>
              </w:rPr>
              <w:t>Cost Category</w:t>
            </w:r>
          </w:p>
        </w:tc>
        <w:tc>
          <w:tcPr>
            <w:tcW w:w="312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6338C88C" w14:textId="42E272E3" w:rsidR="00015BAC" w:rsidRDefault="00000000">
            <w:pPr>
              <w:jc w:val="center"/>
            </w:pPr>
            <w:r>
              <w:rPr>
                <w:b/>
                <w:bCs/>
                <w:color w:val="FFFFFF"/>
                <w:sz w:val="20"/>
                <w:szCs w:val="20"/>
              </w:rPr>
              <w:t xml:space="preserve">Annual (IDR </w:t>
            </w:r>
            <w:proofErr w:type="spellStart"/>
            <w:r w:rsidR="001760F8">
              <w:rPr>
                <w:b/>
                <w:bCs/>
                <w:color w:val="FFFFFF"/>
                <w:sz w:val="20"/>
                <w:szCs w:val="20"/>
              </w:rPr>
              <w:t>mn</w:t>
            </w:r>
            <w:proofErr w:type="spellEnd"/>
            <w:r>
              <w:rPr>
                <w:b/>
                <w:bCs/>
                <w:color w:val="FFFFFF"/>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147280BF" w14:textId="77777777" w:rsidR="00015BAC" w:rsidRDefault="00000000">
            <w:pPr>
              <w:jc w:val="center"/>
            </w:pPr>
            <w:r>
              <w:rPr>
                <w:b/>
                <w:bCs/>
                <w:color w:val="FFFFFF"/>
                <w:sz w:val="20"/>
                <w:szCs w:val="20"/>
              </w:rPr>
              <w:t>% of Revenue</w:t>
            </w:r>
          </w:p>
        </w:tc>
      </w:tr>
      <w:tr w:rsidR="00015BAC" w14:paraId="5928F7AB"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2FF283" w14:textId="77777777" w:rsidR="00015BAC" w:rsidRDefault="00000000">
            <w:r>
              <w:rPr>
                <w:color w:val="000000"/>
                <w:sz w:val="20"/>
                <w:szCs w:val="20"/>
              </w:rPr>
              <w:t>Operational Cost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776E0D" w14:textId="77777777" w:rsidR="00015BAC" w:rsidRDefault="00000000">
            <w:pPr>
              <w:jc w:val="right"/>
            </w:pPr>
            <w:r>
              <w:rPr>
                <w:color w:val="000000"/>
                <w:sz w:val="20"/>
                <w:szCs w:val="20"/>
              </w:rPr>
              <w:t>27,569</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58FC2" w14:textId="77777777" w:rsidR="00015BAC" w:rsidRDefault="00000000">
            <w:pPr>
              <w:jc w:val="right"/>
            </w:pPr>
            <w:r>
              <w:rPr>
                <w:color w:val="000000"/>
                <w:sz w:val="20"/>
                <w:szCs w:val="20"/>
              </w:rPr>
              <w:t>46.6%</w:t>
            </w:r>
          </w:p>
        </w:tc>
      </w:tr>
      <w:tr w:rsidR="00015BAC" w14:paraId="715DA1BF"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2FB"/>
            <w:tcMar>
              <w:top w:w="80" w:type="dxa"/>
              <w:left w:w="120" w:type="dxa"/>
              <w:bottom w:w="80" w:type="dxa"/>
              <w:right w:w="120" w:type="dxa"/>
            </w:tcMar>
          </w:tcPr>
          <w:p w14:paraId="13B22E12" w14:textId="77777777" w:rsidR="00015BAC" w:rsidRDefault="00000000">
            <w:r>
              <w:rPr>
                <w:color w:val="000000"/>
                <w:sz w:val="20"/>
                <w:szCs w:val="20"/>
              </w:rPr>
              <w:t>Employee Cost</w:t>
            </w:r>
          </w:p>
        </w:tc>
        <w:tc>
          <w:tcPr>
            <w:tcW w:w="3120" w:type="dxa"/>
            <w:tcBorders>
              <w:top w:val="single" w:sz="1" w:space="0" w:color="CCCCCC"/>
              <w:left w:val="single" w:sz="1" w:space="0" w:color="CCCCCC"/>
              <w:bottom w:val="single" w:sz="1" w:space="0" w:color="CCCCCC"/>
              <w:right w:val="single" w:sz="1" w:space="0" w:color="CCCCCC"/>
            </w:tcBorders>
            <w:shd w:val="clear" w:color="auto" w:fill="EEF2FB"/>
            <w:tcMar>
              <w:top w:w="80" w:type="dxa"/>
              <w:left w:w="120" w:type="dxa"/>
              <w:bottom w:w="80" w:type="dxa"/>
              <w:right w:w="120" w:type="dxa"/>
            </w:tcMar>
          </w:tcPr>
          <w:p w14:paraId="359E1EF0" w14:textId="77777777" w:rsidR="00015BAC" w:rsidRDefault="00000000">
            <w:pPr>
              <w:jc w:val="right"/>
            </w:pPr>
            <w:r>
              <w:rPr>
                <w:color w:val="000000"/>
                <w:sz w:val="20"/>
                <w:szCs w:val="20"/>
              </w:rPr>
              <w:t>8,303</w:t>
            </w:r>
          </w:p>
        </w:tc>
        <w:tc>
          <w:tcPr>
            <w:tcW w:w="3120" w:type="dxa"/>
            <w:tcBorders>
              <w:top w:val="single" w:sz="1" w:space="0" w:color="CCCCCC"/>
              <w:left w:val="single" w:sz="1" w:space="0" w:color="CCCCCC"/>
              <w:bottom w:val="single" w:sz="1" w:space="0" w:color="CCCCCC"/>
              <w:right w:val="single" w:sz="1" w:space="0" w:color="CCCCCC"/>
            </w:tcBorders>
            <w:shd w:val="clear" w:color="auto" w:fill="EEF2FB"/>
            <w:tcMar>
              <w:top w:w="80" w:type="dxa"/>
              <w:left w:w="120" w:type="dxa"/>
              <w:bottom w:w="80" w:type="dxa"/>
              <w:right w:w="120" w:type="dxa"/>
            </w:tcMar>
          </w:tcPr>
          <w:p w14:paraId="0E15B216" w14:textId="77777777" w:rsidR="00015BAC" w:rsidRDefault="00000000">
            <w:pPr>
              <w:jc w:val="right"/>
            </w:pPr>
            <w:r>
              <w:rPr>
                <w:color w:val="000000"/>
                <w:sz w:val="20"/>
                <w:szCs w:val="20"/>
              </w:rPr>
              <w:t>14.0%</w:t>
            </w:r>
          </w:p>
        </w:tc>
      </w:tr>
      <w:tr w:rsidR="00015BAC" w14:paraId="4B8AB48D"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131F96" w14:textId="77777777" w:rsidR="00015BAC" w:rsidRDefault="00000000">
            <w:r>
              <w:rPr>
                <w:color w:val="000000"/>
                <w:sz w:val="20"/>
                <w:szCs w:val="20"/>
              </w:rPr>
              <w:t>Marketing Spend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F996D" w14:textId="77777777" w:rsidR="00015BAC" w:rsidRDefault="00000000">
            <w:pPr>
              <w:jc w:val="right"/>
            </w:pPr>
            <w:r>
              <w:rPr>
                <w:color w:val="000000"/>
                <w:sz w:val="20"/>
                <w:szCs w:val="20"/>
              </w:rPr>
              <w:t>5,773</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9DE5EE" w14:textId="77777777" w:rsidR="00015BAC" w:rsidRDefault="00000000">
            <w:pPr>
              <w:jc w:val="right"/>
            </w:pPr>
            <w:r>
              <w:rPr>
                <w:color w:val="000000"/>
                <w:sz w:val="20"/>
                <w:szCs w:val="20"/>
              </w:rPr>
              <w:t>9.8%</w:t>
            </w:r>
          </w:p>
        </w:tc>
      </w:tr>
      <w:tr w:rsidR="00015BAC" w14:paraId="615BE3DF"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2FB"/>
            <w:tcMar>
              <w:top w:w="80" w:type="dxa"/>
              <w:left w:w="120" w:type="dxa"/>
              <w:bottom w:w="80" w:type="dxa"/>
              <w:right w:w="120" w:type="dxa"/>
            </w:tcMar>
          </w:tcPr>
          <w:p w14:paraId="233D5DF1" w14:textId="77777777" w:rsidR="00015BAC" w:rsidRDefault="00000000">
            <w:r>
              <w:rPr>
                <w:color w:val="000000"/>
                <w:sz w:val="20"/>
                <w:szCs w:val="20"/>
              </w:rPr>
              <w:t>Software Subscription Cost</w:t>
            </w:r>
          </w:p>
        </w:tc>
        <w:tc>
          <w:tcPr>
            <w:tcW w:w="3120" w:type="dxa"/>
            <w:tcBorders>
              <w:top w:val="single" w:sz="1" w:space="0" w:color="CCCCCC"/>
              <w:left w:val="single" w:sz="1" w:space="0" w:color="CCCCCC"/>
              <w:bottom w:val="single" w:sz="1" w:space="0" w:color="CCCCCC"/>
              <w:right w:val="single" w:sz="1" w:space="0" w:color="CCCCCC"/>
            </w:tcBorders>
            <w:shd w:val="clear" w:color="auto" w:fill="EEF2FB"/>
            <w:tcMar>
              <w:top w:w="80" w:type="dxa"/>
              <w:left w:w="120" w:type="dxa"/>
              <w:bottom w:w="80" w:type="dxa"/>
              <w:right w:w="120" w:type="dxa"/>
            </w:tcMar>
          </w:tcPr>
          <w:p w14:paraId="04499C6E" w14:textId="77777777" w:rsidR="00015BAC" w:rsidRDefault="00000000">
            <w:pPr>
              <w:jc w:val="right"/>
            </w:pPr>
            <w:r>
              <w:rPr>
                <w:color w:val="000000"/>
                <w:sz w:val="20"/>
                <w:szCs w:val="20"/>
              </w:rPr>
              <w:t>3,151</w:t>
            </w:r>
          </w:p>
        </w:tc>
        <w:tc>
          <w:tcPr>
            <w:tcW w:w="3120" w:type="dxa"/>
            <w:tcBorders>
              <w:top w:val="single" w:sz="1" w:space="0" w:color="CCCCCC"/>
              <w:left w:val="single" w:sz="1" w:space="0" w:color="CCCCCC"/>
              <w:bottom w:val="single" w:sz="1" w:space="0" w:color="CCCCCC"/>
              <w:right w:val="single" w:sz="1" w:space="0" w:color="CCCCCC"/>
            </w:tcBorders>
            <w:shd w:val="clear" w:color="auto" w:fill="EEF2FB"/>
            <w:tcMar>
              <w:top w:w="80" w:type="dxa"/>
              <w:left w:w="120" w:type="dxa"/>
              <w:bottom w:w="80" w:type="dxa"/>
              <w:right w:w="120" w:type="dxa"/>
            </w:tcMar>
          </w:tcPr>
          <w:p w14:paraId="1702CC14" w14:textId="77777777" w:rsidR="00015BAC" w:rsidRDefault="00000000">
            <w:pPr>
              <w:jc w:val="right"/>
            </w:pPr>
            <w:r>
              <w:rPr>
                <w:color w:val="000000"/>
                <w:sz w:val="20"/>
                <w:szCs w:val="20"/>
              </w:rPr>
              <w:t>5.3%</w:t>
            </w:r>
          </w:p>
        </w:tc>
      </w:tr>
    </w:tbl>
    <w:p w14:paraId="1D41BC3A" w14:textId="77777777" w:rsidR="00015BAC" w:rsidRDefault="00015BAC">
      <w:pPr>
        <w:spacing w:after="120"/>
      </w:pPr>
    </w:p>
    <w:p w14:paraId="7DDECB38" w14:textId="16653CF4" w:rsidR="00015BAC" w:rsidRDefault="00000000">
      <w:pPr>
        <w:spacing w:after="120"/>
      </w:pPr>
      <w:r>
        <w:t xml:space="preserve">Operational cost alone consumes nearly half of revenue. A 5-percentage-point reduction here (toward ~41% of revenue) would add roughly IDR 3,000 </w:t>
      </w:r>
      <w:proofErr w:type="spellStart"/>
      <w:r w:rsidR="001760F8">
        <w:t>mn</w:t>
      </w:r>
      <w:proofErr w:type="spellEnd"/>
      <w:r>
        <w:t xml:space="preserve"> to annual profit more than the entire net profit of the SaaS line. This makes operational cost the single highest-value efficiency target.</w:t>
      </w:r>
    </w:p>
    <w:p w14:paraId="67270E7D" w14:textId="77777777" w:rsidR="00015BAC" w:rsidRDefault="00000000">
      <w:r>
        <w:br w:type="page"/>
      </w:r>
    </w:p>
    <w:p w14:paraId="6063C805" w14:textId="77777777" w:rsidR="00015BAC" w:rsidRDefault="00000000">
      <w:pPr>
        <w:pStyle w:val="Heading1"/>
      </w:pPr>
      <w:bookmarkStart w:id="5" w:name="_Toc230899268"/>
      <w:r>
        <w:lastRenderedPageBreak/>
        <w:t>5. Budget vs Actual Analysis</w:t>
      </w:r>
      <w:bookmarkEnd w:id="5"/>
    </w:p>
    <w:p w14:paraId="6EFD5642" w14:textId="2040031D" w:rsidR="00015BAC" w:rsidRDefault="00000000">
      <w:pPr>
        <w:spacing w:after="120"/>
      </w:pPr>
      <w:r>
        <w:t xml:space="preserve">Across the year the company budgeted IDR 60,297 </w:t>
      </w:r>
      <w:proofErr w:type="spellStart"/>
      <w:r w:rsidR="001760F8">
        <w:t>mn</w:t>
      </w:r>
      <w:proofErr w:type="spellEnd"/>
      <w:r>
        <w:t xml:space="preserve"> of spend and </w:t>
      </w:r>
      <w:proofErr w:type="gramStart"/>
      <w:r>
        <w:t>actually spent</w:t>
      </w:r>
      <w:proofErr w:type="gramEnd"/>
      <w:r>
        <w:t xml:space="preserve"> IDR 45,607 </w:t>
      </w:r>
      <w:proofErr w:type="spellStart"/>
      <w:r w:rsidR="001760F8">
        <w:t>mn</w:t>
      </w:r>
      <w:proofErr w:type="spellEnd"/>
      <w:r>
        <w:t xml:space="preserve"> a utilization rate of 75.6%, or roughly IDR 14,690 </w:t>
      </w:r>
      <w:proofErr w:type="spellStart"/>
      <w:r w:rsidR="001760F8">
        <w:t>mn</w:t>
      </w:r>
      <w:proofErr w:type="spellEnd"/>
      <w:r>
        <w:t xml:space="preserve"> left unspent. Every month closed under budget.</w:t>
      </w:r>
    </w:p>
    <w:p w14:paraId="07E31824" w14:textId="77777777" w:rsidR="00015BAC" w:rsidRDefault="00000000">
      <w:pPr>
        <w:pStyle w:val="ListParagraph"/>
        <w:numPr>
          <w:ilvl w:val="0"/>
          <w:numId w:val="3"/>
        </w:numPr>
        <w:spacing w:after="60"/>
      </w:pPr>
      <w:r>
        <w:t>Persistent underspend indicates budgets are set with excessive buffer rather than reflecting realistic operational need.</w:t>
      </w:r>
    </w:p>
    <w:p w14:paraId="2E21E1CA" w14:textId="77777777" w:rsidR="00015BAC" w:rsidRDefault="00000000">
      <w:pPr>
        <w:pStyle w:val="ListParagraph"/>
        <w:numPr>
          <w:ilvl w:val="0"/>
          <w:numId w:val="3"/>
        </w:numPr>
        <w:spacing w:after="60"/>
      </w:pPr>
      <w:r>
        <w:t>Chronic underspend is not automatically positive: it can signal under-investment in growth, hiring, or marketing during peak windows.</w:t>
      </w:r>
    </w:p>
    <w:p w14:paraId="64DFCB83" w14:textId="77777777" w:rsidR="00015BAC" w:rsidRDefault="00000000">
      <w:pPr>
        <w:pStyle w:val="ListParagraph"/>
        <w:numPr>
          <w:ilvl w:val="0"/>
          <w:numId w:val="3"/>
        </w:numPr>
        <w:spacing w:after="60"/>
      </w:pPr>
      <w:r>
        <w:t>Recommended fix: zero-based budgeting by service line, with variance reviewed monthly against a tighter ±5% tolerance band.</w:t>
      </w:r>
    </w:p>
    <w:p w14:paraId="788F4537" w14:textId="5748177E" w:rsidR="00015BAC" w:rsidRDefault="00000000">
      <w:pPr>
        <w:pStyle w:val="Heading1"/>
      </w:pPr>
      <w:bookmarkStart w:id="6" w:name="_Toc230899269"/>
      <w:r>
        <w:t>6. Forecast Next 3 Months</w:t>
      </w:r>
      <w:bookmarkEnd w:id="6"/>
    </w:p>
    <w:p w14:paraId="2B5F4D03" w14:textId="1143BD7F" w:rsidR="00015BAC" w:rsidRDefault="00000000">
      <w:pPr>
        <w:spacing w:after="120"/>
      </w:pPr>
      <w:r>
        <w:t>A linear trend (TREND regression) on the twelve historical months projects the following revenue for Q1 2026. Because the model is linear, it does not yet capture the post-</w:t>
      </w:r>
      <w:proofErr w:type="spellStart"/>
      <w:r>
        <w:t>Harbolnas</w:t>
      </w:r>
      <w:proofErr w:type="spellEnd"/>
      <w:r>
        <w:t xml:space="preserve"> seasonal dip; actual January figures are likely to sit slightly below the trend line, with recovery into February</w:t>
      </w:r>
      <w:r w:rsidR="000E07B0">
        <w:t>-</w:t>
      </w:r>
      <w:r>
        <w:t>March.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015BAC" w14:paraId="0DC02EC8"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021A33A7" w14:textId="77777777" w:rsidR="00015BAC" w:rsidRDefault="00000000">
            <w:pPr>
              <w:jc w:val="center"/>
            </w:pPr>
            <w:r>
              <w:rPr>
                <w:b/>
                <w:bCs/>
                <w:color w:val="FFFFFF"/>
                <w:sz w:val="20"/>
                <w:szCs w:val="20"/>
              </w:rPr>
              <w:t>Period</w:t>
            </w:r>
          </w:p>
        </w:tc>
        <w:tc>
          <w:tcPr>
            <w:tcW w:w="368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423C2CB0" w14:textId="77777777" w:rsidR="00015BAC" w:rsidRDefault="00000000">
            <w:pPr>
              <w:jc w:val="center"/>
            </w:pPr>
            <w:r>
              <w:rPr>
                <w:b/>
                <w:bCs/>
                <w:color w:val="FFFFFF"/>
                <w:sz w:val="20"/>
                <w:szCs w:val="20"/>
              </w:rPr>
              <w:t>Month</w:t>
            </w:r>
          </w:p>
        </w:tc>
        <w:tc>
          <w:tcPr>
            <w:tcW w:w="3680" w:type="dxa"/>
            <w:tcBorders>
              <w:top w:val="single" w:sz="1" w:space="0" w:color="CCCCCC"/>
              <w:left w:val="single" w:sz="1" w:space="0" w:color="CCCCCC"/>
              <w:bottom w:val="single" w:sz="1" w:space="0" w:color="CCCCCC"/>
              <w:right w:val="single" w:sz="1" w:space="0" w:color="CCCCCC"/>
            </w:tcBorders>
            <w:shd w:val="clear" w:color="auto" w:fill="1F2A44"/>
            <w:tcMar>
              <w:top w:w="80" w:type="dxa"/>
              <w:left w:w="120" w:type="dxa"/>
              <w:bottom w:w="80" w:type="dxa"/>
              <w:right w:w="120" w:type="dxa"/>
            </w:tcMar>
          </w:tcPr>
          <w:p w14:paraId="198B3D6D" w14:textId="3210F29A" w:rsidR="00015BAC" w:rsidRDefault="00000000">
            <w:pPr>
              <w:jc w:val="center"/>
            </w:pPr>
            <w:r>
              <w:rPr>
                <w:b/>
                <w:bCs/>
                <w:color w:val="FFFFFF"/>
                <w:sz w:val="20"/>
                <w:szCs w:val="20"/>
              </w:rPr>
              <w:t xml:space="preserve">Forecast Revenue (IDR </w:t>
            </w:r>
            <w:proofErr w:type="spellStart"/>
            <w:r w:rsidR="001760F8">
              <w:rPr>
                <w:b/>
                <w:bCs/>
                <w:color w:val="FFFFFF"/>
                <w:sz w:val="20"/>
                <w:szCs w:val="20"/>
              </w:rPr>
              <w:t>mn</w:t>
            </w:r>
            <w:proofErr w:type="spellEnd"/>
            <w:r>
              <w:rPr>
                <w:b/>
                <w:bCs/>
                <w:color w:val="FFFFFF"/>
                <w:sz w:val="20"/>
                <w:szCs w:val="20"/>
              </w:rPr>
              <w:t>)</w:t>
            </w:r>
          </w:p>
        </w:tc>
      </w:tr>
      <w:tr w:rsidR="00015BAC" w14:paraId="1E9DD0F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CF5A44" w14:textId="77777777" w:rsidR="00015BAC" w:rsidRDefault="00000000">
            <w:r>
              <w:rPr>
                <w:color w:val="000000"/>
                <w:sz w:val="20"/>
                <w:szCs w:val="20"/>
              </w:rPr>
              <w:t>13</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C6B19A" w14:textId="77777777" w:rsidR="00015BAC" w:rsidRDefault="00000000">
            <w:pPr>
              <w:jc w:val="right"/>
            </w:pPr>
            <w:r>
              <w:rPr>
                <w:color w:val="000000"/>
                <w:sz w:val="20"/>
                <w:szCs w:val="20"/>
              </w:rPr>
              <w:t>Jan-2026</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98450C" w14:textId="77777777" w:rsidR="00015BAC" w:rsidRDefault="00000000">
            <w:pPr>
              <w:jc w:val="right"/>
            </w:pPr>
            <w:r>
              <w:rPr>
                <w:color w:val="000000"/>
                <w:sz w:val="20"/>
                <w:szCs w:val="20"/>
              </w:rPr>
              <w:t>6,057</w:t>
            </w:r>
          </w:p>
        </w:tc>
      </w:tr>
      <w:tr w:rsidR="00015BAC" w14:paraId="43CDCB45"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2FB"/>
            <w:tcMar>
              <w:top w:w="80" w:type="dxa"/>
              <w:left w:w="120" w:type="dxa"/>
              <w:bottom w:w="80" w:type="dxa"/>
              <w:right w:w="120" w:type="dxa"/>
            </w:tcMar>
          </w:tcPr>
          <w:p w14:paraId="2766C4B7" w14:textId="77777777" w:rsidR="00015BAC" w:rsidRDefault="00000000">
            <w:r>
              <w:rPr>
                <w:color w:val="000000"/>
                <w:sz w:val="20"/>
                <w:szCs w:val="20"/>
              </w:rPr>
              <w:t>14</w:t>
            </w:r>
          </w:p>
        </w:tc>
        <w:tc>
          <w:tcPr>
            <w:tcW w:w="3680" w:type="dxa"/>
            <w:tcBorders>
              <w:top w:val="single" w:sz="1" w:space="0" w:color="CCCCCC"/>
              <w:left w:val="single" w:sz="1" w:space="0" w:color="CCCCCC"/>
              <w:bottom w:val="single" w:sz="1" w:space="0" w:color="CCCCCC"/>
              <w:right w:val="single" w:sz="1" w:space="0" w:color="CCCCCC"/>
            </w:tcBorders>
            <w:shd w:val="clear" w:color="auto" w:fill="EEF2FB"/>
            <w:tcMar>
              <w:top w:w="80" w:type="dxa"/>
              <w:left w:w="120" w:type="dxa"/>
              <w:bottom w:w="80" w:type="dxa"/>
              <w:right w:w="120" w:type="dxa"/>
            </w:tcMar>
          </w:tcPr>
          <w:p w14:paraId="2C95554E" w14:textId="77777777" w:rsidR="00015BAC" w:rsidRDefault="00000000">
            <w:pPr>
              <w:jc w:val="right"/>
            </w:pPr>
            <w:r>
              <w:rPr>
                <w:color w:val="000000"/>
                <w:sz w:val="20"/>
                <w:szCs w:val="20"/>
              </w:rPr>
              <w:t>Feb-2026</w:t>
            </w:r>
          </w:p>
        </w:tc>
        <w:tc>
          <w:tcPr>
            <w:tcW w:w="3680" w:type="dxa"/>
            <w:tcBorders>
              <w:top w:val="single" w:sz="1" w:space="0" w:color="CCCCCC"/>
              <w:left w:val="single" w:sz="1" w:space="0" w:color="CCCCCC"/>
              <w:bottom w:val="single" w:sz="1" w:space="0" w:color="CCCCCC"/>
              <w:right w:val="single" w:sz="1" w:space="0" w:color="CCCCCC"/>
            </w:tcBorders>
            <w:shd w:val="clear" w:color="auto" w:fill="EEF2FB"/>
            <w:tcMar>
              <w:top w:w="80" w:type="dxa"/>
              <w:left w:w="120" w:type="dxa"/>
              <w:bottom w:w="80" w:type="dxa"/>
              <w:right w:w="120" w:type="dxa"/>
            </w:tcMar>
          </w:tcPr>
          <w:p w14:paraId="77F66D58" w14:textId="77777777" w:rsidR="00015BAC" w:rsidRDefault="00000000">
            <w:pPr>
              <w:jc w:val="right"/>
            </w:pPr>
            <w:r>
              <w:rPr>
                <w:color w:val="000000"/>
                <w:sz w:val="20"/>
                <w:szCs w:val="20"/>
              </w:rPr>
              <w:t>6,230</w:t>
            </w:r>
          </w:p>
        </w:tc>
      </w:tr>
      <w:tr w:rsidR="00015BAC" w14:paraId="5FAA1E2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FBEB1C" w14:textId="77777777" w:rsidR="00015BAC" w:rsidRDefault="00000000">
            <w:r>
              <w:rPr>
                <w:color w:val="000000"/>
                <w:sz w:val="20"/>
                <w:szCs w:val="20"/>
              </w:rPr>
              <w:t>15</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77713C" w14:textId="77777777" w:rsidR="00015BAC" w:rsidRDefault="00000000">
            <w:pPr>
              <w:jc w:val="right"/>
            </w:pPr>
            <w:r>
              <w:rPr>
                <w:color w:val="000000"/>
                <w:sz w:val="20"/>
                <w:szCs w:val="20"/>
              </w:rPr>
              <w:t>Mar-2026</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3FB908" w14:textId="77777777" w:rsidR="00015BAC" w:rsidRDefault="00000000">
            <w:pPr>
              <w:jc w:val="right"/>
            </w:pPr>
            <w:r>
              <w:rPr>
                <w:color w:val="000000"/>
                <w:sz w:val="20"/>
                <w:szCs w:val="20"/>
              </w:rPr>
              <w:t>6,403</w:t>
            </w:r>
          </w:p>
        </w:tc>
      </w:tr>
    </w:tbl>
    <w:p w14:paraId="1C53AB7E" w14:textId="77777777" w:rsidR="00015BAC" w:rsidRDefault="00015BAC">
      <w:pPr>
        <w:spacing w:after="120"/>
      </w:pPr>
    </w:p>
    <w:p w14:paraId="50E6B4C6" w14:textId="29C049D3" w:rsidR="00015BAC" w:rsidRDefault="00000000">
      <w:pPr>
        <w:pStyle w:val="ListParagraph"/>
        <w:numPr>
          <w:ilvl w:val="0"/>
          <w:numId w:val="3"/>
        </w:numPr>
        <w:spacing w:after="60"/>
      </w:pPr>
      <w:r>
        <w:t xml:space="preserve">Three-month forecast total: ~IDR 18,690 </w:t>
      </w:r>
      <w:proofErr w:type="spellStart"/>
      <w:r w:rsidR="001760F8">
        <w:t>mn</w:t>
      </w:r>
      <w:proofErr w:type="spellEnd"/>
      <w:r>
        <w:t>, implying continued mid-single-digit monthly growth.</w:t>
      </w:r>
    </w:p>
    <w:p w14:paraId="3DB1EC04" w14:textId="40F19804" w:rsidR="00015BAC" w:rsidRDefault="00000000">
      <w:pPr>
        <w:pStyle w:val="ListParagraph"/>
        <w:numPr>
          <w:ilvl w:val="0"/>
          <w:numId w:val="3"/>
        </w:numPr>
        <w:spacing w:after="60"/>
      </w:pPr>
      <w:r>
        <w:t xml:space="preserve">Refinement: layer a seasonal index on top of the linear trend to sharpen the </w:t>
      </w:r>
      <w:proofErr w:type="spellStart"/>
      <w:r>
        <w:t>Lebaran</w:t>
      </w:r>
      <w:proofErr w:type="spellEnd"/>
      <w:r>
        <w:t xml:space="preserve"> (Mar</w:t>
      </w:r>
      <w:r w:rsidR="000E07B0">
        <w:t>-</w:t>
      </w:r>
      <w:r>
        <w:t>Apr) ramp for FY2026 planning.</w:t>
      </w:r>
    </w:p>
    <w:p w14:paraId="6DB8385B" w14:textId="77777777" w:rsidR="00015BAC" w:rsidRDefault="00000000">
      <w:r>
        <w:br w:type="page"/>
      </w:r>
    </w:p>
    <w:p w14:paraId="4F56F245" w14:textId="77777777" w:rsidR="00015BAC" w:rsidRDefault="00000000">
      <w:pPr>
        <w:pStyle w:val="Heading1"/>
      </w:pPr>
      <w:bookmarkStart w:id="7" w:name="_Toc230899270"/>
      <w:r>
        <w:lastRenderedPageBreak/>
        <w:t>7. Cost-Saving Opportunities</w:t>
      </w:r>
      <w:bookmarkEnd w:id="7"/>
    </w:p>
    <w:p w14:paraId="55991A9B" w14:textId="2FD5BADA" w:rsidR="00015BAC" w:rsidRDefault="00000000">
      <w:pPr>
        <w:pStyle w:val="ListParagraph"/>
        <w:numPr>
          <w:ilvl w:val="0"/>
          <w:numId w:val="2"/>
        </w:numPr>
        <w:spacing w:after="60"/>
      </w:pPr>
      <w:r>
        <w:t xml:space="preserve">Operational cost in Ads Management: this line carries the highest operational intensity (~55% of its revenue). Consolidate media-buying tools and renegotiate platform/agency rates targeting a </w:t>
      </w:r>
      <w:proofErr w:type="gramStart"/>
      <w:r>
        <w:t>3</w:t>
      </w:r>
      <w:r w:rsidR="000E07B0">
        <w:t>-</w:t>
      </w:r>
      <w:r>
        <w:t>5 point</w:t>
      </w:r>
      <w:proofErr w:type="gramEnd"/>
      <w:r>
        <w:t xml:space="preserve"> reduction.</w:t>
      </w:r>
    </w:p>
    <w:p w14:paraId="6D9E8878" w14:textId="4BCD4140" w:rsidR="00015BAC" w:rsidRDefault="00000000">
      <w:pPr>
        <w:pStyle w:val="ListParagraph"/>
        <w:numPr>
          <w:ilvl w:val="0"/>
          <w:numId w:val="2"/>
        </w:numPr>
        <w:spacing w:after="60"/>
      </w:pPr>
      <w:r>
        <w:t xml:space="preserve">Software subscription rationalization: at IDR 3,151 </w:t>
      </w:r>
      <w:proofErr w:type="spellStart"/>
      <w:r w:rsidR="001760F8">
        <w:t>mn</w:t>
      </w:r>
      <w:proofErr w:type="spellEnd"/>
      <w:r>
        <w:t>, audit overlapping SaaS licences across teams, remove inactive seats, and move to annual commitments where usage is stable (typical 10</w:t>
      </w:r>
      <w:r w:rsidR="000E07B0">
        <w:t>-</w:t>
      </w:r>
      <w:r>
        <w:t>15% saving).</w:t>
      </w:r>
    </w:p>
    <w:p w14:paraId="75E64D77" w14:textId="52F17C3A" w:rsidR="00015BAC" w:rsidRDefault="00000000">
      <w:pPr>
        <w:pStyle w:val="ListParagraph"/>
        <w:numPr>
          <w:ilvl w:val="0"/>
          <w:numId w:val="2"/>
        </w:numPr>
        <w:spacing w:after="60"/>
      </w:pPr>
      <w:r>
        <w:t xml:space="preserve">Budget discipline: redirect part of the IDR 14,690 </w:t>
      </w:r>
      <w:proofErr w:type="spellStart"/>
      <w:r w:rsidR="001760F8">
        <w:t>mn</w:t>
      </w:r>
      <w:proofErr w:type="spellEnd"/>
      <w:r>
        <w:t xml:space="preserve"> structural underspend from low-return line items into the SaaS platform and Influencer Marketing, the two highest-margin lines.</w:t>
      </w:r>
    </w:p>
    <w:p w14:paraId="1F36C166" w14:textId="0F94269B" w:rsidR="00015BAC" w:rsidRDefault="00000000">
      <w:pPr>
        <w:pStyle w:val="ListParagraph"/>
        <w:numPr>
          <w:ilvl w:val="0"/>
          <w:numId w:val="2"/>
        </w:numPr>
        <w:spacing w:after="60"/>
      </w:pPr>
      <w:r>
        <w:t xml:space="preserve">Employee cost productivity: tie headcount growth (IDR 8,303 </w:t>
      </w:r>
      <w:proofErr w:type="spellStart"/>
      <w:r w:rsidR="001760F8">
        <w:t>mn</w:t>
      </w:r>
      <w:proofErr w:type="spellEnd"/>
      <w:r>
        <w:t>) to revenue-per-employee targets rather than absolute volume, especially in lower-margin Ads delivery.</w:t>
      </w:r>
    </w:p>
    <w:p w14:paraId="12A62094" w14:textId="77777777" w:rsidR="00015BAC" w:rsidRDefault="00000000">
      <w:pPr>
        <w:pStyle w:val="Heading1"/>
      </w:pPr>
      <w:bookmarkStart w:id="8" w:name="_Toc230899271"/>
      <w:r>
        <w:t>8. Revenue Optimization Opportunities</w:t>
      </w:r>
      <w:bookmarkEnd w:id="8"/>
    </w:p>
    <w:p w14:paraId="0A3C7BED" w14:textId="77777777" w:rsidR="00015BAC" w:rsidRDefault="00000000">
      <w:pPr>
        <w:pStyle w:val="ListParagraph"/>
        <w:numPr>
          <w:ilvl w:val="0"/>
          <w:numId w:val="2"/>
        </w:numPr>
        <w:spacing w:after="60"/>
      </w:pPr>
      <w:r>
        <w:t>Scale the SaaS Creator Platform: highest gross margin (69.7%) and most scalable economics. Prioritize it for sales and product investment to lift blended margin.</w:t>
      </w:r>
    </w:p>
    <w:p w14:paraId="4D6AE260" w14:textId="27526A57" w:rsidR="00015BAC" w:rsidRDefault="00000000">
      <w:pPr>
        <w:pStyle w:val="ListParagraph"/>
        <w:numPr>
          <w:ilvl w:val="0"/>
          <w:numId w:val="2"/>
        </w:numPr>
        <w:spacing w:after="60"/>
      </w:pPr>
      <w:r>
        <w:t>Up-sell Influencer Marketing (30.8% net margin) into the existing E-commerce Enablement client base natural cross-sell with strong profit conversion.</w:t>
      </w:r>
    </w:p>
    <w:p w14:paraId="187B6E52" w14:textId="77777777" w:rsidR="00015BAC" w:rsidRDefault="00000000">
      <w:pPr>
        <w:pStyle w:val="ListParagraph"/>
        <w:numPr>
          <w:ilvl w:val="0"/>
          <w:numId w:val="2"/>
        </w:numPr>
        <w:spacing w:after="60"/>
      </w:pPr>
      <w:r>
        <w:t>Improve Ads Management efficiency, not just volume: its ROAS (5.54x) is the highest in the portfolio, so improving delivery margin turns its scale into profit rather than dilution.</w:t>
      </w:r>
    </w:p>
    <w:p w14:paraId="5243F36A" w14:textId="77777777" w:rsidR="00015BAC" w:rsidRDefault="00000000">
      <w:pPr>
        <w:pStyle w:val="ListParagraph"/>
        <w:numPr>
          <w:ilvl w:val="0"/>
          <w:numId w:val="2"/>
        </w:numPr>
        <w:spacing w:after="60"/>
      </w:pPr>
      <w:r>
        <w:t xml:space="preserve">Lean into seasonality: pre-sell capacity and bundle services ahead of </w:t>
      </w:r>
      <w:proofErr w:type="spellStart"/>
      <w:r>
        <w:t>Lebaran</w:t>
      </w:r>
      <w:proofErr w:type="spellEnd"/>
      <w:r>
        <w:t xml:space="preserve"> and </w:t>
      </w:r>
      <w:proofErr w:type="spellStart"/>
      <w:r>
        <w:t>Harbolnas</w:t>
      </w:r>
      <w:proofErr w:type="spellEnd"/>
      <w:r>
        <w:t>, when willingness-to-spend peaks.</w:t>
      </w:r>
    </w:p>
    <w:p w14:paraId="13DE091F" w14:textId="77777777" w:rsidR="00015BAC" w:rsidRDefault="00000000">
      <w:pPr>
        <w:pStyle w:val="Heading1"/>
      </w:pPr>
      <w:bookmarkStart w:id="9" w:name="_Toc230899272"/>
      <w:r>
        <w:t>9. Business Recommendations</w:t>
      </w:r>
      <w:bookmarkEnd w:id="9"/>
    </w:p>
    <w:p w14:paraId="4810950C" w14:textId="77777777" w:rsidR="00015BAC" w:rsidRDefault="00000000">
      <w:pPr>
        <w:pStyle w:val="Heading2"/>
      </w:pPr>
      <w:bookmarkStart w:id="10" w:name="_Toc230899273"/>
      <w:r>
        <w:t>Which service should receive higher investment</w:t>
      </w:r>
      <w:bookmarkEnd w:id="10"/>
    </w:p>
    <w:p w14:paraId="3F32BC56" w14:textId="77777777" w:rsidR="00015BAC" w:rsidRDefault="00000000">
      <w:pPr>
        <w:spacing w:after="120"/>
      </w:pPr>
      <w:r>
        <w:t>The SaaS Creator Platform (highest gross margin, scalable) and Influencer Marketing (highest net margin) should receive the largest incremental investment. Together they offer the best return on each additional rupiah deployed.</w:t>
      </w:r>
    </w:p>
    <w:p w14:paraId="186FF3F4" w14:textId="77777777" w:rsidR="00015BAC" w:rsidRDefault="00000000">
      <w:pPr>
        <w:pStyle w:val="Heading2"/>
      </w:pPr>
      <w:bookmarkStart w:id="11" w:name="_Toc230899274"/>
      <w:r>
        <w:t>Which operational costs should be reduced</w:t>
      </w:r>
      <w:bookmarkEnd w:id="11"/>
    </w:p>
    <w:p w14:paraId="19EEA0C6" w14:textId="1884FFB8" w:rsidR="00015BAC" w:rsidRDefault="00000000">
      <w:pPr>
        <w:spacing w:after="120"/>
      </w:pPr>
      <w:r>
        <w:t>Operational cost particularly within Ads Management is the priority target, supported by SaaS-licence rationalization. These two areas offer the largest, lowest-risk margin gains.</w:t>
      </w:r>
    </w:p>
    <w:p w14:paraId="729A8A31" w14:textId="77777777" w:rsidR="00015BAC" w:rsidRDefault="00000000">
      <w:pPr>
        <w:pStyle w:val="Heading2"/>
      </w:pPr>
      <w:bookmarkStart w:id="12" w:name="_Toc230899275"/>
      <w:r>
        <w:t>Which business segment generates the highest profitability</w:t>
      </w:r>
      <w:bookmarkEnd w:id="12"/>
    </w:p>
    <w:p w14:paraId="2DB477D5" w14:textId="77777777" w:rsidR="00015BAC" w:rsidRDefault="00000000">
      <w:pPr>
        <w:spacing w:after="120"/>
      </w:pPr>
      <w:r>
        <w:t xml:space="preserve">On margin quality, the SaaS Creator Platform leads on gross </w:t>
      </w:r>
      <w:proofErr w:type="gramStart"/>
      <w:r>
        <w:t>margin</w:t>
      </w:r>
      <w:proofErr w:type="gramEnd"/>
      <w:r>
        <w:t xml:space="preserve"> and Influencer Marketing leads on net margin. On absolute profit, Ads Management and E-commerce Enablement contribute most because of their scale. The portfolio is healthiest when the high-margin lines grow faster than the high-volume lines.</w:t>
      </w:r>
    </w:p>
    <w:p w14:paraId="7F65EDEF" w14:textId="77777777" w:rsidR="00015BAC" w:rsidRDefault="00000000">
      <w:pPr>
        <w:pStyle w:val="Heading2"/>
      </w:pPr>
      <w:bookmarkStart w:id="13" w:name="_Toc230899276"/>
      <w:r>
        <w:t>Recommendation to improve marketing efficiency</w:t>
      </w:r>
      <w:bookmarkEnd w:id="13"/>
    </w:p>
    <w:p w14:paraId="0465D593" w14:textId="490F7B48" w:rsidR="00015BAC" w:rsidRDefault="00000000">
      <w:pPr>
        <w:spacing w:after="120"/>
      </w:pPr>
      <w:r>
        <w:t xml:space="preserve">Blended ROAS of 4.18x is solid. Reallocate marketing budget toward the channels and services with the highest ROAS (Ads Management at 5.54x) and the lowest CAC (Ads Management at IDR 2.45 </w:t>
      </w:r>
      <w:proofErr w:type="spellStart"/>
      <w:r w:rsidR="001760F8">
        <w:t>mn</w:t>
      </w:r>
      <w:proofErr w:type="spellEnd"/>
      <w:r>
        <w:t>), while protecting Influencer Marketing for its superior net-margin conversion. Track CAC and ROAS at the service level monthly so spend follows efficiency.</w:t>
      </w:r>
    </w:p>
    <w:p w14:paraId="51BF23AB" w14:textId="77777777" w:rsidR="00015BAC" w:rsidRDefault="00000000">
      <w:pPr>
        <w:pStyle w:val="Heading1"/>
      </w:pPr>
      <w:bookmarkStart w:id="14" w:name="_Toc230899277"/>
      <w:r>
        <w:lastRenderedPageBreak/>
        <w:t>10. Methodology &amp; Notes</w:t>
      </w:r>
      <w:bookmarkEnd w:id="14"/>
    </w:p>
    <w:p w14:paraId="2CC84AF6" w14:textId="77777777" w:rsidR="00015BAC" w:rsidRDefault="00000000">
      <w:pPr>
        <w:pStyle w:val="ListParagraph"/>
        <w:numPr>
          <w:ilvl w:val="0"/>
          <w:numId w:val="3"/>
        </w:numPr>
        <w:spacing w:after="60"/>
      </w:pPr>
      <w:r>
        <w:t>Dataset: 192 monthly client-level records across 4 service lines and 16 representative Indonesian clients, FY2025.</w:t>
      </w:r>
    </w:p>
    <w:p w14:paraId="1A242416" w14:textId="77777777" w:rsidR="00015BAC" w:rsidRDefault="00000000">
      <w:pPr>
        <w:pStyle w:val="ListParagraph"/>
        <w:numPr>
          <w:ilvl w:val="0"/>
          <w:numId w:val="3"/>
        </w:numPr>
        <w:spacing w:after="60"/>
      </w:pPr>
      <w:r>
        <w:t>All figures in IDR millions. Data is simulated for portfolio demonstration; client names are used illustratively and do not represent real engagements.</w:t>
      </w:r>
    </w:p>
    <w:sectPr w:rsidR="00015BA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9EEB3" w14:textId="77777777" w:rsidR="00D35598" w:rsidRDefault="00D35598">
      <w:r>
        <w:separator/>
      </w:r>
    </w:p>
  </w:endnote>
  <w:endnote w:type="continuationSeparator" w:id="0">
    <w:p w14:paraId="175C079A" w14:textId="77777777" w:rsidR="00D35598" w:rsidRDefault="00D355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3CCA4" w14:textId="77777777" w:rsidR="00015BAC" w:rsidRDefault="00000000">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0E07B0">
      <w:rPr>
        <w:noProof/>
        <w:color w:val="6B7280"/>
        <w:sz w:val="16"/>
        <w:szCs w:val="16"/>
      </w:rPr>
      <w:t>1</w:t>
    </w:r>
    <w:r>
      <w:rPr>
        <w:color w:val="6B7280"/>
        <w:sz w:val="16"/>
        <w:szCs w:val="16"/>
      </w:rPr>
      <w:fldChar w:fldCharType="end"/>
    </w:r>
    <w:r>
      <w:rPr>
        <w:color w:val="6B7280"/>
        <w:sz w:val="16"/>
        <w:szCs w:val="16"/>
      </w:rPr>
      <w:t xml:space="preserve"> • Confidential — Finance Analytics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6284A" w14:textId="77777777" w:rsidR="00D35598" w:rsidRDefault="00D35598">
      <w:r>
        <w:separator/>
      </w:r>
    </w:p>
  </w:footnote>
  <w:footnote w:type="continuationSeparator" w:id="0">
    <w:p w14:paraId="0EDEF030" w14:textId="77777777" w:rsidR="00D35598" w:rsidRDefault="00D355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6BBF7" w14:textId="77777777" w:rsidR="00015BAC" w:rsidRDefault="00000000">
    <w:pPr>
      <w:pBdr>
        <w:bottom w:val="single" w:sz="4" w:space="4" w:color="2E5BFF"/>
      </w:pBdr>
      <w:jc w:val="right"/>
    </w:pPr>
    <w:r>
      <w:rPr>
        <w:color w:val="6B7280"/>
        <w:sz w:val="16"/>
        <w:szCs w:val="16"/>
      </w:rPr>
      <w:t>Nusantara Digital Group — FY2025 Financial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5B598E"/>
    <w:multiLevelType w:val="hybridMultilevel"/>
    <w:tmpl w:val="B184A046"/>
    <w:lvl w:ilvl="0" w:tplc="4EC6594A">
      <w:start w:val="1"/>
      <w:numFmt w:val="decimal"/>
      <w:lvlText w:val="%1."/>
      <w:lvlJc w:val="left"/>
      <w:pPr>
        <w:ind w:left="520" w:hanging="260"/>
      </w:pPr>
    </w:lvl>
    <w:lvl w:ilvl="1" w:tplc="D4E2840A">
      <w:numFmt w:val="decimal"/>
      <w:lvlText w:val=""/>
      <w:lvlJc w:val="left"/>
    </w:lvl>
    <w:lvl w:ilvl="2" w:tplc="192AB854">
      <w:numFmt w:val="decimal"/>
      <w:lvlText w:val=""/>
      <w:lvlJc w:val="left"/>
    </w:lvl>
    <w:lvl w:ilvl="3" w:tplc="E60284FC">
      <w:numFmt w:val="decimal"/>
      <w:lvlText w:val=""/>
      <w:lvlJc w:val="left"/>
    </w:lvl>
    <w:lvl w:ilvl="4" w:tplc="3DBEFBA4">
      <w:numFmt w:val="decimal"/>
      <w:lvlText w:val=""/>
      <w:lvlJc w:val="left"/>
    </w:lvl>
    <w:lvl w:ilvl="5" w:tplc="51A82568">
      <w:numFmt w:val="decimal"/>
      <w:lvlText w:val=""/>
      <w:lvlJc w:val="left"/>
    </w:lvl>
    <w:lvl w:ilvl="6" w:tplc="56849F92">
      <w:numFmt w:val="decimal"/>
      <w:lvlText w:val=""/>
      <w:lvlJc w:val="left"/>
    </w:lvl>
    <w:lvl w:ilvl="7" w:tplc="4DDE9C7E">
      <w:numFmt w:val="decimal"/>
      <w:lvlText w:val=""/>
      <w:lvlJc w:val="left"/>
    </w:lvl>
    <w:lvl w:ilvl="8" w:tplc="2F7AE7DA">
      <w:numFmt w:val="decimal"/>
      <w:lvlText w:val=""/>
      <w:lvlJc w:val="left"/>
    </w:lvl>
  </w:abstractNum>
  <w:abstractNum w:abstractNumId="1" w15:restartNumberingAfterBreak="0">
    <w:nsid w:val="6BF5598B"/>
    <w:multiLevelType w:val="hybridMultilevel"/>
    <w:tmpl w:val="977E2860"/>
    <w:lvl w:ilvl="0" w:tplc="39AA86BA">
      <w:start w:val="1"/>
      <w:numFmt w:val="bullet"/>
      <w:lvlText w:val="●"/>
      <w:lvlJc w:val="left"/>
      <w:pPr>
        <w:ind w:left="720" w:hanging="360"/>
      </w:pPr>
    </w:lvl>
    <w:lvl w:ilvl="1" w:tplc="29C270D4">
      <w:start w:val="1"/>
      <w:numFmt w:val="bullet"/>
      <w:lvlText w:val="○"/>
      <w:lvlJc w:val="left"/>
      <w:pPr>
        <w:ind w:left="1440" w:hanging="360"/>
      </w:pPr>
    </w:lvl>
    <w:lvl w:ilvl="2" w:tplc="EFB6AB6E">
      <w:start w:val="1"/>
      <w:numFmt w:val="bullet"/>
      <w:lvlText w:val="■"/>
      <w:lvlJc w:val="left"/>
      <w:pPr>
        <w:ind w:left="2160" w:hanging="360"/>
      </w:pPr>
    </w:lvl>
    <w:lvl w:ilvl="3" w:tplc="3E5A5DC4">
      <w:start w:val="1"/>
      <w:numFmt w:val="bullet"/>
      <w:lvlText w:val="●"/>
      <w:lvlJc w:val="left"/>
      <w:pPr>
        <w:ind w:left="2880" w:hanging="360"/>
      </w:pPr>
    </w:lvl>
    <w:lvl w:ilvl="4" w:tplc="8B022DBC">
      <w:start w:val="1"/>
      <w:numFmt w:val="bullet"/>
      <w:lvlText w:val="○"/>
      <w:lvlJc w:val="left"/>
      <w:pPr>
        <w:ind w:left="3600" w:hanging="360"/>
      </w:pPr>
    </w:lvl>
    <w:lvl w:ilvl="5" w:tplc="06928E42">
      <w:start w:val="1"/>
      <w:numFmt w:val="bullet"/>
      <w:lvlText w:val="■"/>
      <w:lvlJc w:val="left"/>
      <w:pPr>
        <w:ind w:left="4320" w:hanging="360"/>
      </w:pPr>
    </w:lvl>
    <w:lvl w:ilvl="6" w:tplc="E51635E8">
      <w:start w:val="1"/>
      <w:numFmt w:val="bullet"/>
      <w:lvlText w:val="●"/>
      <w:lvlJc w:val="left"/>
      <w:pPr>
        <w:ind w:left="5040" w:hanging="360"/>
      </w:pPr>
    </w:lvl>
    <w:lvl w:ilvl="7" w:tplc="7F06A128">
      <w:start w:val="1"/>
      <w:numFmt w:val="bullet"/>
      <w:lvlText w:val="●"/>
      <w:lvlJc w:val="left"/>
      <w:pPr>
        <w:ind w:left="5760" w:hanging="360"/>
      </w:pPr>
    </w:lvl>
    <w:lvl w:ilvl="8" w:tplc="2436B93E">
      <w:start w:val="1"/>
      <w:numFmt w:val="bullet"/>
      <w:lvlText w:val="●"/>
      <w:lvlJc w:val="left"/>
      <w:pPr>
        <w:ind w:left="6480" w:hanging="360"/>
      </w:pPr>
    </w:lvl>
  </w:abstractNum>
  <w:abstractNum w:abstractNumId="2" w15:restartNumberingAfterBreak="0">
    <w:nsid w:val="72CD64C6"/>
    <w:multiLevelType w:val="hybridMultilevel"/>
    <w:tmpl w:val="9C7A8136"/>
    <w:lvl w:ilvl="0" w:tplc="5C94F8D8">
      <w:start w:val="1"/>
      <w:numFmt w:val="bullet"/>
      <w:lvlText w:val="•"/>
      <w:lvlJc w:val="left"/>
      <w:pPr>
        <w:ind w:left="520" w:hanging="260"/>
      </w:pPr>
    </w:lvl>
    <w:lvl w:ilvl="1" w:tplc="2A4C1A2A">
      <w:numFmt w:val="decimal"/>
      <w:lvlText w:val=""/>
      <w:lvlJc w:val="left"/>
    </w:lvl>
    <w:lvl w:ilvl="2" w:tplc="2E189302">
      <w:numFmt w:val="decimal"/>
      <w:lvlText w:val=""/>
      <w:lvlJc w:val="left"/>
    </w:lvl>
    <w:lvl w:ilvl="3" w:tplc="542470C8">
      <w:numFmt w:val="decimal"/>
      <w:lvlText w:val=""/>
      <w:lvlJc w:val="left"/>
    </w:lvl>
    <w:lvl w:ilvl="4" w:tplc="43183F7E">
      <w:numFmt w:val="decimal"/>
      <w:lvlText w:val=""/>
      <w:lvlJc w:val="left"/>
    </w:lvl>
    <w:lvl w:ilvl="5" w:tplc="30C42DF4">
      <w:numFmt w:val="decimal"/>
      <w:lvlText w:val=""/>
      <w:lvlJc w:val="left"/>
    </w:lvl>
    <w:lvl w:ilvl="6" w:tplc="788E5016">
      <w:numFmt w:val="decimal"/>
      <w:lvlText w:val=""/>
      <w:lvlJc w:val="left"/>
    </w:lvl>
    <w:lvl w:ilvl="7" w:tplc="F6887EB4">
      <w:numFmt w:val="decimal"/>
      <w:lvlText w:val=""/>
      <w:lvlJc w:val="left"/>
    </w:lvl>
    <w:lvl w:ilvl="8" w:tplc="42A64416">
      <w:numFmt w:val="decimal"/>
      <w:lvlText w:val=""/>
      <w:lvlJc w:val="left"/>
    </w:lvl>
  </w:abstractNum>
  <w:num w:numId="1" w16cid:durableId="1154906547">
    <w:abstractNumId w:val="1"/>
    <w:lvlOverride w:ilvl="0">
      <w:startOverride w:val="1"/>
    </w:lvlOverride>
  </w:num>
  <w:num w:numId="2" w16cid:durableId="991524780">
    <w:abstractNumId w:val="0"/>
    <w:lvlOverride w:ilvl="0">
      <w:startOverride w:val="1"/>
    </w:lvlOverride>
  </w:num>
  <w:num w:numId="3" w16cid:durableId="8527358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5BAC"/>
    <w:rsid w:val="00015BAC"/>
    <w:rsid w:val="000E07B0"/>
    <w:rsid w:val="001760F8"/>
    <w:rsid w:val="004C1624"/>
    <w:rsid w:val="00696259"/>
    <w:rsid w:val="006F3778"/>
    <w:rsid w:val="009B72B2"/>
    <w:rsid w:val="00C452B3"/>
    <w:rsid w:val="00D35598"/>
    <w:rsid w:val="00F02F19"/>
    <w:rsid w:val="00FD6238"/>
  </w:rsids>
  <m:mathPr>
    <m:mathFont m:val="Cambria Math"/>
    <m:brkBin m:val="before"/>
    <m:brkBinSub m:val="--"/>
    <m:smallFrac m:val="0"/>
    <m:dispDef/>
    <m:lMargin m:val="0"/>
    <m:rMargin m:val="0"/>
    <m:defJc m:val="centerGroup"/>
    <m:wrapIndent m:val="1440"/>
    <m:intLim m:val="subSup"/>
    <m:naryLim m:val="undOvr"/>
  </m:mathPr>
  <w:themeFontLang w:val="en-ID"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55BEAC"/>
  <w15:docId w15:val="{A594FC7B-26ED-4906-A8E9-FFE226C74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F2A44"/>
      <w:sz w:val="30"/>
      <w:szCs w:val="30"/>
    </w:rPr>
  </w:style>
  <w:style w:type="paragraph" w:styleId="Heading2">
    <w:name w:val="heading 2"/>
    <w:uiPriority w:val="9"/>
    <w:unhideWhenUsed/>
    <w:qFormat/>
    <w:pPr>
      <w:spacing w:before="220" w:after="120"/>
      <w:outlineLvl w:val="1"/>
    </w:pPr>
    <w:rPr>
      <w:b/>
      <w:bCs/>
      <w:color w:val="2E5BFF"/>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E07B0"/>
    <w:pPr>
      <w:spacing w:after="100"/>
    </w:pPr>
  </w:style>
  <w:style w:type="paragraph" w:styleId="TOC2">
    <w:name w:val="toc 2"/>
    <w:basedOn w:val="Normal"/>
    <w:next w:val="Normal"/>
    <w:autoRedefine/>
    <w:uiPriority w:val="39"/>
    <w:unhideWhenUsed/>
    <w:rsid w:val="000E07B0"/>
    <w:pPr>
      <w:spacing w:after="100"/>
      <w:ind w:left="220"/>
    </w:pPr>
  </w:style>
  <w:style w:type="paragraph" w:styleId="Header">
    <w:name w:val="header"/>
    <w:basedOn w:val="Normal"/>
    <w:link w:val="HeaderChar"/>
    <w:uiPriority w:val="99"/>
    <w:unhideWhenUsed/>
    <w:rsid w:val="000E07B0"/>
    <w:pPr>
      <w:tabs>
        <w:tab w:val="center" w:pos="4513"/>
        <w:tab w:val="right" w:pos="9026"/>
      </w:tabs>
    </w:pPr>
  </w:style>
  <w:style w:type="character" w:customStyle="1" w:styleId="HeaderChar">
    <w:name w:val="Header Char"/>
    <w:basedOn w:val="DefaultParagraphFont"/>
    <w:link w:val="Header"/>
    <w:uiPriority w:val="99"/>
    <w:rsid w:val="000E07B0"/>
  </w:style>
  <w:style w:type="paragraph" w:styleId="Footer">
    <w:name w:val="footer"/>
    <w:basedOn w:val="Normal"/>
    <w:link w:val="FooterChar"/>
    <w:uiPriority w:val="99"/>
    <w:unhideWhenUsed/>
    <w:rsid w:val="000E07B0"/>
    <w:pPr>
      <w:tabs>
        <w:tab w:val="center" w:pos="4513"/>
        <w:tab w:val="right" w:pos="9026"/>
      </w:tabs>
    </w:pPr>
  </w:style>
  <w:style w:type="character" w:customStyle="1" w:styleId="FooterChar">
    <w:name w:val="Footer Char"/>
    <w:basedOn w:val="DefaultParagraphFont"/>
    <w:link w:val="Footer"/>
    <w:uiPriority w:val="99"/>
    <w:rsid w:val="000E07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8</Pages>
  <Words>1426</Words>
  <Characters>8134</Characters>
  <Application>Microsoft Office Word</Application>
  <DocSecurity>0</DocSecurity>
  <Lines>67</Lines>
  <Paragraphs>19</Paragraphs>
  <ScaleCrop>false</ScaleCrop>
  <Company/>
  <LinksUpToDate>false</LinksUpToDate>
  <CharactersWithSpaces>9541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YUDISTIRA PRATAMA</cp:lastModifiedBy>
  <cp:revision>5</cp:revision>
  <dcterms:created xsi:type="dcterms:W3CDTF">2026-05-28T14:52:00Z</dcterms:created>
  <dcterms:modified xsi:type="dcterms:W3CDTF">2026-05-29T01:14:00Z</dcterms:modified>
</cp:coreProperties>
</file>