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ΔMIC预测完整基准测试结果：V17</w:t>
      </w:r>
    </w:p>
    <w:p>
      <w:pPr/>
      <w:r>
        <w:t>报告日期：2026-10-28。正式主基准包括TIGER-pair、TIGER-single和21种外部预测器，共23个模型骨干。每个骨干各有含负样本和无负样本两种训练方案，每方案10种子（120–129），合计460个种子级结果；TIGER-ensemble另列。TIGER-pair采用Unsigned quota 20,000的V17主模型；TIGER-single采用已同步至基准的single-peptide head结果。</w:t>
      </w:r>
    </w:p>
    <w:p>
      <w:pPr>
        <w:pStyle w:val="Heading2"/>
      </w:pPr>
      <w:r>
        <w:t>评价对象与指标</w:t>
      </w:r>
    </w:p>
    <w:p>
      <w:pPr/>
      <w:r>
        <w:t>外测集含208条肽、11个家族、2,211个定向家族内配对。标签为ΔMIC = log₂ MIC（锚肽）−log₂ MIC（查询肽）；正值表示查询肽活性更强。每个种子先在各家族内计算指标，再对11个家族等权平均。表内均为10个种子家族宏指标的均值±样本标准差。</w:t>
      </w:r>
    </w:p>
    <w:p>
      <w:pPr/>
      <w:r>
        <w:t>PCC为家族宏平均Pearson r；KCC为家族宏平均Kendall τb，两者越高越好。log10MAE为配对预测误差转换至log₁₀单位后的平均绝对误差：mean(|预测log₂差值−真实log₂差值|)×log₁₀2。RSE为家族内残差平方和除以真实差值相对该家族均值的总平方和；log10MAE和RSE越低越好。</w:t>
      </w:r>
    </w:p>
    <w:p>
      <w:pPr>
        <w:pStyle w:val="Heading2"/>
      </w:pPr>
      <w:r>
        <w:t>每骨干PCC最佳训练方案：23方法完整四指标</w:t>
      </w:r>
    </w:p>
    <w:p>
      <w:pPr/>
      <w:r>
        <w:t>此表沿用V17正文Pareto的条件选择：每个骨干选择十种子平均PCC最高的可定义训练方案，四项指标全部取自该同一方案，按未四舍五入的PCC降序排列。共15个含负样本方案、8个无负样本方案。这是既有外测结果的描述性择优汇总。正式Figure 4使用统一含负样本方案，完整数值另列下表。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/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排序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方法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训练方案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PCC ↑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KCC ↑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log10MAE ↓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RSE ↓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TIGER-pair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0.6543 ± 0.0168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0.4729 ± 0.0210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0.3813 ± 0.0077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0.6659 ± 0.0256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2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TIGER-single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0.6273 ± 0.0165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0.4510 ± 0.0127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0.4021 ± 0.0044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0.7522 ± 0.0162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3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AMPActiPred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0.6038 ± 0.0122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0.4506 ± 0.0107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0.3727 ± 0.0042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0.6595 ± 0.0182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4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HyperAMP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无负样本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0.5426 ± 0.0342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0.3942 ± 0.0253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0.4096 ± 0.0155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0.7463 ± 0.0843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5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APEX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0.5166 ± 0.0669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0.3646 ± 0.0568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0.4251 ± 0.0225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0.8832 ± 0.1059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6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LLAMP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0.5109 ± 0.0631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0.3740 ± 0.0463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0.4163 ± 0.0227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0.8546 ± 0.1026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7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Das2021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0.4934 ± 0.0625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0.3678 ± 0.0407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0.4373 ± 0.0350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1.1056 ± 0.2848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8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AMPlify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0.4891 ± 0.0635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0.3603 ± 0.0472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0.4289 ± 0.0446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0.9656 ± 0.3092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9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EvoGradient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0.4835 ± 0.0660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0.3629 ± 0.0450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0.4156 ± 0.0114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0.8195 ± 0.0453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10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BERT-AmPEP60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0.4815 ± 0.0731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0.3371 ± 0.0571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0.4684 ± 0.0525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1.2754 ± 0.5464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HydrAMP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0.4754 ± 0.0221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0.3503 ± 0.0181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0.4453 ± 0.0135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0.9766 ± 0.0764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12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EIPpred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无负样本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0.4749 ± 0.0551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0.3393 ± 0.0428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0.4032 ± 0.0075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0.7774 ± 0.0349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13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AMPGen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无负样本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0.4736 ± 0.0411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0.3376 ± 0.0304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0.4258 ± 0.0111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0.8634 ± 0.0479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14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AMPLiT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无负样本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0.4443 ± 0.0449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0.3155 ± 0.0398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0.4332 ± 0.0152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0.8774 ± 0.0509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15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AMPpredictor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无负样本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0.4443 ± 0.0690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0.3235 ± 0.0505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0.4408 ± 0.0212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0.9569 ± 0.0916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16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MBC-Attention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0.4419 ± 0.0761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0.3141 ± 0.0622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0.4356 ± 0.0171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0.8692 ± 0.0663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17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DeepAMP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0.4289 ± 0.0506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0.3145 ± 0.0331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0.4332 ± 0.0133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0.9156 ± 0.0780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18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GGN-ABPMIC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无负样本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0.4218 ± 0.0652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0.3064 ± 0.0452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0.4514 ± 0.0278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1.0789 ± 0.1542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19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Deep-PIE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0.4155 ± 0.1305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0.2978 ± 0.0946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0.5289 ± 0.1484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1.9119 ± 1.6958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20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SenseXAMP-Ecoli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无负样本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0.3621 ± 0.0526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0.2514 ± 0.0424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0.4677 ± 0.0246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1.0939 ± 0.0890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21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AMP-Designer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0.3602 ± 0.0403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0.2582 ± 0.0280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0.4689 ± 0.0235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1.1553 ± 0.1569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22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tsAMP-CS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0.3542 ± 0.0735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0.2609 ± 0.0568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0.4506 ± 0.0133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1.0068 ± 0.0804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23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ANIA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无负样本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0.3068 ± 0.0873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0.2158 ± 0.0689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0.4944 ± 0.0296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1.2731 ± 0.1962</w:t>
            </w:r>
          </w:p>
        </w:tc>
      </w:tr>
    </w:tbl>
    <w:p>
      <w:pPr>
        <w:pStyle w:val="Heading2"/>
      </w:pPr>
      <w:r>
        <w:t>含负样本：正式Figure 4主基准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排序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方法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PCC ↑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KCC ↑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log10MAE ↓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RSE ↓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TIGER-pair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0.6543 ± 0.0168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0.4729 ± 0.0210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0.3813 ± 0.0077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0.6659 ± 0.0256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TIGER-single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0.6273 ± 0.0165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0.4510 ± 0.0127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0.4021 ± 0.0044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0.7522 ± 0.0162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AMPActiPred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0.6038 ± 0.0122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0.4506 ± 0.0107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0.3727 ± 0.0042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0.6595 ± 0.0182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APEX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0.5166 ± 0.0669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0.3646 ± 0.0568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0.4251 ± 0.0225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0.8832 ± 0.1059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LLAMP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0.5109 ± 0.0631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0.3740 ± 0.0463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0.4163 ± 0.0227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0.8546 ± 0.1026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HyperAMP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0.4948 ± 0.0375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0.3660 ± 0.0266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0.4643 ± 0.0590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1.4841 ± 1.3380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7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Das2021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0.4934 ± 0.0625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0.3678 ± 0.0407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0.4373 ± 0.0350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1.1056 ± 0.2848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8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AMPlify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0.4891 ± 0.0635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0.3603 ± 0.0472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0.4289 ± 0.0446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0.9656 ± 0.3092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9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EvoGradient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0.4835 ± 0.0660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0.3629 ± 0.0450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0.4156 ± 0.0114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0.8195 ± 0.0453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BERT-AmPEP60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0.4815 ± 0.0731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0.3371 ± 0.0571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0.4684 ± 0.0525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1.2754 ± 0.5464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HydrAMP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0.4754 ± 0.0221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0.3503 ± 0.0181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0.4453 ± 0.0135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0.9766 ± 0.0764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EIPpred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0.4438 ± 0.0328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0.3353 ± 0.0208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0.4152 ± 0.0071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0.8292 ± 0.0231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MBC-Attention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0.4419 ± 0.0761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0.3141 ± 0.0622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0.4356 ± 0.0171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0.8692 ± 0.0663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14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AMPGen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0.4401 ± 0.0506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0.3119 ± 0.0376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0.4415 ± 0.0183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1.0363 ± 0.1280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DeepAMP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0.4289 ± 0.0506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0.3145 ± 0.0331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0.4332 ± 0.0133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0.9156 ± 0.0780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AMPpredictor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0.4167 ± 0.0387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0.3012 ± 0.0280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0.4913 ± 0.0139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1.2846 ± 0.1819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17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Deep-PIE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0.4155 ± 0.1305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0.2978 ± 0.0946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0.5289 ± 0.1484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1.9119 ± 1.6958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18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GGN-ABPMIC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0.3653 ± 0.0746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0.2790 ± 0.0556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0.5229 ± 0.0366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1.9002 ± 0.4648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19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AMP-Designer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0.3602 ± 0.0403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0.2582 ± 0.0280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0.4689 ± 0.0235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1.1553 ± 0.1569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20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tsAMP-CS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0.3542 ± 0.0735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0.2609 ± 0.0568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0.4506 ± 0.0133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1.0068 ± 0.0804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21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SenseXAMP-Ecoli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0.3102 ± 0.0852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0.2233 ± 0.0673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0.5461 ± 0.0380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1.5737 ± 0.2090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22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ANIA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0.2549 ± 0.0636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0.1776 ± 0.0479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0.7536 ± 0.0900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4.0097 ± 1.1110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AMPLiT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NA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NA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0.4759 ± 0.0442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1.2459 ± 0.3056</w:t>
            </w:r>
          </w:p>
        </w:tc>
      </w:tr>
    </w:tbl>
    <w:p>
      <w:pPr/>
      <w:r>
        <w:t>AMPLiT含负样本方案中，seed122在Hydrodamin-3家族输出常数预测，因此该家族PCC/KCC、该种子宏平均及十种子汇总均保留NA；log10MAE与RSE仍正常计算。PCC最佳方案表采用其无负样本条件。AMPLiT与AMPpredictor的PCC四位小数同为0.4443，排序依据未舍入的PCC值。</w:t>
      </w:r>
    </w:p>
    <w:p>
      <w:pPr>
        <w:pStyle w:val="Heading2"/>
      </w:pPr>
      <w:r>
        <w:t>无负样本：完整对照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排序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方法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PCC ↑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KCC ↑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log10MAE ↓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RSE ↓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TIGER-pair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0.5484 ± 0.0338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0.3990 ± 0.0292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0.4094 ± 0.0075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0.7784 ± 0.0277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HyperAMP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0.5426 ± 0.0342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0.3942 ± 0.0253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0.4096 ± 0.0155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0.7463 ± 0.0843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TIGER-single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0.5267 ± 0.0350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0.3789 ± 0.0235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0.3937 ± 0.0076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0.7487 ± 0.0353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AMPActiPred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0.5250 ± 0.0247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0.3801 ± 0.0251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0.4127 ± 0.0034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0.7890 ± 0.0155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EIPpred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0.4749 ± 0.0551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0.3393 ± 0.0428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0.4032 ± 0.0075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0.7774 ± 0.0349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AMPGen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0.4736 ± 0.0411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0.3376 ± 0.0304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0.4258 ± 0.0111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0.8634 ± 0.0479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7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LLAMP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0.4696 ± 0.0583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0.3477 ± 0.0396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0.4125 ± 0.0150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0.8548 ± 0.0756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8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HydrAMP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0.4626 ± 0.0422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0.3388 ± 0.0289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0.4096 ± 0.0069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0.8132 ± 0.0386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9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AMPlify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0.4575 ± 0.0969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0.3311 ± 0.0767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0.4264 ± 0.0146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0.8443 ± 0.0566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AMPLiT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0.4443 ± 0.0449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0.3155 ± 0.0398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0.4332 ± 0.0152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0.8774 ± 0.0509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AMPpredictor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0.4443 ± 0.0690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0.3235 ± 0.0505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0.4408 ± 0.0212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0.9569 ± 0.0916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Das2021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0.4291 ± 0.0591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0.3099 ± 0.0429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0.4319 ± 0.0117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0.8880 ± 0.0488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GGN-ABPMIC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0.4218 ± 0.0652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0.3064 ± 0.0452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0.4514 ± 0.0278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1.0789 ± 0.1542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14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EvoGradient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0.4207 ± 0.0607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0.2972 ± 0.0434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0.4219 ± 0.0103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0.8460 ± 0.0413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BERT-AmPEP60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0.4097 ± 0.1302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0.2840 ± 0.0933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0.4607 ± 0.0361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1.0632 ± 0.1879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MBC-Attention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0.3973 ± 0.0815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0.2634 ± 0.0596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0.4364 ± 0.0110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0.8695 ± 0.0438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17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DeepAMP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0.3720 ± 0.0539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0.2678 ± 0.0387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0.4351 ± 0.0153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0.9316 ± 0.0799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18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SenseXAMP-Ecoli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0.3621 ± 0.0526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0.2514 ± 0.0424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0.4677 ± 0.0246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1.0939 ± 0.0890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19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APEX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0.3395 ± 0.0845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0.2410 ± 0.0561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0.4730 ± 0.0315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1.1541 ± 0.2650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20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Deep-PIE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0.3370 ± 0.1124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0.2389 ± 0.0849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0.4576 ± 0.0176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0.9824 ± 0.0787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21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AMP-Designer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0.3120 ± 0.0431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0.2398 ± 0.0345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0.4582 ± 0.0173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1.0642 ± 0.0952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22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ANIA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0.3068 ± 0.0873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0.2158 ± 0.0689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0.4944 ± 0.0296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1.2731 ± 0.1962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23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tsAMP-CS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0.2942 ± 0.0768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0.2179 ± 0.0558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0.4877 ± 0.0177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7"/>
              </w:rPr>
              <w:t>1.2063 ± 0.0843</w:t>
            </w:r>
          </w:p>
        </w:tc>
      </w:tr>
    </w:tbl>
    <w:p>
      <w:pPr>
        <w:pStyle w:val="Heading2"/>
      </w:pPr>
      <w:r>
        <w:t>TIGER-ensemble：匹配种子的等权集成</w:t>
      </w:r>
    </w:p>
    <w:p>
      <w:pPr/>
      <w:r>
        <w:t>对每个相同种子，将V17 TIGER-pair和TIGER-single的已校准配对预测以0.5/0.5平均，不另拟合权重或校准器。集成作为第24个预测方案单列。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</w:trPr>
        <w:tc>
          <w:tcPr>
            <w:tcW w:type="dxa" w:w="1973"/>
          </w:tcPr>
          <w:p>
            <w:pPr>
              <w:spacing w:after="60"/>
            </w:pPr>
            <w:r>
              <w:rPr>
                <w:sz w:val="17"/>
              </w:rPr>
              <w:t>方案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7"/>
              </w:rPr>
              <w:t>PCC ↑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7"/>
              </w:rPr>
              <w:t>KCC ↑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7"/>
              </w:rPr>
              <w:t>log10MAE ↓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7"/>
              </w:rPr>
              <w:t>RSE ↓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/>
            </w:pPr>
            <w:r>
              <w:rPr>
                <w:sz w:val="17"/>
              </w:rPr>
              <w:t>TIGER-ensemble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7"/>
              </w:rPr>
              <w:t>0.6801 ± 0.0106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7"/>
              </w:rPr>
              <w:t>0.4953 ± 0.0143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7"/>
              </w:rPr>
              <w:t>0.3864 ± 0.0037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7"/>
              </w:rPr>
              <w:t>0.6901 ± 0.0128</w:t>
            </w:r>
          </w:p>
        </w:tc>
      </w:tr>
    </w:tbl>
    <w:p>
      <w:pPr/>
      <w:r>
        <w:t>TIGER-pair的PCC为0.6543，在23骨干择优表中最高，较最优外部预测器AMPActiPred的0.6038高0.0506。AMPActiPred的log10MAE为0.3727、RSE为0.6595，均低于TIGER-pair的0.3813和0.6659。TIGER-ensemble将PCC提高至0.6801、KCC提高至0.4953，同时log10MAE和RSE分别增至0.3864和0.6901，体现相关性与幅度误差之间的取舍。</w:t>
      </w:r>
    </w:p>
    <w:p>
      <w:pPr>
        <w:pStyle w:val="Heading2"/>
      </w:pPr>
      <w:r>
        <w:t>HydrAMP与EvoGradient的独立修复／优化实验</w:t>
      </w:r>
    </w:p>
    <w:p>
      <w:pPr/>
      <w:r>
        <w:t>V17交付索引明确说明：后续HydrAMP填充／检查点修复和EvoGradient掩码修复及调参结果作为独立敏感性实验保存，未替换正式主基准。下表完整列出该独立实验的归档结果，version字段区分原V17、修复与优化配置。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/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方法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训练方案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版本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PCC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KCC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log10MAE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RSE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HydrAMP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V17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0.4754 ± 0.0221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0.3503 ± 0.0181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0.4453 ± 0.0135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0.9766 ± 0.0764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HydrAMP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repair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0.4602 ± 0.0322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0.3368 ± 0.0244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0.4543 ± 0.0117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1.0150 ± 0.0653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HydrAMP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optimized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0.4547 ± 0.0385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0.3253 ± 0.0290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0.4528 ± 0.0191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1.0101 ± 0.1200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HydrAMP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无负样本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V17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0.4626 ± 0.0422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0.3388 ± 0.0289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0.4096 ± 0.0069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0.8132 ± 0.0386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HydrAMP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无负样本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repair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0.4230 ± 0.0366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0.3112 ± 0.0273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0.4145 ± 0.0078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0.8303 ± 0.0405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HydrAMP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无负样本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optimized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0.4307 ± 0.0324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0.3166 ± 0.0256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0.4110 ± 0.0080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0.8180 ± 0.0308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EvoGradient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V17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0.4835 ± 0.0660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0.3629 ± 0.0450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0.4156 ± 0.0114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0.8195 ± 0.0453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EvoGradient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repair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0.4968 ± 0.0637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0.3683 ± 0.0514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0.4119 ± 0.0126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0.8071 ± 0.0583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EvoGradient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含负样本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optimized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0.4895 ± 0.0516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0.3609 ± 0.0392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0.4037 ± 0.0108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0.7806 ± 0.0382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EvoGradient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无负样本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V17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0.4207 ± 0.0607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0.2972 ± 0.0434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0.4219 ± 0.0103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0.8460 ± 0.0413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EvoGradient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无负样本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repair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0.4278 ± 0.0479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0.3070 ± 0.0360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0.4172 ± 0.0081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0.8294 ± 0.0285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EvoGradient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无负样本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optimized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0.4015 ± 0.0352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0.2850 ± 0.0216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0.4268 ± 0.0079</w:t>
            </w:r>
          </w:p>
        </w:tc>
        <w:tc>
          <w:tcPr>
            <w:tcW w:type="dxa" w:w="1409"/>
          </w:tcPr>
          <w:p>
            <w:pPr>
              <w:spacing w:after="60"/>
            </w:pPr>
            <w:r>
              <w:rPr>
                <w:sz w:val="17"/>
              </w:rPr>
              <w:t>0.8686 ± 0.0282</w:t>
            </w:r>
          </w:p>
        </w:tc>
      </w:tr>
    </w:tbl>
    <w:p>
      <w:pPr>
        <w:pStyle w:val="Heading2"/>
      </w:pPr>
      <w:r>
        <w:t>来源与核验</w:t>
      </w:r>
    </w:p>
    <w:p>
      <w:pPr/>
      <w:r>
        <w:t>正式来源：reports/S4_study_nature_v17/benchmark_summary.csv、benchmark_per_seed.csv、benchmark_family_per_seed.csv、cost_best_PCC.csv及methods_benchmark_ZH.md；集成来源：TIGER_ensemble_addendum/tables/ensemble_summary.csv。独立优化来源：reports/V17_HydrAMP_EvoGradient_optimization/benchmark_summary.csv。</w:t>
      </w:r>
    </w:p>
    <w:p>
      <w:pPr/>
      <w:r>
        <w:t>本次按5060个家族—种子记录复核460个种子级宏指标，再复核184个方法—条件—指标汇总，共通过2208项宏平均／均值／标准差一致性检查，并核对23个PCC选定条件。原V17文件保持不变。完整未舍入CSV及Excel工作簿与本文保存在同一目录。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2222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22222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ΔMIC预测完整基准测试结果：V17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