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6F" w:rsidRPr="00C12C35" w:rsidRDefault="00A35C6F" w:rsidP="00A35C6F">
      <w:pPr>
        <w:spacing w:line="288" w:lineRule="auto"/>
        <w:ind w:firstLineChars="800" w:firstLine="1928"/>
        <w:rPr>
          <w:rFonts w:hint="eastAsia"/>
          <w:b/>
          <w:sz w:val="24"/>
        </w:rPr>
      </w:pPr>
      <w:r w:rsidRPr="00C12C35">
        <w:rPr>
          <w:rFonts w:hint="eastAsia"/>
          <w:b/>
          <w:sz w:val="24"/>
        </w:rPr>
        <w:t>公募债券业绩归因模型</w:t>
      </w:r>
      <w:r>
        <w:rPr>
          <w:rFonts w:hint="eastAsia"/>
          <w:b/>
          <w:sz w:val="24"/>
        </w:rPr>
        <w:t>1</w:t>
      </w:r>
      <w:r w:rsidRPr="00C12C35">
        <w:rPr>
          <w:rFonts w:hint="eastAsia"/>
          <w:b/>
          <w:sz w:val="24"/>
        </w:rPr>
        <w:t>-</w:t>
      </w:r>
      <w:r>
        <w:rPr>
          <w:rFonts w:hint="eastAsia"/>
          <w:b/>
          <w:sz w:val="24"/>
        </w:rPr>
        <w:t>基于业绩归因</w:t>
      </w:r>
    </w:p>
    <w:p w:rsidR="00204E04" w:rsidRDefault="00204E04" w:rsidP="00204E04">
      <w:pPr>
        <w:ind w:firstLine="420"/>
        <w:rPr>
          <w:b/>
        </w:rPr>
      </w:pPr>
      <w:r>
        <w:rPr>
          <w:rFonts w:hint="eastAsia"/>
          <w:b/>
        </w:rPr>
        <w:t>摘要：</w:t>
      </w:r>
    </w:p>
    <w:p w:rsidR="005C7F01" w:rsidRDefault="00BB6A62" w:rsidP="0082088C">
      <w:r w:rsidRPr="00BB6A62">
        <w:rPr>
          <w:rFonts w:hint="eastAsia"/>
        </w:rPr>
        <w:tab/>
      </w:r>
      <w:r w:rsidRPr="00BB6A62">
        <w:rPr>
          <w:rFonts w:hint="eastAsia"/>
        </w:rPr>
        <w:t>本文利用</w:t>
      </w:r>
      <w:r>
        <w:rPr>
          <w:rFonts w:hint="eastAsia"/>
        </w:rPr>
        <w:t>基于持仓数据的</w:t>
      </w:r>
      <w:r>
        <w:rPr>
          <w:rFonts w:hint="eastAsia"/>
        </w:rPr>
        <w:t>Campsi</w:t>
      </w:r>
      <w:r>
        <w:rPr>
          <w:rFonts w:hint="eastAsia"/>
        </w:rPr>
        <w:t>业绩归</w:t>
      </w:r>
      <w:r w:rsidR="005C7F01">
        <w:rPr>
          <w:rFonts w:hint="eastAsia"/>
        </w:rPr>
        <w:t>因和基于净值的四因子业绩归因模型对场内纯债型债券基金进行了分析：</w:t>
      </w:r>
    </w:p>
    <w:p w:rsidR="00204E04" w:rsidRDefault="0082088C" w:rsidP="005C7F01">
      <w:pPr>
        <w:ind w:firstLine="420"/>
      </w:pPr>
      <w:r w:rsidRPr="005C7F01">
        <w:rPr>
          <w:rFonts w:hint="eastAsia"/>
          <w:b/>
        </w:rPr>
        <w:t>Campsi</w:t>
      </w:r>
      <w:r w:rsidRPr="005C7F01">
        <w:rPr>
          <w:rFonts w:hint="eastAsia"/>
          <w:b/>
        </w:rPr>
        <w:t>业绩归因</w:t>
      </w:r>
      <w:r w:rsidR="00BB6A62" w:rsidRPr="005C7F01">
        <w:rPr>
          <w:rFonts w:hint="eastAsia"/>
          <w:b/>
        </w:rPr>
        <w:t>结果</w:t>
      </w:r>
      <w:r w:rsidR="00BB6A62">
        <w:rPr>
          <w:rFonts w:hint="eastAsia"/>
        </w:rPr>
        <w:t>显示场内债基当前使用的久期</w:t>
      </w:r>
      <w:r w:rsidR="00DC5BA0">
        <w:rPr>
          <w:rFonts w:hint="eastAsia"/>
        </w:rPr>
        <w:t>策略整体较短，</w:t>
      </w:r>
      <w:r w:rsidR="00DC5BA0">
        <w:rPr>
          <w:rFonts w:hint="eastAsia"/>
        </w:rPr>
        <w:t>1-3</w:t>
      </w:r>
      <w:r w:rsidR="00DC5BA0">
        <w:rPr>
          <w:rFonts w:hint="eastAsia"/>
        </w:rPr>
        <w:t>季度业绩前</w:t>
      </w:r>
      <w:r w:rsidR="00DC5BA0">
        <w:rPr>
          <w:rFonts w:hint="eastAsia"/>
        </w:rPr>
        <w:t>10</w:t>
      </w:r>
      <w:r w:rsidR="00DC5BA0">
        <w:rPr>
          <w:rFonts w:hint="eastAsia"/>
        </w:rPr>
        <w:t>大基金的久期中位数在</w:t>
      </w:r>
      <w:r w:rsidR="00DC5BA0">
        <w:rPr>
          <w:rFonts w:hint="eastAsia"/>
        </w:rPr>
        <w:t>1.7</w:t>
      </w:r>
      <w:r w:rsidR="00DC5BA0">
        <w:rPr>
          <w:rFonts w:hint="eastAsia"/>
        </w:rPr>
        <w:t>年左右，信用策略的分化程度有所增大</w:t>
      </w:r>
      <w:r w:rsidR="00FC649E">
        <w:rPr>
          <w:rFonts w:hint="eastAsia"/>
        </w:rPr>
        <w:t>。</w:t>
      </w:r>
      <w:r w:rsidR="00D970BC">
        <w:rPr>
          <w:rFonts w:hint="eastAsia"/>
        </w:rPr>
        <w:t>从信用利差相对于所有债基持仓的</w:t>
      </w:r>
      <w:r w:rsidR="00DC5BA0">
        <w:rPr>
          <w:rFonts w:hint="eastAsia"/>
        </w:rPr>
        <w:t>阿尔法效应来看，大成景安短融</w:t>
      </w:r>
      <w:r w:rsidR="00DC5BA0">
        <w:rPr>
          <w:rFonts w:hint="eastAsia"/>
        </w:rPr>
        <w:t>A</w:t>
      </w:r>
      <w:r w:rsidR="00D970BC">
        <w:rPr>
          <w:rFonts w:hint="eastAsia"/>
        </w:rPr>
        <w:t>的择券效应是最好的</w:t>
      </w:r>
      <w:r w:rsidR="00D970BC" w:rsidRPr="00BB6A62">
        <w:rPr>
          <w:rFonts w:hint="eastAsia"/>
        </w:rPr>
        <w:t xml:space="preserve"> </w:t>
      </w:r>
      <w:r w:rsidR="00D970BC">
        <w:rPr>
          <w:rFonts w:hint="eastAsia"/>
        </w:rPr>
        <w:t>。</w:t>
      </w:r>
    </w:p>
    <w:p w:rsidR="0082088C" w:rsidRDefault="0082088C" w:rsidP="0082088C">
      <w:pPr>
        <w:ind w:firstLine="420"/>
      </w:pPr>
      <w:r w:rsidRPr="005C7F01">
        <w:rPr>
          <w:rFonts w:hint="eastAsia"/>
          <w:b/>
        </w:rPr>
        <w:t>四因子业绩归因模型</w:t>
      </w:r>
      <w:r>
        <w:rPr>
          <w:rFonts w:hint="eastAsia"/>
        </w:rPr>
        <w:t>显示，方程的整体回归效果差异较大，</w:t>
      </w:r>
      <w:r>
        <w:rPr>
          <w:rFonts w:hint="eastAsia"/>
        </w:rPr>
        <w:t>R</w:t>
      </w:r>
      <w:r>
        <w:rPr>
          <w:rFonts w:hint="eastAsia"/>
        </w:rPr>
        <w:t>方最大有</w:t>
      </w:r>
      <w:r w:rsidR="00D0427A">
        <w:rPr>
          <w:rFonts w:hint="eastAsia"/>
        </w:rPr>
        <w:t>58</w:t>
      </w:r>
      <w:r>
        <w:rPr>
          <w:rFonts w:hint="eastAsia"/>
        </w:rPr>
        <w:t>%</w:t>
      </w:r>
      <w:r>
        <w:rPr>
          <w:rFonts w:hint="eastAsia"/>
        </w:rPr>
        <w:t>，最小仅有</w:t>
      </w:r>
      <w:r>
        <w:rPr>
          <w:rFonts w:hint="eastAsia"/>
        </w:rPr>
        <w:t>0.1%(</w:t>
      </w:r>
      <w:r>
        <w:rPr>
          <w:rFonts w:hint="eastAsia"/>
        </w:rPr>
        <w:t>该基金受赎回费影响很大</w:t>
      </w:r>
      <w:r>
        <w:rPr>
          <w:rFonts w:hint="eastAsia"/>
        </w:rPr>
        <w:t>)</w:t>
      </w:r>
      <w:r w:rsidR="005C7F01">
        <w:rPr>
          <w:rFonts w:hint="eastAsia"/>
        </w:rPr>
        <w:t>，这要低于股票多因子基金的回归结果</w:t>
      </w:r>
      <w:r>
        <w:rPr>
          <w:rFonts w:hint="eastAsia"/>
        </w:rPr>
        <w:t>，主要因为债券的影响因素更加复杂。</w:t>
      </w:r>
    </w:p>
    <w:p w:rsidR="00D0427A" w:rsidRDefault="00D0427A" w:rsidP="00D0427A">
      <w:pPr>
        <w:ind w:firstLine="420"/>
      </w:pPr>
      <w:r>
        <w:rPr>
          <w:rFonts w:hint="eastAsia"/>
        </w:rPr>
        <w:t>当前看半年市场依旧存在较大的不确定性，监管</w:t>
      </w:r>
      <w:r w:rsidR="005C7F01">
        <w:rPr>
          <w:rFonts w:hint="eastAsia"/>
        </w:rPr>
        <w:t>的态度</w:t>
      </w:r>
      <w:r>
        <w:rPr>
          <w:rFonts w:hint="eastAsia"/>
        </w:rPr>
        <w:t>没有明朗</w:t>
      </w:r>
      <w:r w:rsidR="005C7F01">
        <w:rPr>
          <w:rFonts w:hint="eastAsia"/>
        </w:rPr>
        <w:t>且缺乏配置盘的情况下</w:t>
      </w:r>
      <w:r>
        <w:rPr>
          <w:rFonts w:hint="eastAsia"/>
        </w:rPr>
        <w:t>，</w:t>
      </w:r>
      <w:r w:rsidR="005C7F01">
        <w:rPr>
          <w:rFonts w:hint="eastAsia"/>
        </w:rPr>
        <w:t>难出现大的行情，</w:t>
      </w:r>
      <w:r>
        <w:rPr>
          <w:rFonts w:hint="eastAsia"/>
        </w:rPr>
        <w:t>但市场情绪已经基本稳定下来，</w:t>
      </w:r>
      <w:r w:rsidR="005C7F01">
        <w:rPr>
          <w:rFonts w:hint="eastAsia"/>
        </w:rPr>
        <w:t>利率债的配置价值也越发明显。</w:t>
      </w:r>
      <w:r>
        <w:rPr>
          <w:rFonts w:hint="eastAsia"/>
        </w:rPr>
        <w:t>因此当前的债券策略为，控制信用久期的情况下，利用信用债做债底，博利率的波段。基于如下原则进行基金筛选</w:t>
      </w:r>
      <w:r>
        <w:rPr>
          <w:rFonts w:hint="eastAsia"/>
        </w:rPr>
        <w:t xml:space="preserve"> </w:t>
      </w:r>
      <w:r>
        <w:rPr>
          <w:rFonts w:hint="eastAsia"/>
        </w:rPr>
        <w:t>：</w:t>
      </w:r>
    </w:p>
    <w:p w:rsidR="00D0427A" w:rsidRDefault="00D0427A" w:rsidP="00D0427A"/>
    <w:p w:rsidR="00D0427A" w:rsidRDefault="00D0427A" w:rsidP="00D0427A">
      <w:pPr>
        <w:ind w:firstLine="420"/>
      </w:pPr>
      <w:r>
        <w:rPr>
          <w:rFonts w:hint="eastAsia"/>
        </w:rPr>
        <w:t>集合</w:t>
      </w:r>
      <w:r>
        <w:rPr>
          <w:rFonts w:hint="eastAsia"/>
        </w:rPr>
        <w:t>1</w:t>
      </w:r>
      <w:r>
        <w:rPr>
          <w:rFonts w:hint="eastAsia"/>
        </w:rPr>
        <w:t>：</w:t>
      </w:r>
      <w:r>
        <w:rPr>
          <w:rFonts w:hint="eastAsia"/>
        </w:rPr>
        <w:t xml:space="preserve"> </w:t>
      </w:r>
      <w:r>
        <w:rPr>
          <w:rFonts w:hint="eastAsia"/>
        </w:rPr>
        <w:t>低回撤</w:t>
      </w:r>
      <w:r>
        <w:rPr>
          <w:rFonts w:hint="eastAsia"/>
        </w:rPr>
        <w:t>(0.5%)+</w:t>
      </w:r>
      <w:r>
        <w:rPr>
          <w:rFonts w:hint="eastAsia"/>
        </w:rPr>
        <w:t>偏好</w:t>
      </w:r>
      <w:r>
        <w:rPr>
          <w:rFonts w:hint="eastAsia"/>
        </w:rPr>
        <w:t>AA</w:t>
      </w:r>
      <w:r>
        <w:rPr>
          <w:rFonts w:hint="eastAsia"/>
        </w:rPr>
        <w:t>债以及风格不显著的基金</w:t>
      </w:r>
      <w:r>
        <w:rPr>
          <w:rFonts w:hint="eastAsia"/>
        </w:rPr>
        <w:t xml:space="preserve"> </w:t>
      </w:r>
      <w:r>
        <w:rPr>
          <w:rFonts w:hint="eastAsia"/>
        </w:rPr>
        <w:t>或者偏好</w:t>
      </w:r>
      <w:r>
        <w:rPr>
          <w:rFonts w:hint="eastAsia"/>
        </w:rPr>
        <w:t>AAA</w:t>
      </w:r>
      <w:r>
        <w:rPr>
          <w:rFonts w:hint="eastAsia"/>
        </w:rPr>
        <w:t>债的基金</w:t>
      </w:r>
    </w:p>
    <w:p w:rsidR="00D0427A" w:rsidRDefault="00D0427A" w:rsidP="00D0427A">
      <w:r>
        <w:rPr>
          <w:rFonts w:hint="eastAsia"/>
        </w:rPr>
        <w:t xml:space="preserve">    </w:t>
      </w:r>
      <w:r>
        <w:rPr>
          <w:rFonts w:hint="eastAsia"/>
        </w:rPr>
        <w:t>集合</w:t>
      </w:r>
      <w:r>
        <w:rPr>
          <w:rFonts w:hint="eastAsia"/>
        </w:rPr>
        <w:t xml:space="preserve">2 :   twist </w:t>
      </w:r>
      <w:r>
        <w:rPr>
          <w:rFonts w:hint="eastAsia"/>
        </w:rPr>
        <w:t>偏好短期限债</w:t>
      </w:r>
      <w:r>
        <w:rPr>
          <w:rFonts w:hint="eastAsia"/>
        </w:rPr>
        <w:t xml:space="preserve">  </w:t>
      </w:r>
      <w:r>
        <w:rPr>
          <w:rFonts w:hint="eastAsia"/>
        </w:rPr>
        <w:t>或者</w:t>
      </w:r>
      <w:r>
        <w:rPr>
          <w:rFonts w:hint="eastAsia"/>
        </w:rPr>
        <w:t xml:space="preserve"> twist </w:t>
      </w:r>
      <w:r>
        <w:rPr>
          <w:rFonts w:hint="eastAsia"/>
        </w:rPr>
        <w:t>偏好短期限债</w:t>
      </w:r>
      <w:r>
        <w:rPr>
          <w:rFonts w:hint="eastAsia"/>
        </w:rPr>
        <w:t>+</w:t>
      </w:r>
      <w:r>
        <w:rPr>
          <w:rFonts w:hint="eastAsia"/>
        </w:rPr>
        <w:t>低回撤</w:t>
      </w:r>
      <w:r>
        <w:rPr>
          <w:rFonts w:hint="eastAsia"/>
        </w:rPr>
        <w:t>(0.5%)</w:t>
      </w:r>
    </w:p>
    <w:p w:rsidR="00D0427A" w:rsidRDefault="00D0427A" w:rsidP="00D0427A">
      <w:r>
        <w:rPr>
          <w:rFonts w:hint="eastAsia"/>
        </w:rPr>
        <w:t xml:space="preserve">    </w:t>
      </w:r>
      <w:r>
        <w:rPr>
          <w:rFonts w:hint="eastAsia"/>
        </w:rPr>
        <w:t>集合</w:t>
      </w:r>
      <w:r>
        <w:rPr>
          <w:rFonts w:hint="eastAsia"/>
        </w:rPr>
        <w:t>3</w:t>
      </w:r>
      <w:r>
        <w:rPr>
          <w:rFonts w:hint="eastAsia"/>
        </w:rPr>
        <w:t>：</w:t>
      </w:r>
      <w:r>
        <w:rPr>
          <w:rFonts w:hint="eastAsia"/>
        </w:rPr>
        <w:t xml:space="preserve"> </w:t>
      </w:r>
      <w:r>
        <w:rPr>
          <w:rFonts w:hint="eastAsia"/>
        </w:rPr>
        <w:t>久期</w:t>
      </w:r>
      <w:r>
        <w:rPr>
          <w:rFonts w:hint="eastAsia"/>
        </w:rPr>
        <w:t>3</w:t>
      </w:r>
      <w:r>
        <w:rPr>
          <w:rFonts w:hint="eastAsia"/>
        </w:rPr>
        <w:t>年内</w:t>
      </w:r>
      <w:r>
        <w:rPr>
          <w:rFonts w:hint="eastAsia"/>
        </w:rPr>
        <w:t xml:space="preserve">  </w:t>
      </w:r>
      <w:r>
        <w:rPr>
          <w:rFonts w:hint="eastAsia"/>
        </w:rPr>
        <w:t>或者久期三年以上</w:t>
      </w:r>
      <w:r>
        <w:rPr>
          <w:rFonts w:hint="eastAsia"/>
        </w:rPr>
        <w:t>+</w:t>
      </w:r>
      <w:r>
        <w:rPr>
          <w:rFonts w:hint="eastAsia"/>
        </w:rPr>
        <w:t>低回撤（</w:t>
      </w:r>
      <w:r>
        <w:rPr>
          <w:rFonts w:hint="eastAsia"/>
        </w:rPr>
        <w:t>0.8%</w:t>
      </w:r>
      <w:r>
        <w:rPr>
          <w:rFonts w:hint="eastAsia"/>
        </w:rPr>
        <w:t>）</w:t>
      </w:r>
    </w:p>
    <w:p w:rsidR="0082088C" w:rsidRPr="00D0427A" w:rsidRDefault="0082088C" w:rsidP="0082088C"/>
    <w:p w:rsidR="00D970BC" w:rsidRPr="00D970BC" w:rsidRDefault="00D970BC" w:rsidP="00BB6A62">
      <w:r>
        <w:rPr>
          <w:rFonts w:hint="eastAsia"/>
        </w:rPr>
        <w:tab/>
      </w:r>
      <w:r w:rsidR="00D0427A">
        <w:rPr>
          <w:rFonts w:hint="eastAsia"/>
        </w:rPr>
        <w:t>（集合</w:t>
      </w:r>
      <w:r w:rsidR="00D0427A">
        <w:rPr>
          <w:rFonts w:hint="eastAsia"/>
        </w:rPr>
        <w:t xml:space="preserve">1 </w:t>
      </w:r>
      <w:r w:rsidR="00D0427A">
        <w:rPr>
          <w:rFonts w:hint="eastAsia"/>
        </w:rPr>
        <w:t>）</w:t>
      </w:r>
      <w:r w:rsidR="00D0427A">
        <w:rPr>
          <w:rFonts w:asciiTheme="minorEastAsia" w:hAnsiTheme="minorEastAsia" w:hint="eastAsia"/>
        </w:rPr>
        <w:t>∩  （</w:t>
      </w:r>
      <w:r w:rsidR="00D0427A">
        <w:rPr>
          <w:rFonts w:hint="eastAsia"/>
        </w:rPr>
        <w:t>集合</w:t>
      </w:r>
      <w:r w:rsidR="00D0427A">
        <w:rPr>
          <w:rFonts w:hint="eastAsia"/>
        </w:rPr>
        <w:t>2</w:t>
      </w:r>
      <w:r w:rsidR="00D0427A">
        <w:rPr>
          <w:rFonts w:asciiTheme="minorEastAsia" w:hAnsiTheme="minorEastAsia" w:hint="eastAsia"/>
        </w:rPr>
        <w:t>）  ∩（</w:t>
      </w:r>
      <w:r w:rsidR="00D0427A">
        <w:rPr>
          <w:rFonts w:hint="eastAsia"/>
        </w:rPr>
        <w:t>集合</w:t>
      </w:r>
      <w:r w:rsidR="00D0427A">
        <w:rPr>
          <w:rFonts w:hint="eastAsia"/>
        </w:rPr>
        <w:t>3</w:t>
      </w:r>
      <w:r w:rsidR="00D0427A">
        <w:rPr>
          <w:rFonts w:asciiTheme="minorEastAsia" w:hAnsiTheme="minorEastAsia" w:hint="eastAsia"/>
        </w:rPr>
        <w:t>）之后得到的备选基金池如下：</w:t>
      </w:r>
    </w:p>
    <w:tbl>
      <w:tblPr>
        <w:tblW w:w="9620" w:type="dxa"/>
        <w:tblInd w:w="93" w:type="dxa"/>
        <w:tblLook w:val="04A0"/>
      </w:tblPr>
      <w:tblGrid>
        <w:gridCol w:w="2180"/>
        <w:gridCol w:w="1660"/>
        <w:gridCol w:w="1780"/>
        <w:gridCol w:w="1800"/>
        <w:gridCol w:w="2200"/>
      </w:tblGrid>
      <w:tr w:rsidR="00D0427A" w:rsidRPr="00107D65" w:rsidTr="00034766">
        <w:trPr>
          <w:trHeight w:val="27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基金名称</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累计收益率</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前三季度年化收益率</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最大回撤</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R_square</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color w:val="000000"/>
                <w:kern w:val="0"/>
                <w:sz w:val="20"/>
                <w:szCs w:val="20"/>
              </w:rPr>
            </w:pPr>
            <w:r w:rsidRPr="00107D65">
              <w:rPr>
                <w:rFonts w:ascii="宋体" w:eastAsia="宋体" w:hAnsi="宋体" w:cs="Arial" w:hint="eastAsia"/>
                <w:b/>
                <w:bCs/>
                <w:color w:val="000000"/>
                <w:kern w:val="0"/>
                <w:sz w:val="20"/>
                <w:szCs w:val="20"/>
              </w:rPr>
              <w:t>大成景安短融</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4.43%</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5.91%</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0.07%</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16.84%</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中加纯债</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3.84%</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5.12%</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0.17%</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5.31%</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万家鑫璟纯债</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3.27%</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4.36%</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0.17%</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15.77%</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民生加银鑫安纯债</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3.11%</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4.15%</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0.40%</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7.46%</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Arial" w:eastAsia="宋体" w:hAnsi="Arial" w:cs="Arial"/>
                <w:b/>
                <w:bCs/>
                <w:color w:val="000000"/>
                <w:kern w:val="0"/>
                <w:sz w:val="20"/>
                <w:szCs w:val="20"/>
              </w:rPr>
              <w:t>新华纯债添利</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3.09%</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4.12%</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0.08%</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7.84%</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浦银安盛盛泰</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2.82%</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3.76%</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0.17%</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15.27%</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北信瑞丰稳定收益</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2.61%</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3.48%</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0.32%</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18.48%</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金鹰添益纯债</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2.57%</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3.43%</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0.10%</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18.38%</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国寿安保安康纯债</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2.52%</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3.36%</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0.37%</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25.10%</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英大纯债</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2.32%</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3.09%</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0.18%</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23.50%</w:t>
            </w:r>
          </w:p>
        </w:tc>
      </w:tr>
      <w:tr w:rsidR="00D0427A" w:rsidRPr="00107D65" w:rsidTr="00034766">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0427A" w:rsidRPr="00107D65" w:rsidRDefault="00D0427A" w:rsidP="00034766">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东吴鼎利</w:t>
            </w:r>
          </w:p>
        </w:tc>
        <w:tc>
          <w:tcPr>
            <w:tcW w:w="166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2.20%</w:t>
            </w:r>
          </w:p>
        </w:tc>
        <w:tc>
          <w:tcPr>
            <w:tcW w:w="178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2.93%</w:t>
            </w:r>
          </w:p>
        </w:tc>
        <w:tc>
          <w:tcPr>
            <w:tcW w:w="18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0.30%</w:t>
            </w:r>
          </w:p>
        </w:tc>
        <w:tc>
          <w:tcPr>
            <w:tcW w:w="2200" w:type="dxa"/>
            <w:tcBorders>
              <w:top w:val="nil"/>
              <w:left w:val="nil"/>
              <w:bottom w:val="single" w:sz="4" w:space="0" w:color="auto"/>
              <w:right w:val="single" w:sz="4" w:space="0" w:color="auto"/>
            </w:tcBorders>
            <w:shd w:val="clear" w:color="auto" w:fill="auto"/>
            <w:noWrap/>
            <w:vAlign w:val="center"/>
            <w:hideMark/>
          </w:tcPr>
          <w:p w:rsidR="00D0427A" w:rsidRPr="00107D65" w:rsidRDefault="00D0427A" w:rsidP="00034766">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6.36%</w:t>
            </w:r>
          </w:p>
        </w:tc>
      </w:tr>
    </w:tbl>
    <w:p w:rsidR="00D0427A" w:rsidRDefault="00D0427A" w:rsidP="00204E04">
      <w:pPr>
        <w:ind w:firstLine="420"/>
      </w:pPr>
    </w:p>
    <w:p w:rsidR="00204E04" w:rsidRPr="00D0427A" w:rsidRDefault="00D0427A" w:rsidP="00204E04">
      <w:pPr>
        <w:ind w:firstLine="420"/>
      </w:pPr>
      <w:r w:rsidRPr="00D0427A">
        <w:rPr>
          <w:rFonts w:hint="eastAsia"/>
        </w:rPr>
        <w:t>由于基金的异质性比较大</w:t>
      </w:r>
      <w:r>
        <w:rPr>
          <w:rFonts w:hint="eastAsia"/>
        </w:rPr>
        <w:t>，后续依旧需要通过尽调</w:t>
      </w:r>
      <w:r w:rsidR="005C7F01">
        <w:rPr>
          <w:rFonts w:hint="eastAsia"/>
        </w:rPr>
        <w:t>来对基金做更加全面的评价。另外由于今年公募债基的表现普遍不佳，业绩表现优良的私募债基是当前的首选</w:t>
      </w:r>
      <w:r w:rsidR="0005651D">
        <w:rPr>
          <w:rFonts w:hint="eastAsia"/>
        </w:rPr>
        <w:t>，</w:t>
      </w:r>
      <w:r w:rsidR="005C7F01">
        <w:rPr>
          <w:rFonts w:hint="eastAsia"/>
        </w:rPr>
        <w:t>私募基金的</w:t>
      </w:r>
      <w:r w:rsidR="0005651D">
        <w:rPr>
          <w:rFonts w:hint="eastAsia"/>
        </w:rPr>
        <w:t>分析</w:t>
      </w:r>
      <w:r w:rsidR="005C7F01">
        <w:rPr>
          <w:rFonts w:hint="eastAsia"/>
        </w:rPr>
        <w:t>见后续报告。</w:t>
      </w:r>
    </w:p>
    <w:p w:rsidR="00204E04" w:rsidRDefault="00204E04" w:rsidP="00204E04">
      <w:pPr>
        <w:ind w:firstLine="420"/>
        <w:rPr>
          <w:b/>
        </w:rPr>
      </w:pPr>
    </w:p>
    <w:p w:rsidR="00204E04" w:rsidRDefault="00204E04" w:rsidP="00204E04">
      <w:pPr>
        <w:ind w:firstLine="420"/>
        <w:rPr>
          <w:b/>
        </w:rPr>
      </w:pPr>
    </w:p>
    <w:p w:rsidR="00204E04" w:rsidRDefault="00204E04" w:rsidP="00204E04">
      <w:pPr>
        <w:ind w:firstLine="420"/>
        <w:rPr>
          <w:b/>
        </w:rPr>
      </w:pPr>
    </w:p>
    <w:p w:rsidR="00204E04" w:rsidRDefault="00204E04" w:rsidP="00204E04">
      <w:pPr>
        <w:ind w:firstLine="420"/>
        <w:rPr>
          <w:b/>
        </w:rPr>
      </w:pPr>
    </w:p>
    <w:p w:rsidR="00204E04" w:rsidRDefault="00204E04" w:rsidP="00204E04">
      <w:pPr>
        <w:ind w:firstLine="420"/>
        <w:rPr>
          <w:b/>
        </w:rPr>
      </w:pPr>
    </w:p>
    <w:p w:rsidR="0082088C" w:rsidRDefault="0082088C" w:rsidP="00D67A7C">
      <w:pPr>
        <w:rPr>
          <w:b/>
        </w:rPr>
      </w:pPr>
    </w:p>
    <w:p w:rsidR="00204E04" w:rsidRPr="00204E04" w:rsidRDefault="00204E04" w:rsidP="00204E04">
      <w:pPr>
        <w:ind w:firstLine="420"/>
        <w:rPr>
          <w:b/>
        </w:rPr>
      </w:pPr>
      <w:r>
        <w:rPr>
          <w:rFonts w:hint="eastAsia"/>
          <w:b/>
        </w:rPr>
        <w:t>正文：</w:t>
      </w:r>
    </w:p>
    <w:p w:rsidR="00204E04" w:rsidRDefault="00204E04" w:rsidP="007A0C97">
      <w:pPr>
        <w:rPr>
          <w:b/>
        </w:rPr>
      </w:pPr>
    </w:p>
    <w:p w:rsidR="002D1BFF" w:rsidRDefault="007A0C97" w:rsidP="007A0C97">
      <w:pPr>
        <w:rPr>
          <w:b/>
        </w:rPr>
      </w:pPr>
      <w:r w:rsidRPr="00FB1135">
        <w:rPr>
          <w:rFonts w:hint="eastAsia"/>
          <w:b/>
        </w:rPr>
        <w:t>1.</w:t>
      </w:r>
      <w:r w:rsidR="00204E04">
        <w:rPr>
          <w:rFonts w:hint="eastAsia"/>
          <w:b/>
        </w:rPr>
        <w:t xml:space="preserve"> </w:t>
      </w:r>
      <w:r w:rsidRPr="00FB1135">
        <w:rPr>
          <w:rFonts w:hint="eastAsia"/>
          <w:b/>
        </w:rPr>
        <w:t>债基组成分析</w:t>
      </w:r>
    </w:p>
    <w:p w:rsidR="00187B5C" w:rsidRPr="00FB1135" w:rsidRDefault="00187B5C" w:rsidP="007A0C97">
      <w:pPr>
        <w:rPr>
          <w:b/>
        </w:rPr>
      </w:pPr>
      <w:r>
        <w:rPr>
          <w:rFonts w:hint="eastAsia"/>
          <w:b/>
        </w:rPr>
        <w:tab/>
        <w:t xml:space="preserve">1.1 </w:t>
      </w:r>
      <w:r>
        <w:rPr>
          <w:rFonts w:hint="eastAsia"/>
          <w:b/>
        </w:rPr>
        <w:t>基金分类</w:t>
      </w:r>
    </w:p>
    <w:p w:rsidR="00743190" w:rsidRDefault="00743190" w:rsidP="006169DC">
      <w:pPr>
        <w:ind w:firstLine="420"/>
      </w:pPr>
      <w:r>
        <w:rPr>
          <w:rFonts w:hint="eastAsia"/>
        </w:rPr>
        <w:t>场内所有的开放式债券型基金</w:t>
      </w:r>
      <w:r w:rsidR="006169DC">
        <w:rPr>
          <w:rFonts w:hint="eastAsia"/>
        </w:rPr>
        <w:t>可分为纯债型债券基金（短期、长期）、混合型债基（一级、二级）、被动指数型债券基金三大类。考虑到我们在组合层面已经进行了资产的分散，此处只考虑纯债型基金和被动指数型债券基金。</w:t>
      </w:r>
    </w:p>
    <w:p w:rsidR="00D4534E" w:rsidRDefault="006169DC" w:rsidP="00B51709">
      <w:pPr>
        <w:ind w:firstLine="420"/>
      </w:pPr>
      <w:r>
        <w:rPr>
          <w:rFonts w:hint="eastAsia"/>
        </w:rPr>
        <w:t>3</w:t>
      </w:r>
      <w:r>
        <w:rPr>
          <w:rFonts w:hint="eastAsia"/>
        </w:rPr>
        <w:t>季度场内的纯债型基金总共有</w:t>
      </w:r>
      <w:r w:rsidR="00D548C7">
        <w:rPr>
          <w:rFonts w:hint="eastAsia"/>
        </w:rPr>
        <w:t>187</w:t>
      </w:r>
      <w:r w:rsidR="00D548C7">
        <w:rPr>
          <w:rFonts w:hint="eastAsia"/>
        </w:rPr>
        <w:t>只</w:t>
      </w:r>
      <w:r w:rsidR="007A0C97">
        <w:rPr>
          <w:rFonts w:hint="eastAsia"/>
        </w:rPr>
        <w:t>，</w:t>
      </w:r>
      <w:r w:rsidR="00D548C7">
        <w:rPr>
          <w:rFonts w:hint="eastAsia"/>
        </w:rPr>
        <w:t>虽然命名上有区分长期短期，但基金合同规定的投资范围和实际投资标的的久期</w:t>
      </w:r>
      <w:r w:rsidR="00D4534E">
        <w:rPr>
          <w:rFonts w:hint="eastAsia"/>
        </w:rPr>
        <w:t>上并没有明显的区分，因此在分析时可以将纯债基金进行统筹考虑。</w:t>
      </w:r>
    </w:p>
    <w:p w:rsidR="00A4310F" w:rsidRDefault="00A4310F" w:rsidP="00B51709">
      <w:pPr>
        <w:ind w:firstLine="420"/>
      </w:pPr>
      <w:r>
        <w:rPr>
          <w:rFonts w:hint="eastAsia"/>
          <w:noProof/>
        </w:rPr>
        <w:drawing>
          <wp:inline distT="0" distB="0" distL="0" distR="0">
            <wp:extent cx="5274310" cy="133812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338121"/>
                    </a:xfrm>
                    <a:prstGeom prst="rect">
                      <a:avLst/>
                    </a:prstGeom>
                    <a:noFill/>
                    <a:ln w="9525">
                      <a:noFill/>
                      <a:miter lim="800000"/>
                      <a:headEnd/>
                      <a:tailEnd/>
                    </a:ln>
                  </pic:spPr>
                </pic:pic>
              </a:graphicData>
            </a:graphic>
          </wp:inline>
        </w:drawing>
      </w:r>
    </w:p>
    <w:p w:rsidR="00A4310F" w:rsidRDefault="00A4310F" w:rsidP="00A4310F">
      <w:r>
        <w:rPr>
          <w:rFonts w:hint="eastAsia"/>
        </w:rPr>
        <w:t>图：公募基金</w:t>
      </w:r>
      <w:r>
        <w:rPr>
          <w:rFonts w:hint="eastAsia"/>
        </w:rPr>
        <w:t xml:space="preserve">wind </w:t>
      </w:r>
      <w:r>
        <w:rPr>
          <w:rFonts w:hint="eastAsia"/>
        </w:rPr>
        <w:t>分类</w:t>
      </w:r>
    </w:p>
    <w:p w:rsidR="00A4310F" w:rsidRDefault="00A4310F" w:rsidP="00B51709">
      <w:pPr>
        <w:ind w:firstLine="420"/>
        <w:rPr>
          <w:rFonts w:ascii="楷体_GB2312" w:eastAsia="楷体_GB2312"/>
        </w:rPr>
      </w:pPr>
    </w:p>
    <w:p w:rsidR="00187B5C" w:rsidRPr="002E2D1D" w:rsidRDefault="00187B5C" w:rsidP="00D4534E">
      <w:pPr>
        <w:ind w:firstLine="420"/>
        <w:rPr>
          <w:b/>
        </w:rPr>
      </w:pPr>
      <w:r w:rsidRPr="002E2D1D">
        <w:rPr>
          <w:rFonts w:hint="eastAsia"/>
          <w:b/>
        </w:rPr>
        <w:t xml:space="preserve">1.2 </w:t>
      </w:r>
      <w:r w:rsidRPr="002E2D1D">
        <w:rPr>
          <w:rFonts w:hint="eastAsia"/>
          <w:b/>
        </w:rPr>
        <w:t>业绩比较基准</w:t>
      </w:r>
    </w:p>
    <w:p w:rsidR="006722D7" w:rsidRDefault="00D4534E" w:rsidP="002D1BFF">
      <w:pPr>
        <w:ind w:firstLine="420"/>
      </w:pPr>
      <w:r>
        <w:rPr>
          <w:rFonts w:hint="eastAsia"/>
        </w:rPr>
        <w:t>为了使得可研究的债券型基金更加可比，采取股票基金中基于对标不同基准（比如沪深</w:t>
      </w:r>
      <w:r>
        <w:rPr>
          <w:rFonts w:hint="eastAsia"/>
        </w:rPr>
        <w:t xml:space="preserve">300 </w:t>
      </w:r>
      <w:r>
        <w:rPr>
          <w:rFonts w:hint="eastAsia"/>
        </w:rPr>
        <w:t>和中证</w:t>
      </w:r>
      <w:r>
        <w:rPr>
          <w:rFonts w:hint="eastAsia"/>
        </w:rPr>
        <w:t>500</w:t>
      </w:r>
      <w:r>
        <w:rPr>
          <w:rFonts w:hint="eastAsia"/>
        </w:rPr>
        <w:t>）的基金分别研究的思路，对债券型基金的跟踪基准也进行了梳理</w:t>
      </w:r>
      <w:r w:rsidR="002D1BFF">
        <w:rPr>
          <w:rFonts w:hint="eastAsia"/>
        </w:rPr>
        <w:t>，发现债券基金的跟踪基准比较杂乱，主要有</w:t>
      </w:r>
      <w:r w:rsidR="002D1BFF">
        <w:rPr>
          <w:rFonts w:hint="eastAsia"/>
        </w:rPr>
        <w:t>11</w:t>
      </w:r>
      <w:r w:rsidR="002D1BFF">
        <w:rPr>
          <w:rFonts w:hint="eastAsia"/>
        </w:rPr>
        <w:t>个大类，除了个别全价指数以</w:t>
      </w:r>
      <w:r w:rsidR="006722D7">
        <w:rPr>
          <w:rFonts w:hint="eastAsia"/>
        </w:rPr>
        <w:t>及短融指数</w:t>
      </w:r>
      <w:r w:rsidR="002D1BFF">
        <w:rPr>
          <w:rFonts w:hint="eastAsia"/>
        </w:rPr>
        <w:t>走势有明显的差异化之外，其他对标指数</w:t>
      </w:r>
      <w:r w:rsidR="006722D7">
        <w:rPr>
          <w:rFonts w:hint="eastAsia"/>
        </w:rPr>
        <w:t>的走势大致相同，</w:t>
      </w:r>
      <w:r w:rsidR="007444A3">
        <w:rPr>
          <w:rFonts w:hint="eastAsia"/>
        </w:rPr>
        <w:t>在投资范围上也没有明显的区别。因此将主动型纯债基分为两大类</w:t>
      </w:r>
      <w:r w:rsidR="009B555B">
        <w:rPr>
          <w:rFonts w:hint="eastAsia"/>
        </w:rPr>
        <w:t>：一类是以信用债指数作为基准的公募基金；一类是以全债或者利率债作为基准的公募基金</w:t>
      </w:r>
      <w:r w:rsidR="008F427B">
        <w:rPr>
          <w:rFonts w:hint="eastAsia"/>
        </w:rPr>
        <w:t>，两者在投资范围上的主要差别在于以信用债指数为基准的公募基金</w:t>
      </w:r>
      <w:r w:rsidR="0066095C">
        <w:rPr>
          <w:rFonts w:hint="eastAsia"/>
        </w:rPr>
        <w:t>对于信用债的投资比例</w:t>
      </w:r>
      <w:r w:rsidR="007A0C97">
        <w:rPr>
          <w:rFonts w:hint="eastAsia"/>
        </w:rPr>
        <w:t>有</w:t>
      </w:r>
      <w:r w:rsidR="007A0C97">
        <w:rPr>
          <w:rFonts w:hint="eastAsia"/>
        </w:rPr>
        <w:t>80%</w:t>
      </w:r>
      <w:r w:rsidR="00B51709">
        <w:rPr>
          <w:rFonts w:hint="eastAsia"/>
        </w:rPr>
        <w:t>的硬性要求</w:t>
      </w:r>
      <w:r w:rsidR="00381A15">
        <w:rPr>
          <w:rFonts w:hint="eastAsia"/>
        </w:rPr>
        <w:t>。</w:t>
      </w:r>
      <w:r w:rsidR="00063ADE">
        <w:rPr>
          <w:rFonts w:hint="eastAsia"/>
        </w:rPr>
        <w:t>以全债或者利率债作为基准的公募基金由于在投资标的上并没有明显的区别，可以选用同一基准，因此无需比较</w:t>
      </w:r>
      <w:r w:rsidR="002E2D1D">
        <w:rPr>
          <w:rFonts w:hint="eastAsia"/>
        </w:rPr>
        <w:t>相对基准的超额收益</w:t>
      </w:r>
      <w:r w:rsidR="00063ADE">
        <w:rPr>
          <w:rFonts w:hint="eastAsia"/>
        </w:rPr>
        <w:t>。</w:t>
      </w:r>
    </w:p>
    <w:p w:rsidR="009B555B" w:rsidRDefault="00381A15" w:rsidP="002D1BFF">
      <w:pPr>
        <w:ind w:firstLine="420"/>
      </w:pPr>
      <w:r>
        <w:rPr>
          <w:rFonts w:hint="eastAsia"/>
          <w:noProof/>
        </w:rPr>
        <w:drawing>
          <wp:inline distT="0" distB="0" distL="0" distR="0">
            <wp:extent cx="5274310" cy="210803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5274310" cy="2108033"/>
                    </a:xfrm>
                    <a:prstGeom prst="rect">
                      <a:avLst/>
                    </a:prstGeom>
                    <a:noFill/>
                    <a:ln w="9525">
                      <a:noFill/>
                      <a:miter lim="800000"/>
                      <a:headEnd/>
                      <a:tailEnd/>
                    </a:ln>
                  </pic:spPr>
                </pic:pic>
              </a:graphicData>
            </a:graphic>
          </wp:inline>
        </w:drawing>
      </w:r>
    </w:p>
    <w:p w:rsidR="008F427B" w:rsidRDefault="008F427B" w:rsidP="008F427B">
      <w:pPr>
        <w:ind w:firstLine="420"/>
      </w:pPr>
      <w:r>
        <w:rPr>
          <w:rFonts w:hint="eastAsia"/>
        </w:rPr>
        <w:t>表：以信用债指数为基准的公募基金</w:t>
      </w:r>
    </w:p>
    <w:p w:rsidR="006722D7" w:rsidRPr="008F427B" w:rsidRDefault="006722D7" w:rsidP="002D1BFF">
      <w:pPr>
        <w:ind w:firstLine="420"/>
      </w:pPr>
    </w:p>
    <w:p w:rsidR="002D1BFF" w:rsidRDefault="002D1BFF" w:rsidP="002D1BFF">
      <w:pPr>
        <w:ind w:firstLine="420"/>
      </w:pPr>
      <w:r w:rsidRPr="002D1BFF">
        <w:rPr>
          <w:noProof/>
        </w:rPr>
        <w:lastRenderedPageBreak/>
        <w:drawing>
          <wp:inline distT="0" distB="0" distL="0" distR="0">
            <wp:extent cx="5835933" cy="3560324"/>
            <wp:effectExtent l="19050" t="0" r="12417" b="2026"/>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37E8C" w:rsidRPr="002D1BFF" w:rsidRDefault="00337E8C" w:rsidP="00337E8C"/>
    <w:p w:rsidR="002D1BFF" w:rsidRDefault="002D1BFF" w:rsidP="002D1BFF">
      <w:pPr>
        <w:ind w:firstLine="420"/>
      </w:pPr>
      <w:r>
        <w:rPr>
          <w:rFonts w:hint="eastAsia"/>
        </w:rPr>
        <w:t>图：债券跟踪基准走势</w:t>
      </w:r>
    </w:p>
    <w:p w:rsidR="00187B5C" w:rsidRPr="00187B5C" w:rsidRDefault="00187B5C" w:rsidP="002D1BFF">
      <w:pPr>
        <w:ind w:firstLine="420"/>
        <w:rPr>
          <w:b/>
        </w:rPr>
      </w:pPr>
    </w:p>
    <w:p w:rsidR="007A0C97" w:rsidRDefault="007A0C97" w:rsidP="007A0C97">
      <w:pPr>
        <w:rPr>
          <w:b/>
        </w:rPr>
      </w:pPr>
      <w:r w:rsidRPr="007A0C97">
        <w:rPr>
          <w:rFonts w:hint="eastAsia"/>
          <w:b/>
        </w:rPr>
        <w:t>2.</w:t>
      </w:r>
      <w:r w:rsidRPr="007A0C97">
        <w:rPr>
          <w:rFonts w:hint="eastAsia"/>
          <w:b/>
        </w:rPr>
        <w:t>债基业绩归因</w:t>
      </w:r>
    </w:p>
    <w:p w:rsidR="009E356F" w:rsidRDefault="009E356F" w:rsidP="007A0C97">
      <w:pPr>
        <w:rPr>
          <w:b/>
        </w:rPr>
      </w:pPr>
      <w:r>
        <w:rPr>
          <w:rFonts w:hint="eastAsia"/>
          <w:b/>
        </w:rPr>
        <w:tab/>
      </w:r>
    </w:p>
    <w:p w:rsidR="00063ADE" w:rsidRPr="007A0C97" w:rsidRDefault="00063ADE" w:rsidP="00DF081D">
      <w:pPr>
        <w:ind w:firstLine="420"/>
        <w:rPr>
          <w:b/>
        </w:rPr>
      </w:pPr>
      <w:r>
        <w:rPr>
          <w:rFonts w:hint="eastAsia"/>
          <w:b/>
        </w:rPr>
        <w:t>2.</w:t>
      </w:r>
      <w:r w:rsidR="0082088C">
        <w:rPr>
          <w:rFonts w:hint="eastAsia"/>
          <w:b/>
        </w:rPr>
        <w:t>1</w:t>
      </w:r>
      <w:r w:rsidR="00DF081D">
        <w:rPr>
          <w:rFonts w:hint="eastAsia"/>
          <w:b/>
        </w:rPr>
        <w:t xml:space="preserve"> </w:t>
      </w:r>
      <w:r w:rsidR="00DF081D">
        <w:rPr>
          <w:rFonts w:hint="eastAsia"/>
          <w:b/>
        </w:rPr>
        <w:t>根据持仓数据</w:t>
      </w:r>
      <w:r w:rsidR="00187B5C">
        <w:rPr>
          <w:rFonts w:hint="eastAsia"/>
          <w:b/>
        </w:rPr>
        <w:t>利用</w:t>
      </w:r>
      <w:r w:rsidR="00187B5C">
        <w:rPr>
          <w:rFonts w:hint="eastAsia"/>
          <w:b/>
        </w:rPr>
        <w:t>Campsi</w:t>
      </w:r>
      <w:r w:rsidR="00187B5C">
        <w:rPr>
          <w:rFonts w:hint="eastAsia"/>
          <w:b/>
        </w:rPr>
        <w:t>模型进行业绩归因分析</w:t>
      </w:r>
    </w:p>
    <w:p w:rsidR="00FB1135" w:rsidRDefault="007A0C97" w:rsidP="002D1BFF">
      <w:pPr>
        <w:ind w:firstLine="420"/>
      </w:pPr>
      <w:r>
        <w:rPr>
          <w:rFonts w:hint="eastAsia"/>
        </w:rPr>
        <w:t>利用</w:t>
      </w:r>
      <w:r>
        <w:rPr>
          <w:rFonts w:hint="eastAsia"/>
        </w:rPr>
        <w:t>Campsi</w:t>
      </w:r>
      <w:r w:rsidR="00094988">
        <w:rPr>
          <w:rFonts w:hint="eastAsia"/>
        </w:rPr>
        <w:t>模型根据前三</w:t>
      </w:r>
      <w:r>
        <w:rPr>
          <w:rFonts w:hint="eastAsia"/>
        </w:rPr>
        <w:t>季度的持仓进行业绩归因分析，由于每只基金只公布持仓市值前</w:t>
      </w:r>
      <w:r w:rsidR="00B51709">
        <w:rPr>
          <w:rFonts w:hint="eastAsia"/>
        </w:rPr>
        <w:t>5</w:t>
      </w:r>
      <w:r>
        <w:rPr>
          <w:rFonts w:hint="eastAsia"/>
        </w:rPr>
        <w:t>名的债券，因此还需要考虑基金持仓前</w:t>
      </w:r>
      <w:r w:rsidR="00B51709">
        <w:rPr>
          <w:rFonts w:hint="eastAsia"/>
        </w:rPr>
        <w:t>5</w:t>
      </w:r>
      <w:r>
        <w:rPr>
          <w:rFonts w:hint="eastAsia"/>
        </w:rPr>
        <w:t>名的债券占债券投资的总比重</w:t>
      </w:r>
      <w:r w:rsidR="00B51709">
        <w:rPr>
          <w:rFonts w:hint="eastAsia"/>
        </w:rPr>
        <w:t>,</w:t>
      </w:r>
      <w:r w:rsidR="00B51709">
        <w:rPr>
          <w:rFonts w:hint="eastAsia"/>
        </w:rPr>
        <w:t>如果所占比重较小，业绩归因所得到的结果的可靠性会变差</w:t>
      </w:r>
      <w:r>
        <w:rPr>
          <w:rFonts w:hint="eastAsia"/>
        </w:rPr>
        <w:t>。</w:t>
      </w:r>
      <w:r w:rsidR="00FB1135">
        <w:rPr>
          <w:rFonts w:hint="eastAsia"/>
        </w:rPr>
        <w:t>通过比较业绩排名前</w:t>
      </w:r>
      <w:r w:rsidR="00FB1135">
        <w:rPr>
          <w:rFonts w:hint="eastAsia"/>
        </w:rPr>
        <w:t>10</w:t>
      </w:r>
      <w:r w:rsidR="00FB1135">
        <w:rPr>
          <w:rFonts w:hint="eastAsia"/>
        </w:rPr>
        <w:t>的基金整体表现，可以发现基金在三个季度收入效应的差异性上较小</w:t>
      </w:r>
      <w:r w:rsidR="00337E8C">
        <w:rPr>
          <w:rFonts w:hint="eastAsia"/>
        </w:rPr>
        <w:t>；二季度基金的国债效应较高，一季度和三季度的差异性也非常小</w:t>
      </w:r>
      <w:r w:rsidR="00A42F6C">
        <w:rPr>
          <w:rFonts w:hint="eastAsia"/>
        </w:rPr>
        <w:t>，可见二季度基金对后市的分歧较大，久期的选择上差异性较高；三个季度基金的择券效应差异性都是最大的，其中一季度和三季度的差异性格外明显，择券效应体现了基金管理人在选择债券方面相对于市场平均水平的收益，在当前市场波动较小的情况下，是最需要关注的指标。</w:t>
      </w:r>
    </w:p>
    <w:tbl>
      <w:tblPr>
        <w:tblW w:w="6951" w:type="dxa"/>
        <w:tblInd w:w="103" w:type="dxa"/>
        <w:tblLook w:val="04A0"/>
      </w:tblPr>
      <w:tblGrid>
        <w:gridCol w:w="1317"/>
        <w:gridCol w:w="1240"/>
        <w:gridCol w:w="1417"/>
        <w:gridCol w:w="1418"/>
        <w:gridCol w:w="1559"/>
      </w:tblGrid>
      <w:tr w:rsidR="00337E8C" w:rsidRPr="00337E8C" w:rsidTr="00337E8C">
        <w:trPr>
          <w:trHeight w:val="244"/>
        </w:trPr>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b/>
                <w:color w:val="000000" w:themeColor="text1"/>
                <w:kern w:val="0"/>
                <w:sz w:val="20"/>
                <w:szCs w:val="20"/>
              </w:rPr>
            </w:pPr>
            <w:r w:rsidRPr="00337E8C">
              <w:rPr>
                <w:rFonts w:ascii="Arial" w:eastAsia="宋体" w:hAnsi="Arial" w:cs="Arial" w:hint="eastAsia"/>
                <w:b/>
                <w:color w:val="000000" w:themeColor="text1"/>
                <w:kern w:val="0"/>
                <w:sz w:val="20"/>
                <w:szCs w:val="20"/>
              </w:rPr>
              <w:t>1Q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宋体" w:eastAsia="宋体" w:hAnsi="宋体" w:cs="Arial"/>
                <w:b/>
                <w:color w:val="000000" w:themeColor="text1"/>
                <w:kern w:val="0"/>
                <w:sz w:val="20"/>
                <w:szCs w:val="20"/>
              </w:rPr>
            </w:pPr>
            <w:r w:rsidRPr="00337E8C">
              <w:rPr>
                <w:rFonts w:ascii="宋体" w:eastAsia="宋体" w:hAnsi="宋体" w:cs="Arial" w:hint="eastAsia"/>
                <w:b/>
                <w:color w:val="000000" w:themeColor="text1"/>
                <w:kern w:val="0"/>
                <w:sz w:val="20"/>
                <w:szCs w:val="20"/>
              </w:rPr>
              <w:t>收入效应</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宋体" w:eastAsia="宋体" w:hAnsi="宋体" w:cs="Arial"/>
                <w:b/>
                <w:color w:val="000000" w:themeColor="text1"/>
                <w:kern w:val="0"/>
                <w:sz w:val="20"/>
                <w:szCs w:val="20"/>
              </w:rPr>
            </w:pPr>
            <w:r w:rsidRPr="00337E8C">
              <w:rPr>
                <w:rFonts w:ascii="宋体" w:eastAsia="宋体" w:hAnsi="宋体" w:cs="Arial" w:hint="eastAsia"/>
                <w:b/>
                <w:color w:val="000000" w:themeColor="text1"/>
                <w:kern w:val="0"/>
                <w:sz w:val="20"/>
                <w:szCs w:val="20"/>
              </w:rPr>
              <w:t>国债效应</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宋体" w:eastAsia="宋体" w:hAnsi="宋体" w:cs="Arial"/>
                <w:b/>
                <w:color w:val="000000" w:themeColor="text1"/>
                <w:kern w:val="0"/>
                <w:sz w:val="20"/>
                <w:szCs w:val="20"/>
              </w:rPr>
            </w:pPr>
            <w:r w:rsidRPr="00337E8C">
              <w:rPr>
                <w:rFonts w:ascii="宋体" w:eastAsia="宋体" w:hAnsi="宋体" w:cs="Arial" w:hint="eastAsia"/>
                <w:b/>
                <w:color w:val="000000" w:themeColor="text1"/>
                <w:kern w:val="0"/>
                <w:sz w:val="20"/>
                <w:szCs w:val="20"/>
              </w:rPr>
              <w:t>利差效应</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宋体" w:eastAsia="宋体" w:hAnsi="宋体" w:cs="Arial"/>
                <w:b/>
                <w:color w:val="000000" w:themeColor="text1"/>
                <w:kern w:val="0"/>
                <w:sz w:val="20"/>
                <w:szCs w:val="20"/>
              </w:rPr>
            </w:pPr>
            <w:r w:rsidRPr="00337E8C">
              <w:rPr>
                <w:rFonts w:ascii="宋体" w:eastAsia="宋体" w:hAnsi="宋体" w:cs="Arial" w:hint="eastAsia"/>
                <w:b/>
                <w:color w:val="000000" w:themeColor="text1"/>
                <w:kern w:val="0"/>
                <w:sz w:val="20"/>
                <w:szCs w:val="20"/>
              </w:rPr>
              <w:t>择券效应</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w:t>
            </w:r>
          </w:p>
        </w:tc>
        <w:tc>
          <w:tcPr>
            <w:tcW w:w="1240" w:type="dxa"/>
            <w:tcBorders>
              <w:top w:val="single" w:sz="4" w:space="0" w:color="auto"/>
              <w:left w:val="single" w:sz="4" w:space="0" w:color="auto"/>
              <w:bottom w:val="single" w:sz="4" w:space="0" w:color="auto"/>
              <w:right w:val="single" w:sz="4" w:space="0" w:color="auto"/>
            </w:tcBorders>
            <w:shd w:val="clear" w:color="000000" w:fill="FFE795"/>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0.201 </w:t>
            </w:r>
          </w:p>
        </w:tc>
        <w:tc>
          <w:tcPr>
            <w:tcW w:w="141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0.022 </w:t>
            </w:r>
          </w:p>
        </w:tc>
        <w:tc>
          <w:tcPr>
            <w:tcW w:w="1418"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2.665 </w:t>
            </w:r>
          </w:p>
        </w:tc>
        <w:tc>
          <w:tcPr>
            <w:tcW w:w="1559" w:type="dxa"/>
            <w:tcBorders>
              <w:top w:val="single" w:sz="4" w:space="0" w:color="auto"/>
              <w:left w:val="single" w:sz="4" w:space="0" w:color="auto"/>
              <w:bottom w:val="single" w:sz="4" w:space="0" w:color="auto"/>
              <w:right w:val="single" w:sz="4" w:space="0" w:color="auto"/>
            </w:tcBorders>
            <w:shd w:val="clear" w:color="000000" w:fill="FFC979"/>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0.831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median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0.090 </w:t>
            </w:r>
          </w:p>
        </w:tc>
        <w:tc>
          <w:tcPr>
            <w:tcW w:w="1417" w:type="dxa"/>
            <w:tcBorders>
              <w:top w:val="single" w:sz="4" w:space="0" w:color="auto"/>
              <w:left w:val="single" w:sz="4" w:space="0" w:color="auto"/>
              <w:bottom w:val="single" w:sz="4" w:space="0" w:color="auto"/>
              <w:right w:val="single" w:sz="4" w:space="0" w:color="auto"/>
            </w:tcBorders>
            <w:shd w:val="clear" w:color="000000" w:fill="FFB3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-0.044 </w:t>
            </w:r>
          </w:p>
        </w:tc>
        <w:tc>
          <w:tcPr>
            <w:tcW w:w="1418" w:type="dxa"/>
            <w:tcBorders>
              <w:top w:val="single" w:sz="4" w:space="0" w:color="auto"/>
              <w:left w:val="single" w:sz="4" w:space="0" w:color="auto"/>
              <w:bottom w:val="single" w:sz="4" w:space="0" w:color="auto"/>
              <w:right w:val="single" w:sz="4" w:space="0" w:color="auto"/>
            </w:tcBorders>
            <w:shd w:val="clear" w:color="000000" w:fill="FFAE60"/>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1.052 </w:t>
            </w:r>
          </w:p>
        </w:tc>
        <w:tc>
          <w:tcPr>
            <w:tcW w:w="1559" w:type="dxa"/>
            <w:tcBorders>
              <w:top w:val="single" w:sz="4" w:space="0" w:color="auto"/>
              <w:left w:val="single" w:sz="4" w:space="0" w:color="auto"/>
              <w:bottom w:val="single" w:sz="4" w:space="0" w:color="auto"/>
              <w:right w:val="single" w:sz="4" w:space="0" w:color="auto"/>
            </w:tcBorders>
            <w:shd w:val="clear" w:color="000000" w:fill="FFB566"/>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-0.530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max-median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0.111 </w:t>
            </w:r>
          </w:p>
        </w:tc>
        <w:tc>
          <w:tcPr>
            <w:tcW w:w="1417"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0.067 </w:t>
            </w:r>
          </w:p>
        </w:tc>
        <w:tc>
          <w:tcPr>
            <w:tcW w:w="1418" w:type="dxa"/>
            <w:tcBorders>
              <w:top w:val="single" w:sz="4" w:space="0" w:color="auto"/>
              <w:left w:val="single" w:sz="4" w:space="0" w:color="auto"/>
              <w:bottom w:val="single" w:sz="4" w:space="0" w:color="auto"/>
              <w:right w:val="single" w:sz="4" w:space="0" w:color="auto"/>
            </w:tcBorders>
            <w:shd w:val="clear" w:color="000000" w:fill="FFAB5E"/>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1.613 </w:t>
            </w:r>
          </w:p>
        </w:tc>
        <w:tc>
          <w:tcPr>
            <w:tcW w:w="1559" w:type="dxa"/>
            <w:tcBorders>
              <w:top w:val="single" w:sz="4" w:space="0" w:color="auto"/>
              <w:left w:val="single" w:sz="4" w:space="0" w:color="auto"/>
              <w:bottom w:val="single" w:sz="4" w:space="0" w:color="auto"/>
              <w:right w:val="single" w:sz="4" w:space="0" w:color="auto"/>
            </w:tcBorders>
            <w:shd w:val="clear" w:color="000000" w:fill="FFAC5F"/>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1.361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min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0.079 </w:t>
            </w:r>
          </w:p>
        </w:tc>
        <w:tc>
          <w:tcPr>
            <w:tcW w:w="1417" w:type="dxa"/>
            <w:tcBorders>
              <w:top w:val="single" w:sz="4" w:space="0" w:color="auto"/>
              <w:left w:val="single" w:sz="4" w:space="0" w:color="auto"/>
              <w:bottom w:val="single" w:sz="4" w:space="0" w:color="auto"/>
              <w:right w:val="single" w:sz="4" w:space="0" w:color="auto"/>
            </w:tcBorders>
            <w:shd w:val="clear" w:color="000000" w:fill="FFB365"/>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-0.190 </w:t>
            </w:r>
          </w:p>
        </w:tc>
        <w:tc>
          <w:tcPr>
            <w:tcW w:w="1418"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0.077 </w:t>
            </w:r>
          </w:p>
        </w:tc>
        <w:tc>
          <w:tcPr>
            <w:tcW w:w="155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-13.617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max-min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0.122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0.212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2.588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14.448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b/>
                <w:color w:val="000000" w:themeColor="text1"/>
                <w:kern w:val="0"/>
                <w:sz w:val="20"/>
                <w:szCs w:val="20"/>
              </w:rPr>
            </w:pPr>
            <w:r w:rsidRPr="00337E8C">
              <w:rPr>
                <w:rFonts w:ascii="Arial" w:eastAsia="宋体" w:hAnsi="Arial" w:cs="Arial" w:hint="eastAsia"/>
                <w:b/>
                <w:color w:val="000000" w:themeColor="text1"/>
                <w:kern w:val="0"/>
                <w:sz w:val="20"/>
                <w:szCs w:val="20"/>
              </w:rPr>
              <w:t>2Q</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b/>
                <w:color w:val="000000" w:themeColor="text1"/>
                <w:kern w:val="0"/>
                <w:sz w:val="20"/>
                <w:szCs w:val="20"/>
              </w:rPr>
            </w:pPr>
            <w:r w:rsidRPr="00337E8C">
              <w:rPr>
                <w:rFonts w:ascii="Arial" w:eastAsia="宋体" w:hAnsi="Arial" w:cs="Arial" w:hint="eastAsia"/>
                <w:b/>
                <w:color w:val="000000" w:themeColor="text1"/>
                <w:kern w:val="0"/>
                <w:sz w:val="20"/>
                <w:szCs w:val="20"/>
              </w:rPr>
              <w:t>收入效应</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b/>
                <w:color w:val="000000" w:themeColor="text1"/>
                <w:kern w:val="0"/>
                <w:sz w:val="20"/>
                <w:szCs w:val="20"/>
              </w:rPr>
            </w:pPr>
            <w:r w:rsidRPr="00337E8C">
              <w:rPr>
                <w:rFonts w:ascii="Arial" w:eastAsia="宋体" w:hAnsi="Arial" w:cs="Arial" w:hint="eastAsia"/>
                <w:b/>
                <w:color w:val="000000" w:themeColor="text1"/>
                <w:kern w:val="0"/>
                <w:sz w:val="20"/>
                <w:szCs w:val="20"/>
              </w:rPr>
              <w:t>国债效应</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b/>
                <w:color w:val="000000" w:themeColor="text1"/>
                <w:kern w:val="0"/>
                <w:sz w:val="20"/>
                <w:szCs w:val="20"/>
              </w:rPr>
            </w:pPr>
            <w:r w:rsidRPr="00337E8C">
              <w:rPr>
                <w:rFonts w:ascii="Arial" w:eastAsia="宋体" w:hAnsi="Arial" w:cs="Arial" w:hint="eastAsia"/>
                <w:b/>
                <w:color w:val="000000" w:themeColor="text1"/>
                <w:kern w:val="0"/>
                <w:sz w:val="20"/>
                <w:szCs w:val="20"/>
              </w:rPr>
              <w:t>利差效应</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b/>
                <w:color w:val="000000" w:themeColor="text1"/>
                <w:kern w:val="0"/>
                <w:sz w:val="20"/>
                <w:szCs w:val="20"/>
              </w:rPr>
            </w:pPr>
            <w:r w:rsidRPr="00337E8C">
              <w:rPr>
                <w:rFonts w:ascii="Arial" w:eastAsia="宋体" w:hAnsi="Arial" w:cs="Arial" w:hint="eastAsia"/>
                <w:b/>
                <w:color w:val="000000" w:themeColor="text1"/>
                <w:kern w:val="0"/>
                <w:sz w:val="20"/>
                <w:szCs w:val="20"/>
              </w:rPr>
              <w:t>择券效应</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0.242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-0.038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1.556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0.591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median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0.156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-0.812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0.937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-0.068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max-median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0.086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0.774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0.619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0.659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min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0.036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-1.377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0.251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-1.395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max-min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0.206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1.339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1.305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1.987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b/>
                <w:kern w:val="0"/>
                <w:sz w:val="20"/>
                <w:szCs w:val="20"/>
              </w:rPr>
            </w:pPr>
            <w:r w:rsidRPr="00337E8C">
              <w:rPr>
                <w:rFonts w:ascii="Arial" w:eastAsia="宋体" w:hAnsi="Arial" w:cs="Arial" w:hint="eastAsia"/>
                <w:b/>
                <w:kern w:val="0"/>
                <w:sz w:val="20"/>
                <w:szCs w:val="20"/>
              </w:rPr>
              <w:lastRenderedPageBreak/>
              <w:t>3Q</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b/>
                <w:kern w:val="0"/>
                <w:sz w:val="20"/>
                <w:szCs w:val="20"/>
              </w:rPr>
            </w:pPr>
            <w:r w:rsidRPr="00337E8C">
              <w:rPr>
                <w:rFonts w:ascii="Arial" w:eastAsia="宋体" w:hAnsi="Arial" w:cs="Arial" w:hint="eastAsia"/>
                <w:b/>
                <w:kern w:val="0"/>
                <w:sz w:val="20"/>
                <w:szCs w:val="20"/>
              </w:rPr>
              <w:t>收入效应</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b/>
                <w:kern w:val="0"/>
                <w:sz w:val="20"/>
                <w:szCs w:val="20"/>
              </w:rPr>
            </w:pPr>
            <w:r w:rsidRPr="00337E8C">
              <w:rPr>
                <w:rFonts w:ascii="Arial" w:eastAsia="宋体" w:hAnsi="Arial" w:cs="Arial" w:hint="eastAsia"/>
                <w:b/>
                <w:kern w:val="0"/>
                <w:sz w:val="20"/>
                <w:szCs w:val="20"/>
              </w:rPr>
              <w:t>国债效应</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b/>
                <w:kern w:val="0"/>
                <w:sz w:val="20"/>
                <w:szCs w:val="20"/>
              </w:rPr>
            </w:pPr>
            <w:r w:rsidRPr="00337E8C">
              <w:rPr>
                <w:rFonts w:ascii="Arial" w:eastAsia="宋体" w:hAnsi="Arial" w:cs="Arial" w:hint="eastAsia"/>
                <w:b/>
                <w:kern w:val="0"/>
                <w:sz w:val="20"/>
                <w:szCs w:val="20"/>
              </w:rPr>
              <w:t>利差效应</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b/>
                <w:kern w:val="0"/>
                <w:sz w:val="20"/>
                <w:szCs w:val="20"/>
              </w:rPr>
            </w:pPr>
            <w:r w:rsidRPr="00337E8C">
              <w:rPr>
                <w:rFonts w:ascii="Arial" w:eastAsia="宋体" w:hAnsi="Arial" w:cs="Arial" w:hint="eastAsia"/>
                <w:b/>
                <w:kern w:val="0"/>
                <w:sz w:val="20"/>
                <w:szCs w:val="20"/>
              </w:rPr>
              <w:t>择券效应</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0.162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0.000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1.687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0.791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median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0.098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-0.036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0.920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-0.787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max-median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0.064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0.036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0.767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1.578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min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0.032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-1.081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0.000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-5.941 </w:t>
            </w:r>
          </w:p>
        </w:tc>
      </w:tr>
      <w:tr w:rsidR="00337E8C" w:rsidRPr="00337E8C" w:rsidTr="00337E8C">
        <w:trPr>
          <w:trHeight w:val="255"/>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37E8C" w:rsidRPr="00337E8C" w:rsidRDefault="00337E8C" w:rsidP="00337E8C">
            <w:pPr>
              <w:widowControl/>
              <w:jc w:val="left"/>
              <w:rPr>
                <w:rFonts w:ascii="Arial" w:eastAsia="宋体" w:hAnsi="Arial" w:cs="Arial"/>
                <w:kern w:val="0"/>
                <w:sz w:val="20"/>
                <w:szCs w:val="20"/>
              </w:rPr>
            </w:pPr>
            <w:r w:rsidRPr="00337E8C">
              <w:rPr>
                <w:rFonts w:ascii="Arial" w:eastAsia="宋体" w:hAnsi="Arial" w:cs="Arial"/>
                <w:kern w:val="0"/>
                <w:sz w:val="20"/>
                <w:szCs w:val="20"/>
              </w:rPr>
              <w:t>max-min</w:t>
            </w:r>
          </w:p>
        </w:tc>
        <w:tc>
          <w:tcPr>
            <w:tcW w:w="1240" w:type="dxa"/>
            <w:tcBorders>
              <w:top w:val="single" w:sz="4" w:space="0" w:color="auto"/>
              <w:left w:val="single" w:sz="4" w:space="0" w:color="auto"/>
              <w:bottom w:val="single" w:sz="4" w:space="0" w:color="auto"/>
              <w:right w:val="single" w:sz="4" w:space="0" w:color="auto"/>
            </w:tcBorders>
            <w:shd w:val="clear" w:color="000000" w:fill="FFB264"/>
            <w:noWrap/>
            <w:vAlign w:val="bottom"/>
            <w:hideMark/>
          </w:tcPr>
          <w:p w:rsidR="00337E8C" w:rsidRPr="00337E8C" w:rsidRDefault="00337E8C" w:rsidP="00337E8C">
            <w:pPr>
              <w:widowControl/>
              <w:jc w:val="right"/>
              <w:rPr>
                <w:rFonts w:ascii="Arial" w:eastAsia="宋体" w:hAnsi="Arial" w:cs="Arial"/>
                <w:kern w:val="0"/>
                <w:sz w:val="20"/>
                <w:szCs w:val="20"/>
              </w:rPr>
            </w:pPr>
            <w:r w:rsidRPr="00337E8C">
              <w:rPr>
                <w:rFonts w:ascii="Arial" w:eastAsia="宋体" w:hAnsi="Arial" w:cs="Arial"/>
                <w:kern w:val="0"/>
                <w:sz w:val="20"/>
                <w:szCs w:val="20"/>
              </w:rPr>
              <w:t xml:space="preserve">0.130 </w:t>
            </w:r>
          </w:p>
        </w:tc>
        <w:tc>
          <w:tcPr>
            <w:tcW w:w="1417" w:type="dxa"/>
            <w:tcBorders>
              <w:top w:val="single" w:sz="4" w:space="0" w:color="auto"/>
              <w:left w:val="single" w:sz="4" w:space="0" w:color="auto"/>
              <w:bottom w:val="single" w:sz="4" w:space="0" w:color="auto"/>
              <w:right w:val="single" w:sz="4" w:space="0" w:color="auto"/>
            </w:tcBorders>
            <w:shd w:val="clear" w:color="000000" w:fill="FFB163"/>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1.081 </w:t>
            </w:r>
          </w:p>
        </w:tc>
        <w:tc>
          <w:tcPr>
            <w:tcW w:w="1418" w:type="dxa"/>
            <w:tcBorders>
              <w:top w:val="single" w:sz="4" w:space="0" w:color="auto"/>
              <w:left w:val="single" w:sz="4" w:space="0" w:color="auto"/>
              <w:bottom w:val="single" w:sz="4" w:space="0" w:color="auto"/>
              <w:right w:val="single" w:sz="4" w:space="0" w:color="auto"/>
            </w:tcBorders>
            <w:shd w:val="clear" w:color="000000" w:fill="FFA75A"/>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1.687 </w:t>
            </w:r>
          </w:p>
        </w:tc>
        <w:tc>
          <w:tcPr>
            <w:tcW w:w="1559"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rsidR="00337E8C" w:rsidRPr="00337E8C" w:rsidRDefault="00337E8C" w:rsidP="00337E8C">
            <w:pPr>
              <w:widowControl/>
              <w:jc w:val="right"/>
              <w:rPr>
                <w:rFonts w:ascii="Arial" w:eastAsia="宋体" w:hAnsi="Arial" w:cs="Arial"/>
                <w:color w:val="9C0006"/>
                <w:kern w:val="0"/>
                <w:sz w:val="20"/>
                <w:szCs w:val="20"/>
              </w:rPr>
            </w:pPr>
            <w:r w:rsidRPr="00337E8C">
              <w:rPr>
                <w:rFonts w:ascii="Arial" w:eastAsia="宋体" w:hAnsi="Arial" w:cs="Arial"/>
                <w:color w:val="9C0006"/>
                <w:kern w:val="0"/>
                <w:sz w:val="20"/>
                <w:szCs w:val="20"/>
              </w:rPr>
              <w:t xml:space="preserve">6.732 </w:t>
            </w:r>
          </w:p>
        </w:tc>
      </w:tr>
    </w:tbl>
    <w:p w:rsidR="00FB1135" w:rsidRDefault="00337E8C" w:rsidP="00A42F6C">
      <w:r>
        <w:rPr>
          <w:rFonts w:hint="eastAsia"/>
        </w:rPr>
        <w:t>表：基金差异性比较</w:t>
      </w:r>
    </w:p>
    <w:p w:rsidR="004F52CA" w:rsidRDefault="00A42F6C" w:rsidP="00787CE6">
      <w:pPr>
        <w:ind w:firstLine="420"/>
      </w:pPr>
      <w:r>
        <w:rPr>
          <w:rFonts w:hint="eastAsia"/>
        </w:rPr>
        <w:t>根据</w:t>
      </w:r>
      <w:r w:rsidR="00787CE6">
        <w:rPr>
          <w:rFonts w:hint="eastAsia"/>
        </w:rPr>
        <w:t>基金的业绩来看，</w:t>
      </w:r>
      <w:r w:rsidR="004F52CA">
        <w:rPr>
          <w:rFonts w:hint="eastAsia"/>
        </w:rPr>
        <w:t>公募基金业绩表现的可</w:t>
      </w:r>
      <w:r w:rsidR="00787CE6">
        <w:rPr>
          <w:rFonts w:hint="eastAsia"/>
        </w:rPr>
        <w:t>持续较差，就基金披露持仓的业绩归因来看，大成景安短融</w:t>
      </w:r>
      <w:r w:rsidR="00787CE6">
        <w:rPr>
          <w:rFonts w:hint="eastAsia"/>
        </w:rPr>
        <w:t>A</w:t>
      </w:r>
      <w:r w:rsidR="00787CE6">
        <w:rPr>
          <w:rFonts w:hint="eastAsia"/>
        </w:rPr>
        <w:t>的稳定性较好，该基金一季度收益率</w:t>
      </w:r>
      <w:r w:rsidR="00787CE6">
        <w:rPr>
          <w:rFonts w:hint="eastAsia"/>
        </w:rPr>
        <w:t>0.9%</w:t>
      </w:r>
      <w:r w:rsidR="00787CE6">
        <w:rPr>
          <w:rFonts w:hint="eastAsia"/>
        </w:rPr>
        <w:t>，二季度收益率</w:t>
      </w:r>
      <w:r w:rsidR="00787CE6">
        <w:rPr>
          <w:rFonts w:hint="eastAsia"/>
        </w:rPr>
        <w:t>1.31%</w:t>
      </w:r>
      <w:r w:rsidR="00787CE6">
        <w:rPr>
          <w:rFonts w:hint="eastAsia"/>
        </w:rPr>
        <w:t>，三季度收益率</w:t>
      </w:r>
      <w:r w:rsidR="00787CE6">
        <w:rPr>
          <w:rFonts w:hint="eastAsia"/>
        </w:rPr>
        <w:t>2.19%</w:t>
      </w:r>
      <w:r w:rsidR="00787CE6">
        <w:rPr>
          <w:rFonts w:hint="eastAsia"/>
        </w:rPr>
        <w:t>，三个季度的净值表现均位列债基业绩排行榜的前</w:t>
      </w:r>
      <w:r w:rsidR="00787CE6">
        <w:rPr>
          <w:rFonts w:hint="eastAsia"/>
        </w:rPr>
        <w:t>10</w:t>
      </w:r>
      <w:r w:rsidR="00787CE6">
        <w:rPr>
          <w:rFonts w:hint="eastAsia"/>
        </w:rPr>
        <w:t>名，且具备较高的择券效应，投资经理</w:t>
      </w:r>
      <w:r w:rsidR="002754A3">
        <w:rPr>
          <w:rFonts w:hint="eastAsia"/>
        </w:rPr>
        <w:t>一</w:t>
      </w:r>
      <w:r w:rsidR="00787CE6">
        <w:rPr>
          <w:rFonts w:hint="eastAsia"/>
        </w:rPr>
        <w:t>季度持仓久期较高，</w:t>
      </w:r>
      <w:r w:rsidR="002754A3">
        <w:rPr>
          <w:rFonts w:hint="eastAsia"/>
        </w:rPr>
        <w:t>二</w:t>
      </w:r>
      <w:r w:rsidR="00787CE6">
        <w:rPr>
          <w:rFonts w:hint="eastAsia"/>
        </w:rPr>
        <w:t>季度非常注重久期的控制，前</w:t>
      </w:r>
      <w:r w:rsidR="00787CE6">
        <w:rPr>
          <w:rFonts w:hint="eastAsia"/>
        </w:rPr>
        <w:t>10</w:t>
      </w:r>
      <w:r w:rsidR="00787CE6">
        <w:rPr>
          <w:rFonts w:hint="eastAsia"/>
        </w:rPr>
        <w:t>大的平均持仓久期为</w:t>
      </w:r>
      <w:r w:rsidR="00787CE6">
        <w:rPr>
          <w:rFonts w:hint="eastAsia"/>
        </w:rPr>
        <w:t>0.176</w:t>
      </w:r>
      <w:r w:rsidR="00787CE6">
        <w:rPr>
          <w:rFonts w:hint="eastAsia"/>
        </w:rPr>
        <w:t>年，到了</w:t>
      </w:r>
      <w:r w:rsidR="002754A3">
        <w:rPr>
          <w:rFonts w:hint="eastAsia"/>
        </w:rPr>
        <w:t>三</w:t>
      </w:r>
      <w:r w:rsidR="00787CE6">
        <w:rPr>
          <w:rFonts w:hint="eastAsia"/>
        </w:rPr>
        <w:t>季度拉长了久期，也提高了</w:t>
      </w:r>
      <w:r w:rsidR="002754A3">
        <w:rPr>
          <w:rFonts w:hint="eastAsia"/>
        </w:rPr>
        <w:t>杠杆率，</w:t>
      </w:r>
      <w:r w:rsidR="00787CE6">
        <w:rPr>
          <w:rFonts w:hint="eastAsia"/>
        </w:rPr>
        <w:t>10</w:t>
      </w:r>
      <w:r w:rsidR="002754A3">
        <w:rPr>
          <w:rFonts w:hint="eastAsia"/>
        </w:rPr>
        <w:t>月份以来债券市场出现了大幅的调整，产品</w:t>
      </w:r>
      <w:r w:rsidR="00187B5C">
        <w:rPr>
          <w:rFonts w:hint="eastAsia"/>
        </w:rPr>
        <w:t>净值表现受到了影响</w:t>
      </w:r>
      <w:r w:rsidR="00787CE6">
        <w:rPr>
          <w:rFonts w:hint="eastAsia"/>
        </w:rPr>
        <w:t>。</w:t>
      </w:r>
    </w:p>
    <w:p w:rsidR="009D519B" w:rsidRDefault="00204E04" w:rsidP="00094988">
      <w:r>
        <w:rPr>
          <w:rFonts w:hint="eastAsia"/>
          <w:noProof/>
        </w:rPr>
        <w:drawing>
          <wp:inline distT="0" distB="0" distL="0" distR="0">
            <wp:extent cx="5274310" cy="2798378"/>
            <wp:effectExtent l="19050" t="0" r="2540" b="0"/>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274310" cy="2798378"/>
                    </a:xfrm>
                    <a:prstGeom prst="rect">
                      <a:avLst/>
                    </a:prstGeom>
                    <a:noFill/>
                    <a:ln w="9525">
                      <a:noFill/>
                      <a:miter lim="800000"/>
                      <a:headEnd/>
                      <a:tailEnd/>
                    </a:ln>
                  </pic:spPr>
                </pic:pic>
              </a:graphicData>
            </a:graphic>
          </wp:inline>
        </w:drawing>
      </w:r>
    </w:p>
    <w:p w:rsidR="00204E04" w:rsidRDefault="00204E04" w:rsidP="00094988">
      <w:r>
        <w:rPr>
          <w:rFonts w:hint="eastAsia"/>
        </w:rPr>
        <w:t>图：市场走势</w:t>
      </w:r>
    </w:p>
    <w:p w:rsidR="00204E04" w:rsidRDefault="00204E04" w:rsidP="00094988"/>
    <w:p w:rsidR="00204E04" w:rsidRDefault="00204E04" w:rsidP="00094988"/>
    <w:p w:rsidR="009D519B" w:rsidRDefault="00094988" w:rsidP="002D1BFF">
      <w:pPr>
        <w:ind w:firstLine="420"/>
      </w:pPr>
      <w:r>
        <w:rPr>
          <w:noProof/>
        </w:rPr>
        <w:drawing>
          <wp:inline distT="0" distB="0" distL="0" distR="0">
            <wp:extent cx="5773956" cy="170234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85904" cy="1705863"/>
                    </a:xfrm>
                    <a:prstGeom prst="rect">
                      <a:avLst/>
                    </a:prstGeom>
                    <a:noFill/>
                    <a:ln w="9525">
                      <a:noFill/>
                      <a:miter lim="800000"/>
                      <a:headEnd/>
                      <a:tailEnd/>
                    </a:ln>
                  </pic:spPr>
                </pic:pic>
              </a:graphicData>
            </a:graphic>
          </wp:inline>
        </w:drawing>
      </w:r>
    </w:p>
    <w:p w:rsidR="002D1BFF" w:rsidRDefault="00094988" w:rsidP="002D1BFF">
      <w:pPr>
        <w:ind w:firstLine="420"/>
        <w:rPr>
          <w:noProof/>
        </w:rPr>
      </w:pPr>
      <w:r>
        <w:rPr>
          <w:noProof/>
        </w:rPr>
        <w:lastRenderedPageBreak/>
        <w:drawing>
          <wp:inline distT="0" distB="0" distL="0" distR="0">
            <wp:extent cx="5274310" cy="858892"/>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858892"/>
                    </a:xfrm>
                    <a:prstGeom prst="rect">
                      <a:avLst/>
                    </a:prstGeom>
                    <a:noFill/>
                    <a:ln w="9525">
                      <a:noFill/>
                      <a:miter lim="800000"/>
                      <a:headEnd/>
                      <a:tailEnd/>
                    </a:ln>
                  </pic:spPr>
                </pic:pic>
              </a:graphicData>
            </a:graphic>
          </wp:inline>
        </w:drawing>
      </w:r>
    </w:p>
    <w:p w:rsidR="00094988" w:rsidRDefault="00094988" w:rsidP="00094988">
      <w:pPr>
        <w:ind w:firstLine="420"/>
        <w:rPr>
          <w:noProof/>
        </w:rPr>
      </w:pPr>
      <w:r>
        <w:rPr>
          <w:rFonts w:hint="eastAsia"/>
          <w:noProof/>
        </w:rPr>
        <w:t>图：公募基金一季度业绩前</w:t>
      </w:r>
      <w:r>
        <w:rPr>
          <w:rFonts w:hint="eastAsia"/>
          <w:noProof/>
        </w:rPr>
        <w:t>10</w:t>
      </w:r>
      <w:r>
        <w:rPr>
          <w:rFonts w:hint="eastAsia"/>
          <w:noProof/>
        </w:rPr>
        <w:t>名绩效归因</w:t>
      </w:r>
    </w:p>
    <w:p w:rsidR="00094988" w:rsidRPr="00094988" w:rsidRDefault="00094988" w:rsidP="002D1BFF">
      <w:pPr>
        <w:ind w:firstLine="420"/>
        <w:rPr>
          <w:noProof/>
        </w:rPr>
      </w:pPr>
    </w:p>
    <w:p w:rsidR="006722D7" w:rsidRDefault="006722D7" w:rsidP="002D1BFF">
      <w:pPr>
        <w:ind w:firstLine="420"/>
        <w:rPr>
          <w:noProof/>
        </w:rPr>
      </w:pPr>
      <w:r>
        <w:rPr>
          <w:rFonts w:hint="eastAsia"/>
          <w:noProof/>
        </w:rPr>
        <w:drawing>
          <wp:inline distT="0" distB="0" distL="0" distR="0">
            <wp:extent cx="5788362" cy="2147105"/>
            <wp:effectExtent l="19050" t="0" r="283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804203" cy="2152981"/>
                    </a:xfrm>
                    <a:prstGeom prst="rect">
                      <a:avLst/>
                    </a:prstGeom>
                    <a:noFill/>
                    <a:ln w="9525">
                      <a:noFill/>
                      <a:miter lim="800000"/>
                      <a:headEnd/>
                      <a:tailEnd/>
                    </a:ln>
                  </pic:spPr>
                </pic:pic>
              </a:graphicData>
            </a:graphic>
          </wp:inline>
        </w:drawing>
      </w:r>
    </w:p>
    <w:p w:rsidR="00094988" w:rsidRPr="00094988" w:rsidRDefault="00094988" w:rsidP="00094988">
      <w:pPr>
        <w:rPr>
          <w:noProof/>
        </w:rPr>
      </w:pPr>
    </w:p>
    <w:p w:rsidR="006722D7" w:rsidRPr="007444A3" w:rsidRDefault="007444A3" w:rsidP="007444A3">
      <w:pPr>
        <w:ind w:firstLineChars="300" w:firstLine="630"/>
        <w:rPr>
          <w:noProof/>
        </w:rPr>
      </w:pPr>
      <w:r>
        <w:rPr>
          <w:rFonts w:hint="eastAsia"/>
          <w:noProof/>
        </w:rPr>
        <w:drawing>
          <wp:inline distT="0" distB="0" distL="0" distR="0">
            <wp:extent cx="5274310" cy="191149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1911499"/>
                    </a:xfrm>
                    <a:prstGeom prst="rect">
                      <a:avLst/>
                    </a:prstGeom>
                    <a:noFill/>
                    <a:ln w="9525">
                      <a:noFill/>
                      <a:miter lim="800000"/>
                      <a:headEnd/>
                      <a:tailEnd/>
                    </a:ln>
                  </pic:spPr>
                </pic:pic>
              </a:graphicData>
            </a:graphic>
          </wp:inline>
        </w:drawing>
      </w:r>
    </w:p>
    <w:p w:rsidR="007444A3" w:rsidRDefault="007444A3" w:rsidP="007444A3">
      <w:pPr>
        <w:ind w:firstLine="420"/>
        <w:rPr>
          <w:noProof/>
        </w:rPr>
      </w:pPr>
      <w:r>
        <w:rPr>
          <w:rFonts w:hint="eastAsia"/>
          <w:noProof/>
        </w:rPr>
        <w:t>图：公募基金二季度业绩前</w:t>
      </w:r>
      <w:r>
        <w:rPr>
          <w:rFonts w:hint="eastAsia"/>
          <w:noProof/>
        </w:rPr>
        <w:t>10</w:t>
      </w:r>
      <w:r>
        <w:rPr>
          <w:rFonts w:hint="eastAsia"/>
          <w:noProof/>
        </w:rPr>
        <w:t>名绩效归因</w:t>
      </w:r>
    </w:p>
    <w:p w:rsidR="006722D7" w:rsidRPr="007444A3" w:rsidRDefault="006722D7" w:rsidP="002D1BFF">
      <w:pPr>
        <w:ind w:firstLine="420"/>
        <w:rPr>
          <w:noProof/>
        </w:rPr>
      </w:pPr>
    </w:p>
    <w:p w:rsidR="006722D7" w:rsidRDefault="006722D7" w:rsidP="002D1BFF">
      <w:pPr>
        <w:ind w:firstLine="420"/>
      </w:pPr>
      <w:r>
        <w:rPr>
          <w:noProof/>
        </w:rPr>
        <w:drawing>
          <wp:inline distT="0" distB="0" distL="0" distR="0">
            <wp:extent cx="5548143" cy="233295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556428" cy="2336435"/>
                    </a:xfrm>
                    <a:prstGeom prst="rect">
                      <a:avLst/>
                    </a:prstGeom>
                    <a:noFill/>
                    <a:ln w="9525">
                      <a:noFill/>
                      <a:miter lim="800000"/>
                      <a:headEnd/>
                      <a:tailEnd/>
                    </a:ln>
                  </pic:spPr>
                </pic:pic>
              </a:graphicData>
            </a:graphic>
          </wp:inline>
        </w:drawing>
      </w:r>
    </w:p>
    <w:p w:rsidR="007444A3" w:rsidRDefault="007444A3" w:rsidP="002D1BFF">
      <w:pPr>
        <w:ind w:firstLine="420"/>
      </w:pPr>
      <w:r>
        <w:rPr>
          <w:rFonts w:hint="eastAsia"/>
          <w:noProof/>
        </w:rPr>
        <w:lastRenderedPageBreak/>
        <w:drawing>
          <wp:inline distT="0" distB="0" distL="0" distR="0">
            <wp:extent cx="5274310" cy="182317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274310" cy="1823177"/>
                    </a:xfrm>
                    <a:prstGeom prst="rect">
                      <a:avLst/>
                    </a:prstGeom>
                    <a:noFill/>
                    <a:ln w="9525">
                      <a:noFill/>
                      <a:miter lim="800000"/>
                      <a:headEnd/>
                      <a:tailEnd/>
                    </a:ln>
                  </pic:spPr>
                </pic:pic>
              </a:graphicData>
            </a:graphic>
          </wp:inline>
        </w:drawing>
      </w:r>
    </w:p>
    <w:p w:rsidR="007444A3" w:rsidRDefault="006722D7" w:rsidP="007444A3">
      <w:pPr>
        <w:ind w:firstLine="420"/>
        <w:rPr>
          <w:noProof/>
        </w:rPr>
      </w:pPr>
      <w:r>
        <w:rPr>
          <w:rFonts w:hint="eastAsia"/>
        </w:rPr>
        <w:t>表：</w:t>
      </w:r>
      <w:r w:rsidR="007444A3">
        <w:rPr>
          <w:rFonts w:hint="eastAsia"/>
        </w:rPr>
        <w:t>公</w:t>
      </w:r>
      <w:r w:rsidR="007444A3">
        <w:rPr>
          <w:rFonts w:hint="eastAsia"/>
          <w:noProof/>
        </w:rPr>
        <w:t>募基金三季度业绩前</w:t>
      </w:r>
      <w:r w:rsidR="007444A3">
        <w:rPr>
          <w:rFonts w:hint="eastAsia"/>
          <w:noProof/>
        </w:rPr>
        <w:t>10</w:t>
      </w:r>
      <w:r w:rsidR="007444A3">
        <w:rPr>
          <w:rFonts w:hint="eastAsia"/>
          <w:noProof/>
        </w:rPr>
        <w:t>名绩效归因</w:t>
      </w:r>
    </w:p>
    <w:p w:rsidR="001D34A5" w:rsidRDefault="001D34A5" w:rsidP="001D34A5">
      <w:pPr>
        <w:rPr>
          <w:b/>
          <w:noProof/>
        </w:rPr>
      </w:pPr>
      <w:r>
        <w:rPr>
          <w:rFonts w:hint="eastAsia"/>
          <w:noProof/>
        </w:rPr>
        <w:tab/>
      </w:r>
      <w:r w:rsidRPr="00187B5C">
        <w:rPr>
          <w:rFonts w:hint="eastAsia"/>
          <w:b/>
          <w:noProof/>
        </w:rPr>
        <w:t>2.</w:t>
      </w:r>
      <w:r w:rsidR="0082088C">
        <w:rPr>
          <w:rFonts w:hint="eastAsia"/>
          <w:b/>
          <w:noProof/>
        </w:rPr>
        <w:t>2</w:t>
      </w:r>
      <w:r w:rsidRPr="00187B5C">
        <w:rPr>
          <w:rFonts w:hint="eastAsia"/>
          <w:b/>
          <w:noProof/>
        </w:rPr>
        <w:t xml:space="preserve">  </w:t>
      </w:r>
      <w:r w:rsidRPr="00187B5C">
        <w:rPr>
          <w:rFonts w:hint="eastAsia"/>
          <w:b/>
          <w:noProof/>
        </w:rPr>
        <w:t>利用多因子回归进行业绩归因</w:t>
      </w:r>
    </w:p>
    <w:p w:rsidR="004809A5" w:rsidRDefault="004809A5" w:rsidP="004809A5">
      <w:pPr>
        <w:ind w:firstLine="420"/>
      </w:pPr>
      <w:r>
        <w:rPr>
          <w:rFonts w:hint="eastAsia"/>
        </w:rPr>
        <w:t>由于基金所披露的持仓债券市值整体占比较小（基本在</w:t>
      </w:r>
      <w:r>
        <w:rPr>
          <w:rFonts w:hint="eastAsia"/>
        </w:rPr>
        <w:t>50%</w:t>
      </w:r>
      <w:r>
        <w:rPr>
          <w:rFonts w:hint="eastAsia"/>
        </w:rPr>
        <w:t>以下），利用多因子回归的办法来对做辅助性的分析</w:t>
      </w:r>
      <w:r>
        <w:rPr>
          <w:rFonts w:hint="eastAsia"/>
        </w:rPr>
        <w:t>,</w:t>
      </w:r>
      <w:r w:rsidR="00B51709">
        <w:rPr>
          <w:rFonts w:hint="eastAsia"/>
        </w:rPr>
        <w:t>所采用的是基金的累计净值收益率数据，由于赎回费计入净值，这种处理方法会受到赎回费效应的干扰。结果显示，</w:t>
      </w:r>
      <w:r w:rsidR="00B51709">
        <w:rPr>
          <w:rFonts w:hint="eastAsia"/>
        </w:rPr>
        <w:t xml:space="preserve">shift </w:t>
      </w:r>
      <w:r w:rsidR="00B51709">
        <w:rPr>
          <w:rFonts w:hint="eastAsia"/>
        </w:rPr>
        <w:t>、</w:t>
      </w:r>
      <w:r w:rsidR="00B51709">
        <w:rPr>
          <w:rFonts w:hint="eastAsia"/>
        </w:rPr>
        <w:t xml:space="preserve">twist </w:t>
      </w:r>
      <w:r w:rsidR="00B51709">
        <w:rPr>
          <w:rFonts w:hint="eastAsia"/>
        </w:rPr>
        <w:t>、</w:t>
      </w:r>
      <w:r w:rsidR="00B51709">
        <w:rPr>
          <w:rFonts w:hint="eastAsia"/>
        </w:rPr>
        <w:t xml:space="preserve">credit </w:t>
      </w:r>
      <w:r w:rsidR="00B51709">
        <w:rPr>
          <w:rFonts w:hint="eastAsia"/>
        </w:rPr>
        <w:t>因子对基金业绩的影响弹性相当，但方程的整体回归效果差异较大</w:t>
      </w:r>
      <w:r w:rsidR="009E356F">
        <w:rPr>
          <w:rFonts w:hint="eastAsia"/>
        </w:rPr>
        <w:t>，</w:t>
      </w:r>
      <w:r w:rsidR="009E356F">
        <w:rPr>
          <w:rFonts w:hint="eastAsia"/>
        </w:rPr>
        <w:t>R</w:t>
      </w:r>
      <w:r w:rsidR="009E356F">
        <w:rPr>
          <w:rFonts w:hint="eastAsia"/>
        </w:rPr>
        <w:t>方最大有</w:t>
      </w:r>
      <w:r w:rsidR="00224DBA">
        <w:rPr>
          <w:rFonts w:hint="eastAsia"/>
        </w:rPr>
        <w:t>58</w:t>
      </w:r>
      <w:r w:rsidR="009E356F">
        <w:rPr>
          <w:rFonts w:hint="eastAsia"/>
        </w:rPr>
        <w:t>%</w:t>
      </w:r>
      <w:r w:rsidR="009E356F">
        <w:rPr>
          <w:rFonts w:hint="eastAsia"/>
        </w:rPr>
        <w:t>，最小仅有</w:t>
      </w:r>
      <w:r w:rsidR="009E356F">
        <w:rPr>
          <w:rFonts w:hint="eastAsia"/>
        </w:rPr>
        <w:t>0.1%(</w:t>
      </w:r>
      <w:r w:rsidR="009E356F">
        <w:rPr>
          <w:rFonts w:hint="eastAsia"/>
        </w:rPr>
        <w:t>该基金受赎回费影响很大</w:t>
      </w:r>
      <w:r w:rsidR="009E356F">
        <w:rPr>
          <w:rFonts w:hint="eastAsia"/>
        </w:rPr>
        <w:t>)</w:t>
      </w:r>
      <w:r w:rsidR="009E356F">
        <w:rPr>
          <w:rFonts w:hint="eastAsia"/>
        </w:rPr>
        <w:t>，这与股票多因子的回归效果差异较大，主要因为债券的影响因素更加复杂。</w:t>
      </w:r>
    </w:p>
    <w:p w:rsidR="002B1F1D" w:rsidRDefault="00216DDD" w:rsidP="004809A5">
      <w:pPr>
        <w:ind w:firstLine="420"/>
      </w:pPr>
      <w:r>
        <w:rPr>
          <w:rFonts w:hint="eastAsia"/>
        </w:rPr>
        <w:t>整体来看，基金中年化收益率最高的为</w:t>
      </w:r>
      <w:r w:rsidRPr="00216DDD">
        <w:rPr>
          <w:rFonts w:hint="eastAsia"/>
        </w:rPr>
        <w:t>大成景安短融</w:t>
      </w:r>
      <w:r w:rsidRPr="00216DDD">
        <w:rPr>
          <w:rFonts w:hint="eastAsia"/>
        </w:rPr>
        <w:t>A</w:t>
      </w:r>
      <w:r>
        <w:rPr>
          <w:rFonts w:hint="eastAsia"/>
        </w:rPr>
        <w:t>，前三季度收益率年化为</w:t>
      </w:r>
      <w:r>
        <w:rPr>
          <w:rFonts w:hint="eastAsia"/>
        </w:rPr>
        <w:t>5.91%</w:t>
      </w:r>
      <w:r>
        <w:rPr>
          <w:rFonts w:hint="eastAsia"/>
        </w:rPr>
        <w:t>，可见今年</w:t>
      </w:r>
      <w:r w:rsidR="001C1EB7">
        <w:rPr>
          <w:rFonts w:hint="eastAsia"/>
        </w:rPr>
        <w:t>公募</w:t>
      </w:r>
      <w:r>
        <w:rPr>
          <w:rFonts w:hint="eastAsia"/>
        </w:rPr>
        <w:t>债券基金的整体表现不佳。</w:t>
      </w:r>
      <w:r w:rsidR="001C1EB7">
        <w:rPr>
          <w:rFonts w:hint="eastAsia"/>
        </w:rPr>
        <w:t>对前三季度中在每季度业绩排名前</w:t>
      </w:r>
      <w:r w:rsidR="001C1EB7">
        <w:rPr>
          <w:rFonts w:hint="eastAsia"/>
        </w:rPr>
        <w:t>10</w:t>
      </w:r>
      <w:r w:rsidR="001C1EB7">
        <w:rPr>
          <w:rFonts w:hint="eastAsia"/>
        </w:rPr>
        <w:t>的基金组成备选基金池，进行因子归因，</w:t>
      </w:r>
      <w:r w:rsidR="002B1F1D">
        <w:rPr>
          <w:rFonts w:hint="eastAsia"/>
        </w:rPr>
        <w:t>可以看到除了受赎回费影响较大的</w:t>
      </w:r>
      <w:r w:rsidR="002B1F1D" w:rsidRPr="002B1F1D">
        <w:rPr>
          <w:rFonts w:hint="eastAsia"/>
        </w:rPr>
        <w:t>广发集富纯债</w:t>
      </w:r>
      <w:r w:rsidR="002B1F1D" w:rsidRPr="002B1F1D">
        <w:rPr>
          <w:rFonts w:hint="eastAsia"/>
        </w:rPr>
        <w:t>A</w:t>
      </w:r>
      <w:r w:rsidR="00C7078B">
        <w:rPr>
          <w:rFonts w:hint="eastAsia"/>
        </w:rPr>
        <w:t>，其他所有基金的</w:t>
      </w:r>
      <w:r w:rsidR="002B1F1D">
        <w:rPr>
          <w:rFonts w:hint="eastAsia"/>
        </w:rPr>
        <w:t xml:space="preserve">shift_factor </w:t>
      </w:r>
      <w:r w:rsidR="00C7078B">
        <w:rPr>
          <w:rFonts w:hint="eastAsia"/>
        </w:rPr>
        <w:t>因子均显著</w:t>
      </w:r>
      <w:r w:rsidR="002B1F1D">
        <w:rPr>
          <w:rFonts w:hint="eastAsia"/>
        </w:rPr>
        <w:t>，</w:t>
      </w:r>
      <w:r w:rsidR="002B1F1D">
        <w:rPr>
          <w:rFonts w:hint="eastAsia"/>
        </w:rPr>
        <w:t xml:space="preserve">shift_factor </w:t>
      </w:r>
      <w:r w:rsidR="002B1F1D">
        <w:rPr>
          <w:rFonts w:hint="eastAsia"/>
        </w:rPr>
        <w:t>系数的大小</w:t>
      </w:r>
      <w:r w:rsidR="00C7078B">
        <w:rPr>
          <w:rFonts w:hint="eastAsia"/>
        </w:rPr>
        <w:t>近似</w:t>
      </w:r>
      <w:r w:rsidR="002B1F1D">
        <w:rPr>
          <w:rFonts w:hint="eastAsia"/>
        </w:rPr>
        <w:t>反映了持券久期的长短</w:t>
      </w:r>
      <w:r w:rsidR="00C7078B">
        <w:rPr>
          <w:rFonts w:hint="eastAsia"/>
        </w:rPr>
        <w:t>，当前大多数基金的持仓久期都在</w:t>
      </w:r>
      <w:r w:rsidR="00C7078B">
        <w:rPr>
          <w:rFonts w:hint="eastAsia"/>
        </w:rPr>
        <w:t>3</w:t>
      </w:r>
      <w:r w:rsidR="00C7078B">
        <w:rPr>
          <w:rFonts w:hint="eastAsia"/>
        </w:rPr>
        <w:t>年以内</w:t>
      </w:r>
      <w:r w:rsidR="002B44E4">
        <w:rPr>
          <w:rFonts w:hint="eastAsia"/>
        </w:rPr>
        <w:t>；有</w:t>
      </w:r>
      <w:r w:rsidR="002B44E4">
        <w:rPr>
          <w:rFonts w:hint="eastAsia"/>
        </w:rPr>
        <w:t>6</w:t>
      </w:r>
      <w:r w:rsidR="002B44E4">
        <w:rPr>
          <w:rFonts w:hint="eastAsia"/>
        </w:rPr>
        <w:t>只基金在</w:t>
      </w:r>
      <w:r w:rsidR="002B44E4">
        <w:rPr>
          <w:rFonts w:hint="eastAsia"/>
        </w:rPr>
        <w:t>twist_factor</w:t>
      </w:r>
      <w:r w:rsidR="002B44E4">
        <w:rPr>
          <w:rFonts w:hint="eastAsia"/>
        </w:rPr>
        <w:t>上比较显著，</w:t>
      </w:r>
      <w:r w:rsidR="002B44E4">
        <w:rPr>
          <w:rFonts w:hint="eastAsia"/>
        </w:rPr>
        <w:t>twist_factor</w:t>
      </w:r>
      <w:r w:rsidR="002B44E4">
        <w:rPr>
          <w:rFonts w:hint="eastAsia"/>
        </w:rPr>
        <w:t>反映了</w:t>
      </w:r>
      <w:r w:rsidR="00C4143C">
        <w:rPr>
          <w:rFonts w:hint="eastAsia"/>
        </w:rPr>
        <w:t>基金在长短债券持仓上的分化程度，</w:t>
      </w:r>
      <w:r w:rsidR="00C4143C" w:rsidRPr="00BE3738">
        <w:rPr>
          <w:rFonts w:hint="eastAsia"/>
          <w:highlight w:val="yellow"/>
        </w:rPr>
        <w:t>中海纯债</w:t>
      </w:r>
      <w:r w:rsidR="00C4143C" w:rsidRPr="00BE3738">
        <w:rPr>
          <w:rFonts w:hint="eastAsia"/>
          <w:highlight w:val="yellow"/>
        </w:rPr>
        <w:t>A</w:t>
      </w:r>
      <w:r w:rsidR="00C4143C" w:rsidRPr="00BE3738">
        <w:rPr>
          <w:rFonts w:hint="eastAsia"/>
          <w:highlight w:val="yellow"/>
        </w:rPr>
        <w:t>、汇添富实业债</w:t>
      </w:r>
      <w:r w:rsidR="002432D8" w:rsidRPr="00BE3738">
        <w:rPr>
          <w:rFonts w:hint="eastAsia"/>
          <w:highlight w:val="yellow"/>
        </w:rPr>
        <w:t>、鹏华产业债</w:t>
      </w:r>
      <w:r w:rsidR="00C4143C" w:rsidRPr="00C4143C">
        <w:rPr>
          <w:rFonts w:hint="eastAsia"/>
        </w:rPr>
        <w:t>A</w:t>
      </w:r>
      <w:r w:rsidR="002432D8">
        <w:rPr>
          <w:rFonts w:hint="eastAsia"/>
        </w:rPr>
        <w:t>三</w:t>
      </w:r>
      <w:r w:rsidR="00C4143C">
        <w:rPr>
          <w:rFonts w:hint="eastAsia"/>
        </w:rPr>
        <w:t>只产品对长久期债的持仓更为明显</w:t>
      </w:r>
      <w:r w:rsidR="00C4143C" w:rsidRPr="00BE3738">
        <w:rPr>
          <w:rFonts w:hint="eastAsia"/>
          <w:highlight w:val="yellow"/>
        </w:rPr>
        <w:t xml:space="preserve">, </w:t>
      </w:r>
      <w:r w:rsidR="00C4143C" w:rsidRPr="00BE3738">
        <w:rPr>
          <w:rFonts w:hint="eastAsia"/>
          <w:highlight w:val="yellow"/>
        </w:rPr>
        <w:t>万家鑫璟纯债</w:t>
      </w:r>
      <w:r w:rsidR="00C4143C" w:rsidRPr="00BE3738">
        <w:rPr>
          <w:rFonts w:hint="eastAsia"/>
          <w:highlight w:val="yellow"/>
        </w:rPr>
        <w:t>A</w:t>
      </w:r>
      <w:r w:rsidR="00C4143C" w:rsidRPr="00BE3738">
        <w:rPr>
          <w:rFonts w:hint="eastAsia"/>
          <w:highlight w:val="yellow"/>
        </w:rPr>
        <w:t>、金鹰添益纯债</w:t>
      </w:r>
      <w:r w:rsidR="002432D8">
        <w:rPr>
          <w:rFonts w:hint="eastAsia"/>
        </w:rPr>
        <w:t>更加偏好短久期债，偏好长久期债的三只基金历史回撤也是比较大的；有</w:t>
      </w:r>
      <w:r w:rsidR="002432D8">
        <w:rPr>
          <w:rFonts w:hint="eastAsia"/>
        </w:rPr>
        <w:t xml:space="preserve"> 8</w:t>
      </w:r>
      <w:r w:rsidR="002432D8">
        <w:rPr>
          <w:rFonts w:hint="eastAsia"/>
        </w:rPr>
        <w:t>只基金在</w:t>
      </w:r>
      <w:r w:rsidR="002432D8">
        <w:rPr>
          <w:rFonts w:hint="eastAsia"/>
        </w:rPr>
        <w:t>credit_factor</w:t>
      </w:r>
      <w:r w:rsidR="002432D8">
        <w:rPr>
          <w:rFonts w:hint="eastAsia"/>
        </w:rPr>
        <w:t>上比较显著，</w:t>
      </w:r>
      <w:r w:rsidR="002432D8">
        <w:rPr>
          <w:rFonts w:hint="eastAsia"/>
        </w:rPr>
        <w:t>credit_factor</w:t>
      </w:r>
      <w:r w:rsidR="00AE3D06">
        <w:rPr>
          <w:rFonts w:hint="eastAsia"/>
        </w:rPr>
        <w:t>反映了基金对债券信用的偏好</w:t>
      </w:r>
      <w:r w:rsidR="009C4976">
        <w:rPr>
          <w:rFonts w:hint="eastAsia"/>
        </w:rPr>
        <w:t>,</w:t>
      </w:r>
      <w:r w:rsidR="009C4976" w:rsidRPr="009C4976">
        <w:rPr>
          <w:rFonts w:hint="eastAsia"/>
        </w:rPr>
        <w:t xml:space="preserve"> </w:t>
      </w:r>
      <w:r w:rsidR="009C4976" w:rsidRPr="00BE3738">
        <w:rPr>
          <w:rFonts w:hint="eastAsia"/>
          <w:highlight w:val="yellow"/>
        </w:rPr>
        <w:t>信诚优质纯债</w:t>
      </w:r>
      <w:r w:rsidR="009C4976" w:rsidRPr="00BE3738">
        <w:rPr>
          <w:rFonts w:hint="eastAsia"/>
          <w:highlight w:val="yellow"/>
        </w:rPr>
        <w:t>A</w:t>
      </w:r>
      <w:r w:rsidR="009C4976" w:rsidRPr="00BE3738">
        <w:rPr>
          <w:rFonts w:hint="eastAsia"/>
          <w:highlight w:val="yellow"/>
        </w:rPr>
        <w:t>、安信目标收益</w:t>
      </w:r>
      <w:r w:rsidR="009C4976" w:rsidRPr="00BE3738">
        <w:rPr>
          <w:rFonts w:hint="eastAsia"/>
          <w:highlight w:val="yellow"/>
        </w:rPr>
        <w:t>A</w:t>
      </w:r>
      <w:r w:rsidR="009C4976" w:rsidRPr="00BE3738">
        <w:rPr>
          <w:rFonts w:hint="eastAsia"/>
          <w:highlight w:val="yellow"/>
        </w:rPr>
        <w:t>、鑫元鸿利、大成景安短融</w:t>
      </w:r>
      <w:r w:rsidR="009C4976" w:rsidRPr="00BE3738">
        <w:rPr>
          <w:rFonts w:hint="eastAsia"/>
          <w:highlight w:val="yellow"/>
        </w:rPr>
        <w:t>A</w:t>
      </w:r>
      <w:r w:rsidR="00BE3738">
        <w:rPr>
          <w:rFonts w:hint="eastAsia"/>
        </w:rPr>
        <w:t>都是持有一定</w:t>
      </w:r>
      <w:r w:rsidR="009C4976">
        <w:rPr>
          <w:rFonts w:hint="eastAsia"/>
        </w:rPr>
        <w:t>AA</w:t>
      </w:r>
      <w:r w:rsidR="00BE3738">
        <w:rPr>
          <w:rFonts w:hint="eastAsia"/>
        </w:rPr>
        <w:t>债的仓位的。</w:t>
      </w:r>
    </w:p>
    <w:p w:rsidR="002B1F1D" w:rsidRDefault="002B1F1D" w:rsidP="002B1F1D"/>
    <w:p w:rsidR="00BE3738" w:rsidRDefault="002B1F1D" w:rsidP="00BE3738">
      <w:pPr>
        <w:ind w:firstLine="420"/>
      </w:pPr>
      <w:r w:rsidRPr="002B1F1D">
        <w:rPr>
          <w:noProof/>
        </w:rPr>
        <w:drawing>
          <wp:inline distT="0" distB="0" distL="0" distR="0">
            <wp:extent cx="4981575" cy="2962275"/>
            <wp:effectExtent l="19050" t="0" r="9525" b="0"/>
            <wp:docPr id="1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1F1D" w:rsidRDefault="002B1F1D" w:rsidP="004809A5">
      <w:pPr>
        <w:ind w:firstLine="420"/>
      </w:pPr>
      <w:r>
        <w:rPr>
          <w:rFonts w:hint="eastAsia"/>
        </w:rPr>
        <w:lastRenderedPageBreak/>
        <w:t>图：</w:t>
      </w:r>
      <w:r w:rsidR="00251C1F">
        <w:rPr>
          <w:rFonts w:hint="eastAsia"/>
        </w:rPr>
        <w:t>shift_factor</w:t>
      </w:r>
    </w:p>
    <w:p w:rsidR="002B1F1D" w:rsidRDefault="00C4143C" w:rsidP="004809A5">
      <w:pPr>
        <w:ind w:firstLine="420"/>
      </w:pPr>
      <w:r w:rsidRPr="00C4143C">
        <w:rPr>
          <w:noProof/>
        </w:rPr>
        <w:drawing>
          <wp:inline distT="0" distB="0" distL="0" distR="0">
            <wp:extent cx="5039811" cy="2917784"/>
            <wp:effectExtent l="19050" t="0" r="27489" b="0"/>
            <wp:docPr id="1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B1F1D" w:rsidRDefault="00C4143C" w:rsidP="004809A5">
      <w:pPr>
        <w:ind w:firstLine="420"/>
      </w:pPr>
      <w:r>
        <w:rPr>
          <w:rFonts w:hint="eastAsia"/>
        </w:rPr>
        <w:t>图：</w:t>
      </w:r>
      <w:r>
        <w:rPr>
          <w:rFonts w:hint="eastAsia"/>
        </w:rPr>
        <w:t>twist_factor</w:t>
      </w:r>
    </w:p>
    <w:p w:rsidR="00C4143C" w:rsidRDefault="00AE3D06" w:rsidP="004809A5">
      <w:pPr>
        <w:ind w:firstLine="420"/>
      </w:pPr>
      <w:r w:rsidRPr="00AE3D06">
        <w:rPr>
          <w:noProof/>
        </w:rPr>
        <w:drawing>
          <wp:inline distT="0" distB="0" distL="0" distR="0">
            <wp:extent cx="5274310" cy="2675003"/>
            <wp:effectExtent l="19050" t="0" r="21590" b="0"/>
            <wp:docPr id="1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4143C" w:rsidRDefault="00AE3D06" w:rsidP="004809A5">
      <w:pPr>
        <w:ind w:firstLine="420"/>
      </w:pPr>
      <w:r>
        <w:rPr>
          <w:rFonts w:hint="eastAsia"/>
        </w:rPr>
        <w:t>图：</w:t>
      </w:r>
      <w:r>
        <w:rPr>
          <w:rFonts w:hint="eastAsia"/>
        </w:rPr>
        <w:t>credit</w:t>
      </w:r>
      <w:r w:rsidR="009C4976">
        <w:rPr>
          <w:rFonts w:hint="eastAsia"/>
        </w:rPr>
        <w:t>_factor</w:t>
      </w:r>
    </w:p>
    <w:p w:rsidR="00C4143C" w:rsidRDefault="00BE3738" w:rsidP="004809A5">
      <w:pPr>
        <w:ind w:firstLine="420"/>
      </w:pPr>
      <w:r w:rsidRPr="00BE3738">
        <w:rPr>
          <w:noProof/>
        </w:rPr>
        <w:lastRenderedPageBreak/>
        <w:drawing>
          <wp:inline distT="0" distB="0" distL="0" distR="0">
            <wp:extent cx="4569589" cy="2748987"/>
            <wp:effectExtent l="19050" t="0" r="21461" b="0"/>
            <wp:docPr id="1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E3738" w:rsidRDefault="00BE3738" w:rsidP="004809A5">
      <w:pPr>
        <w:ind w:firstLine="420"/>
      </w:pPr>
    </w:p>
    <w:p w:rsidR="00C4143C" w:rsidRDefault="00BE3738" w:rsidP="004809A5">
      <w:pPr>
        <w:ind w:firstLine="420"/>
      </w:pPr>
      <w:r>
        <w:rPr>
          <w:rFonts w:hint="eastAsia"/>
        </w:rPr>
        <w:t>图：</w:t>
      </w:r>
      <w:r>
        <w:rPr>
          <w:rFonts w:hint="eastAsia"/>
        </w:rPr>
        <w:t>R</w:t>
      </w:r>
      <w:r>
        <w:rPr>
          <w:rFonts w:hint="eastAsia"/>
        </w:rPr>
        <w:t>方分布</w:t>
      </w:r>
    </w:p>
    <w:p w:rsidR="00216DDD" w:rsidRDefault="00251C1F" w:rsidP="00224DBA">
      <w:pPr>
        <w:ind w:firstLine="420"/>
      </w:pPr>
      <w:r>
        <w:rPr>
          <w:rFonts w:hint="eastAsia"/>
        </w:rPr>
        <w:t>当前看半年市场依旧存在较大的不确定性，监管的态度也没有明朗，但市场情绪已经基本稳定下来，因此当前的债券策略为，</w:t>
      </w:r>
      <w:r w:rsidR="00224DBA">
        <w:rPr>
          <w:rFonts w:hint="eastAsia"/>
        </w:rPr>
        <w:t>控制信用久期的情况下，利用信用</w:t>
      </w:r>
      <w:r>
        <w:rPr>
          <w:rFonts w:hint="eastAsia"/>
        </w:rPr>
        <w:t>债做债底，博利率的波段。在基金的筛选上</w:t>
      </w:r>
    </w:p>
    <w:p w:rsidR="00107D65" w:rsidRDefault="00107D65" w:rsidP="00107D65"/>
    <w:p w:rsidR="00251C1F" w:rsidRDefault="00596D7D" w:rsidP="00224DBA">
      <w:pPr>
        <w:ind w:firstLine="420"/>
      </w:pPr>
      <w:r>
        <w:rPr>
          <w:rFonts w:hint="eastAsia"/>
        </w:rPr>
        <w:t>集合</w:t>
      </w:r>
      <w:r>
        <w:rPr>
          <w:rFonts w:hint="eastAsia"/>
        </w:rPr>
        <w:t>1</w:t>
      </w:r>
      <w:r w:rsidR="00251C1F">
        <w:rPr>
          <w:rFonts w:hint="eastAsia"/>
        </w:rPr>
        <w:t>：</w:t>
      </w:r>
      <w:r w:rsidR="00251C1F">
        <w:rPr>
          <w:rFonts w:hint="eastAsia"/>
        </w:rPr>
        <w:t xml:space="preserve"> </w:t>
      </w:r>
      <w:r w:rsidR="00251C1F">
        <w:rPr>
          <w:rFonts w:hint="eastAsia"/>
        </w:rPr>
        <w:t>低回撤</w:t>
      </w:r>
      <w:r w:rsidR="00107D65">
        <w:rPr>
          <w:rFonts w:hint="eastAsia"/>
        </w:rPr>
        <w:t>(0.5%)</w:t>
      </w:r>
      <w:r w:rsidR="00251C1F">
        <w:rPr>
          <w:rFonts w:hint="eastAsia"/>
        </w:rPr>
        <w:t>+</w:t>
      </w:r>
      <w:r w:rsidR="00251C1F">
        <w:rPr>
          <w:rFonts w:hint="eastAsia"/>
        </w:rPr>
        <w:t>偏好</w:t>
      </w:r>
      <w:r w:rsidR="00251C1F">
        <w:rPr>
          <w:rFonts w:hint="eastAsia"/>
        </w:rPr>
        <w:t>AA</w:t>
      </w:r>
      <w:r w:rsidR="00251C1F">
        <w:rPr>
          <w:rFonts w:hint="eastAsia"/>
        </w:rPr>
        <w:t>债</w:t>
      </w:r>
      <w:r>
        <w:rPr>
          <w:rFonts w:hint="eastAsia"/>
        </w:rPr>
        <w:t>以及风格不显著的基金</w:t>
      </w:r>
      <w:r>
        <w:rPr>
          <w:rFonts w:hint="eastAsia"/>
        </w:rPr>
        <w:t xml:space="preserve"> </w:t>
      </w:r>
      <w:r w:rsidR="00251C1F">
        <w:rPr>
          <w:rFonts w:hint="eastAsia"/>
        </w:rPr>
        <w:t>或者偏好</w:t>
      </w:r>
      <w:r w:rsidR="00251C1F">
        <w:rPr>
          <w:rFonts w:hint="eastAsia"/>
        </w:rPr>
        <w:t>AAA</w:t>
      </w:r>
      <w:r w:rsidR="00251C1F">
        <w:rPr>
          <w:rFonts w:hint="eastAsia"/>
        </w:rPr>
        <w:t>债</w:t>
      </w:r>
      <w:r>
        <w:rPr>
          <w:rFonts w:hint="eastAsia"/>
        </w:rPr>
        <w:t>的基金</w:t>
      </w:r>
    </w:p>
    <w:p w:rsidR="004B5EBF" w:rsidRDefault="00596D7D" w:rsidP="009E356F">
      <w:r>
        <w:rPr>
          <w:rFonts w:hint="eastAsia"/>
        </w:rPr>
        <w:t xml:space="preserve">    </w:t>
      </w:r>
      <w:r>
        <w:rPr>
          <w:rFonts w:hint="eastAsia"/>
        </w:rPr>
        <w:t>集合</w:t>
      </w:r>
      <w:r>
        <w:rPr>
          <w:rFonts w:hint="eastAsia"/>
        </w:rPr>
        <w:t xml:space="preserve">2 :   twist </w:t>
      </w:r>
      <w:r>
        <w:rPr>
          <w:rFonts w:hint="eastAsia"/>
        </w:rPr>
        <w:t>偏好短期限债</w:t>
      </w:r>
      <w:r>
        <w:rPr>
          <w:rFonts w:hint="eastAsia"/>
        </w:rPr>
        <w:t xml:space="preserve">  </w:t>
      </w:r>
      <w:r>
        <w:rPr>
          <w:rFonts w:hint="eastAsia"/>
        </w:rPr>
        <w:t>或者</w:t>
      </w:r>
      <w:r>
        <w:rPr>
          <w:rFonts w:hint="eastAsia"/>
        </w:rPr>
        <w:t xml:space="preserve"> twist </w:t>
      </w:r>
      <w:r>
        <w:rPr>
          <w:rFonts w:hint="eastAsia"/>
        </w:rPr>
        <w:t>偏好短期限债</w:t>
      </w:r>
      <w:r>
        <w:rPr>
          <w:rFonts w:hint="eastAsia"/>
        </w:rPr>
        <w:t>+</w:t>
      </w:r>
      <w:r>
        <w:rPr>
          <w:rFonts w:hint="eastAsia"/>
        </w:rPr>
        <w:t>低回撤</w:t>
      </w:r>
      <w:r w:rsidR="00107D65">
        <w:rPr>
          <w:rFonts w:hint="eastAsia"/>
        </w:rPr>
        <w:t>(0.5%)</w:t>
      </w:r>
    </w:p>
    <w:p w:rsidR="001C1EB7" w:rsidRDefault="00596D7D" w:rsidP="009E356F">
      <w:r>
        <w:rPr>
          <w:rFonts w:hint="eastAsia"/>
        </w:rPr>
        <w:t xml:space="preserve">    </w:t>
      </w:r>
      <w:r>
        <w:rPr>
          <w:rFonts w:hint="eastAsia"/>
        </w:rPr>
        <w:t>集合</w:t>
      </w:r>
      <w:r>
        <w:rPr>
          <w:rFonts w:hint="eastAsia"/>
        </w:rPr>
        <w:t>3</w:t>
      </w:r>
      <w:r>
        <w:rPr>
          <w:rFonts w:hint="eastAsia"/>
        </w:rPr>
        <w:t>：</w:t>
      </w:r>
      <w:r>
        <w:rPr>
          <w:rFonts w:hint="eastAsia"/>
        </w:rPr>
        <w:t xml:space="preserve"> </w:t>
      </w:r>
      <w:r>
        <w:rPr>
          <w:rFonts w:hint="eastAsia"/>
        </w:rPr>
        <w:t>久期</w:t>
      </w:r>
      <w:r>
        <w:rPr>
          <w:rFonts w:hint="eastAsia"/>
        </w:rPr>
        <w:t>3</w:t>
      </w:r>
      <w:r>
        <w:rPr>
          <w:rFonts w:hint="eastAsia"/>
        </w:rPr>
        <w:t>年内</w:t>
      </w:r>
      <w:r>
        <w:rPr>
          <w:rFonts w:hint="eastAsia"/>
        </w:rPr>
        <w:t xml:space="preserve">  </w:t>
      </w:r>
      <w:r>
        <w:rPr>
          <w:rFonts w:hint="eastAsia"/>
        </w:rPr>
        <w:t>或者久期三年以上</w:t>
      </w:r>
      <w:r>
        <w:rPr>
          <w:rFonts w:hint="eastAsia"/>
        </w:rPr>
        <w:t>+</w:t>
      </w:r>
      <w:r>
        <w:rPr>
          <w:rFonts w:hint="eastAsia"/>
        </w:rPr>
        <w:t>低回撤</w:t>
      </w:r>
      <w:r w:rsidR="00107D65">
        <w:rPr>
          <w:rFonts w:hint="eastAsia"/>
        </w:rPr>
        <w:t>（</w:t>
      </w:r>
      <w:r w:rsidR="00107D65">
        <w:rPr>
          <w:rFonts w:hint="eastAsia"/>
        </w:rPr>
        <w:t>0.8%</w:t>
      </w:r>
      <w:r w:rsidR="00107D65">
        <w:rPr>
          <w:rFonts w:hint="eastAsia"/>
        </w:rPr>
        <w:t>）</w:t>
      </w:r>
    </w:p>
    <w:p w:rsidR="00787CE6" w:rsidRPr="00787CE6" w:rsidRDefault="00787CE6" w:rsidP="00787CE6"/>
    <w:p w:rsidR="006722D7" w:rsidRDefault="00107D65" w:rsidP="002D1BFF">
      <w:pPr>
        <w:ind w:firstLine="420"/>
      </w:pPr>
      <w:r>
        <w:rPr>
          <w:noProof/>
        </w:rPr>
        <w:drawing>
          <wp:inline distT="0" distB="0" distL="0" distR="0">
            <wp:extent cx="5274310" cy="1782452"/>
            <wp:effectExtent l="19050" t="0" r="254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274310" cy="1782452"/>
                    </a:xfrm>
                    <a:prstGeom prst="rect">
                      <a:avLst/>
                    </a:prstGeom>
                    <a:noFill/>
                    <a:ln w="9525">
                      <a:noFill/>
                      <a:miter lim="800000"/>
                      <a:headEnd/>
                      <a:tailEnd/>
                    </a:ln>
                  </pic:spPr>
                </pic:pic>
              </a:graphicData>
            </a:graphic>
          </wp:inline>
        </w:drawing>
      </w:r>
    </w:p>
    <w:p w:rsidR="00107D65" w:rsidRDefault="00107D65" w:rsidP="002D1BFF">
      <w:pPr>
        <w:ind w:firstLine="420"/>
      </w:pPr>
      <w:r>
        <w:rPr>
          <w:rFonts w:hint="eastAsia"/>
        </w:rPr>
        <w:t>说明：</w:t>
      </w:r>
    </w:p>
    <w:p w:rsidR="00107D65" w:rsidRDefault="00107D65" w:rsidP="002D1BFF">
      <w:pPr>
        <w:ind w:firstLine="420"/>
      </w:pPr>
      <w:r>
        <w:rPr>
          <w:noProof/>
        </w:rPr>
        <w:drawing>
          <wp:inline distT="0" distB="0" distL="0" distR="0">
            <wp:extent cx="3891280" cy="262890"/>
            <wp:effectExtent l="1905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3891280" cy="262890"/>
                    </a:xfrm>
                    <a:prstGeom prst="rect">
                      <a:avLst/>
                    </a:prstGeom>
                    <a:noFill/>
                    <a:ln w="9525">
                      <a:noFill/>
                      <a:miter lim="800000"/>
                      <a:headEnd/>
                      <a:tailEnd/>
                    </a:ln>
                  </pic:spPr>
                </pic:pic>
              </a:graphicData>
            </a:graphic>
          </wp:inline>
        </w:drawing>
      </w:r>
    </w:p>
    <w:p w:rsidR="00107D65" w:rsidRDefault="00107D65" w:rsidP="002D1BFF">
      <w:pPr>
        <w:ind w:firstLine="420"/>
      </w:pPr>
      <w:r>
        <w:rPr>
          <w:rFonts w:hint="eastAsia"/>
        </w:rPr>
        <w:t>最终选取的基金池：</w:t>
      </w:r>
    </w:p>
    <w:tbl>
      <w:tblPr>
        <w:tblW w:w="9620" w:type="dxa"/>
        <w:tblInd w:w="93" w:type="dxa"/>
        <w:tblLook w:val="04A0"/>
      </w:tblPr>
      <w:tblGrid>
        <w:gridCol w:w="2180"/>
        <w:gridCol w:w="1660"/>
        <w:gridCol w:w="1780"/>
        <w:gridCol w:w="1800"/>
        <w:gridCol w:w="2200"/>
      </w:tblGrid>
      <w:tr w:rsidR="00107D65" w:rsidRPr="00107D65" w:rsidTr="00107D65">
        <w:trPr>
          <w:trHeight w:val="27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基金名称</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累计收益率</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前三季度年化收益率</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最大回撤</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R_square</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color w:val="000000"/>
                <w:kern w:val="0"/>
                <w:sz w:val="20"/>
                <w:szCs w:val="20"/>
              </w:rPr>
            </w:pPr>
            <w:r w:rsidRPr="00107D65">
              <w:rPr>
                <w:rFonts w:ascii="宋体" w:eastAsia="宋体" w:hAnsi="宋体" w:cs="Arial" w:hint="eastAsia"/>
                <w:b/>
                <w:bCs/>
                <w:color w:val="000000"/>
                <w:kern w:val="0"/>
                <w:sz w:val="20"/>
                <w:szCs w:val="20"/>
              </w:rPr>
              <w:t>大成景安短融</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4.43%</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5.91%</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0.07%</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16.84%</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中加纯债</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3.84%</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5.12%</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0.17%</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5.31%</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万家鑫璟纯债</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3.27%</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4.36%</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0.17%</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15.77%</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民生加银鑫安纯债</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3.11%</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4.15%</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0.40%</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7.46%</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Arial" w:eastAsia="宋体" w:hAnsi="Arial" w:cs="Arial"/>
                <w:b/>
                <w:bCs/>
                <w:color w:val="000000"/>
                <w:kern w:val="0"/>
                <w:sz w:val="20"/>
                <w:szCs w:val="20"/>
              </w:rPr>
              <w:t>新华纯债添利</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3.09%</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4.12%</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0.08%</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7.84%</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lastRenderedPageBreak/>
              <w:t>浦银安盛盛泰</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2.82%</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3.76%</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0.17%</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15.27%</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北信瑞丰稳定收益</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2.61%</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3.48%</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0.32%</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18.48%</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宋体" w:eastAsia="宋体" w:hAnsi="宋体" w:cs="宋体"/>
                <w:b/>
                <w:bCs/>
                <w:color w:val="000000"/>
                <w:kern w:val="0"/>
                <w:sz w:val="20"/>
                <w:szCs w:val="20"/>
              </w:rPr>
            </w:pPr>
            <w:r w:rsidRPr="00107D65">
              <w:rPr>
                <w:rFonts w:ascii="宋体" w:eastAsia="宋体" w:hAnsi="宋体" w:cs="宋体" w:hint="eastAsia"/>
                <w:b/>
                <w:bCs/>
                <w:color w:val="000000"/>
                <w:kern w:val="0"/>
                <w:sz w:val="20"/>
                <w:szCs w:val="20"/>
              </w:rPr>
              <w:t>金鹰添益纯债</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2.57%</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3.43%</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0.10%</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18.38%</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国寿安保安康纯债</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2.52%</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3.36%</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0.37%</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25.10%</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英大纯债</w:t>
            </w:r>
            <w:r w:rsidRPr="00107D65">
              <w:rPr>
                <w:rFonts w:ascii="Times New Roman" w:eastAsia="宋体" w:hAnsi="Times New Roman" w:cs="Times New Roman"/>
                <w:b/>
                <w:bCs/>
                <w:color w:val="000000"/>
                <w:kern w:val="0"/>
                <w:sz w:val="20"/>
                <w:szCs w:val="20"/>
              </w:rPr>
              <w:t>A</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2.32%</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3.09%</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0.18%</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23.50%</w:t>
            </w:r>
          </w:p>
        </w:tc>
      </w:tr>
      <w:tr w:rsidR="00107D65" w:rsidRPr="00107D65" w:rsidTr="00107D65">
        <w:trPr>
          <w:trHeight w:val="27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107D65" w:rsidRPr="00107D65" w:rsidRDefault="00107D65" w:rsidP="00107D65">
            <w:pPr>
              <w:widowControl/>
              <w:jc w:val="left"/>
              <w:rPr>
                <w:rFonts w:ascii="Arial" w:eastAsia="宋体" w:hAnsi="Arial" w:cs="Arial"/>
                <w:b/>
                <w:bCs/>
                <w:kern w:val="0"/>
                <w:sz w:val="20"/>
                <w:szCs w:val="20"/>
              </w:rPr>
            </w:pPr>
            <w:r w:rsidRPr="00107D65">
              <w:rPr>
                <w:rFonts w:ascii="宋体" w:eastAsia="宋体" w:hAnsi="宋体" w:cs="Arial" w:hint="eastAsia"/>
                <w:b/>
                <w:bCs/>
                <w:color w:val="000000"/>
                <w:kern w:val="0"/>
                <w:sz w:val="20"/>
                <w:szCs w:val="20"/>
              </w:rPr>
              <w:t>东吴鼎利</w:t>
            </w:r>
          </w:p>
        </w:tc>
        <w:tc>
          <w:tcPr>
            <w:tcW w:w="166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2.20%</w:t>
            </w:r>
          </w:p>
        </w:tc>
        <w:tc>
          <w:tcPr>
            <w:tcW w:w="178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2.93%</w:t>
            </w:r>
          </w:p>
        </w:tc>
        <w:tc>
          <w:tcPr>
            <w:tcW w:w="18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0.30%</w:t>
            </w:r>
          </w:p>
        </w:tc>
        <w:tc>
          <w:tcPr>
            <w:tcW w:w="2200" w:type="dxa"/>
            <w:tcBorders>
              <w:top w:val="nil"/>
              <w:left w:val="nil"/>
              <w:bottom w:val="single" w:sz="4" w:space="0" w:color="auto"/>
              <w:right w:val="single" w:sz="4" w:space="0" w:color="auto"/>
            </w:tcBorders>
            <w:shd w:val="clear" w:color="auto" w:fill="auto"/>
            <w:noWrap/>
            <w:vAlign w:val="center"/>
            <w:hideMark/>
          </w:tcPr>
          <w:p w:rsidR="00107D65" w:rsidRPr="00107D65" w:rsidRDefault="00107D65" w:rsidP="00107D65">
            <w:pPr>
              <w:widowControl/>
              <w:jc w:val="right"/>
              <w:rPr>
                <w:rFonts w:ascii="宋体" w:eastAsia="宋体" w:hAnsi="宋体" w:cs="宋体"/>
                <w:color w:val="000000"/>
                <w:kern w:val="0"/>
                <w:sz w:val="22"/>
              </w:rPr>
            </w:pPr>
            <w:r w:rsidRPr="00107D65">
              <w:rPr>
                <w:rFonts w:ascii="宋体" w:eastAsia="宋体" w:hAnsi="宋体" w:cs="宋体" w:hint="eastAsia"/>
                <w:color w:val="000000"/>
                <w:kern w:val="0"/>
                <w:sz w:val="22"/>
              </w:rPr>
              <w:t>6.36%</w:t>
            </w:r>
          </w:p>
        </w:tc>
      </w:tr>
    </w:tbl>
    <w:p w:rsidR="00107D65" w:rsidRPr="00787CE6" w:rsidRDefault="00107D65" w:rsidP="002D1BFF">
      <w:pPr>
        <w:ind w:firstLine="420"/>
      </w:pPr>
    </w:p>
    <w:sectPr w:rsidR="00107D65" w:rsidRPr="00787CE6" w:rsidSect="00F809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AE8" w:rsidRDefault="004F0AE8" w:rsidP="002D1BFF">
      <w:r>
        <w:separator/>
      </w:r>
    </w:p>
  </w:endnote>
  <w:endnote w:type="continuationSeparator" w:id="1">
    <w:p w:rsidR="004F0AE8" w:rsidRDefault="004F0AE8" w:rsidP="002D1B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宋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AE8" w:rsidRDefault="004F0AE8" w:rsidP="002D1BFF">
      <w:r>
        <w:separator/>
      </w:r>
    </w:p>
  </w:footnote>
  <w:footnote w:type="continuationSeparator" w:id="1">
    <w:p w:rsidR="004F0AE8" w:rsidRDefault="004F0AE8" w:rsidP="002D1B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3190"/>
    <w:rsid w:val="000306C4"/>
    <w:rsid w:val="0005651D"/>
    <w:rsid w:val="00063ADE"/>
    <w:rsid w:val="00094988"/>
    <w:rsid w:val="000C4256"/>
    <w:rsid w:val="000F7334"/>
    <w:rsid w:val="00107D65"/>
    <w:rsid w:val="00184EDB"/>
    <w:rsid w:val="001875FD"/>
    <w:rsid w:val="00187B5C"/>
    <w:rsid w:val="001C02E8"/>
    <w:rsid w:val="001C1EB7"/>
    <w:rsid w:val="001D34A5"/>
    <w:rsid w:val="00204E04"/>
    <w:rsid w:val="00216DDD"/>
    <w:rsid w:val="00224DBA"/>
    <w:rsid w:val="002432D8"/>
    <w:rsid w:val="00251C1F"/>
    <w:rsid w:val="002754A3"/>
    <w:rsid w:val="002B1F1D"/>
    <w:rsid w:val="002B44E4"/>
    <w:rsid w:val="002D1BFF"/>
    <w:rsid w:val="002E2D1D"/>
    <w:rsid w:val="00337E8C"/>
    <w:rsid w:val="003775B6"/>
    <w:rsid w:val="00381A15"/>
    <w:rsid w:val="004809A5"/>
    <w:rsid w:val="004B5EBF"/>
    <w:rsid w:val="004F0AE8"/>
    <w:rsid w:val="004F52CA"/>
    <w:rsid w:val="00596D7D"/>
    <w:rsid w:val="005C7F01"/>
    <w:rsid w:val="005D5F53"/>
    <w:rsid w:val="00615B06"/>
    <w:rsid w:val="006169DC"/>
    <w:rsid w:val="0066095C"/>
    <w:rsid w:val="006722D7"/>
    <w:rsid w:val="006E097A"/>
    <w:rsid w:val="00743190"/>
    <w:rsid w:val="007444A3"/>
    <w:rsid w:val="00774392"/>
    <w:rsid w:val="00787CE6"/>
    <w:rsid w:val="007A0C97"/>
    <w:rsid w:val="007B3EFB"/>
    <w:rsid w:val="0082088C"/>
    <w:rsid w:val="00840D99"/>
    <w:rsid w:val="00892F54"/>
    <w:rsid w:val="008D0B8D"/>
    <w:rsid w:val="008E7B61"/>
    <w:rsid w:val="008F427B"/>
    <w:rsid w:val="009673A9"/>
    <w:rsid w:val="009B555B"/>
    <w:rsid w:val="009C4976"/>
    <w:rsid w:val="009D519B"/>
    <w:rsid w:val="009E356F"/>
    <w:rsid w:val="00A06272"/>
    <w:rsid w:val="00A1156B"/>
    <w:rsid w:val="00A35C6F"/>
    <w:rsid w:val="00A42F6C"/>
    <w:rsid w:val="00A4310F"/>
    <w:rsid w:val="00AE3D06"/>
    <w:rsid w:val="00AF6549"/>
    <w:rsid w:val="00B44115"/>
    <w:rsid w:val="00B51709"/>
    <w:rsid w:val="00B641E8"/>
    <w:rsid w:val="00B956E8"/>
    <w:rsid w:val="00BB6A62"/>
    <w:rsid w:val="00BE3738"/>
    <w:rsid w:val="00C07C70"/>
    <w:rsid w:val="00C4143C"/>
    <w:rsid w:val="00C6208E"/>
    <w:rsid w:val="00C7078B"/>
    <w:rsid w:val="00C95759"/>
    <w:rsid w:val="00CA6928"/>
    <w:rsid w:val="00D0427A"/>
    <w:rsid w:val="00D26633"/>
    <w:rsid w:val="00D32B1F"/>
    <w:rsid w:val="00D4534E"/>
    <w:rsid w:val="00D548C7"/>
    <w:rsid w:val="00D60F26"/>
    <w:rsid w:val="00D67A7C"/>
    <w:rsid w:val="00D970BC"/>
    <w:rsid w:val="00DC5BA0"/>
    <w:rsid w:val="00DF081D"/>
    <w:rsid w:val="00EA5C55"/>
    <w:rsid w:val="00F809FF"/>
    <w:rsid w:val="00FB1135"/>
    <w:rsid w:val="00FC6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9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BFF"/>
    <w:rPr>
      <w:sz w:val="18"/>
      <w:szCs w:val="18"/>
    </w:rPr>
  </w:style>
  <w:style w:type="paragraph" w:styleId="a4">
    <w:name w:val="footer"/>
    <w:basedOn w:val="a"/>
    <w:link w:val="Char0"/>
    <w:uiPriority w:val="99"/>
    <w:semiHidden/>
    <w:unhideWhenUsed/>
    <w:rsid w:val="002D1B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BFF"/>
    <w:rPr>
      <w:sz w:val="18"/>
      <w:szCs w:val="18"/>
    </w:rPr>
  </w:style>
</w:styles>
</file>

<file path=word/webSettings.xml><?xml version="1.0" encoding="utf-8"?>
<w:webSettings xmlns:r="http://schemas.openxmlformats.org/officeDocument/2006/relationships" xmlns:w="http://schemas.openxmlformats.org/wordprocessingml/2006/main">
  <w:divs>
    <w:div w:id="30962860">
      <w:bodyDiv w:val="1"/>
      <w:marLeft w:val="0"/>
      <w:marRight w:val="0"/>
      <w:marTop w:val="0"/>
      <w:marBottom w:val="0"/>
      <w:divBdr>
        <w:top w:val="none" w:sz="0" w:space="0" w:color="auto"/>
        <w:left w:val="none" w:sz="0" w:space="0" w:color="auto"/>
        <w:bottom w:val="none" w:sz="0" w:space="0" w:color="auto"/>
        <w:right w:val="none" w:sz="0" w:space="0" w:color="auto"/>
      </w:divBdr>
    </w:div>
    <w:div w:id="276834982">
      <w:bodyDiv w:val="1"/>
      <w:marLeft w:val="0"/>
      <w:marRight w:val="0"/>
      <w:marTop w:val="0"/>
      <w:marBottom w:val="0"/>
      <w:divBdr>
        <w:top w:val="none" w:sz="0" w:space="0" w:color="auto"/>
        <w:left w:val="none" w:sz="0" w:space="0" w:color="auto"/>
        <w:bottom w:val="none" w:sz="0" w:space="0" w:color="auto"/>
        <w:right w:val="none" w:sz="0" w:space="0" w:color="auto"/>
      </w:divBdr>
    </w:div>
    <w:div w:id="321592290">
      <w:bodyDiv w:val="1"/>
      <w:marLeft w:val="0"/>
      <w:marRight w:val="0"/>
      <w:marTop w:val="0"/>
      <w:marBottom w:val="0"/>
      <w:divBdr>
        <w:top w:val="none" w:sz="0" w:space="0" w:color="auto"/>
        <w:left w:val="none" w:sz="0" w:space="0" w:color="auto"/>
        <w:bottom w:val="none" w:sz="0" w:space="0" w:color="auto"/>
        <w:right w:val="none" w:sz="0" w:space="0" w:color="auto"/>
      </w:divBdr>
    </w:div>
    <w:div w:id="437140637">
      <w:bodyDiv w:val="1"/>
      <w:marLeft w:val="0"/>
      <w:marRight w:val="0"/>
      <w:marTop w:val="0"/>
      <w:marBottom w:val="0"/>
      <w:divBdr>
        <w:top w:val="none" w:sz="0" w:space="0" w:color="auto"/>
        <w:left w:val="none" w:sz="0" w:space="0" w:color="auto"/>
        <w:bottom w:val="none" w:sz="0" w:space="0" w:color="auto"/>
        <w:right w:val="none" w:sz="0" w:space="0" w:color="auto"/>
      </w:divBdr>
    </w:div>
    <w:div w:id="573122012">
      <w:bodyDiv w:val="1"/>
      <w:marLeft w:val="0"/>
      <w:marRight w:val="0"/>
      <w:marTop w:val="0"/>
      <w:marBottom w:val="0"/>
      <w:divBdr>
        <w:top w:val="none" w:sz="0" w:space="0" w:color="auto"/>
        <w:left w:val="none" w:sz="0" w:space="0" w:color="auto"/>
        <w:bottom w:val="none" w:sz="0" w:space="0" w:color="auto"/>
        <w:right w:val="none" w:sz="0" w:space="0" w:color="auto"/>
      </w:divBdr>
    </w:div>
    <w:div w:id="651108263">
      <w:bodyDiv w:val="1"/>
      <w:marLeft w:val="0"/>
      <w:marRight w:val="0"/>
      <w:marTop w:val="0"/>
      <w:marBottom w:val="0"/>
      <w:divBdr>
        <w:top w:val="none" w:sz="0" w:space="0" w:color="auto"/>
        <w:left w:val="none" w:sz="0" w:space="0" w:color="auto"/>
        <w:bottom w:val="none" w:sz="0" w:space="0" w:color="auto"/>
        <w:right w:val="none" w:sz="0" w:space="0" w:color="auto"/>
      </w:divBdr>
    </w:div>
    <w:div w:id="1046950706">
      <w:bodyDiv w:val="1"/>
      <w:marLeft w:val="0"/>
      <w:marRight w:val="0"/>
      <w:marTop w:val="0"/>
      <w:marBottom w:val="0"/>
      <w:divBdr>
        <w:top w:val="none" w:sz="0" w:space="0" w:color="auto"/>
        <w:left w:val="none" w:sz="0" w:space="0" w:color="auto"/>
        <w:bottom w:val="none" w:sz="0" w:space="0" w:color="auto"/>
        <w:right w:val="none" w:sz="0" w:space="0" w:color="auto"/>
      </w:divBdr>
    </w:div>
    <w:div w:id="1123379974">
      <w:bodyDiv w:val="1"/>
      <w:marLeft w:val="0"/>
      <w:marRight w:val="0"/>
      <w:marTop w:val="0"/>
      <w:marBottom w:val="0"/>
      <w:divBdr>
        <w:top w:val="none" w:sz="0" w:space="0" w:color="auto"/>
        <w:left w:val="none" w:sz="0" w:space="0" w:color="auto"/>
        <w:bottom w:val="none" w:sz="0" w:space="0" w:color="auto"/>
        <w:right w:val="none" w:sz="0" w:space="0" w:color="auto"/>
      </w:divBdr>
    </w:div>
    <w:div w:id="1166936296">
      <w:bodyDiv w:val="1"/>
      <w:marLeft w:val="0"/>
      <w:marRight w:val="0"/>
      <w:marTop w:val="0"/>
      <w:marBottom w:val="0"/>
      <w:divBdr>
        <w:top w:val="none" w:sz="0" w:space="0" w:color="auto"/>
        <w:left w:val="none" w:sz="0" w:space="0" w:color="auto"/>
        <w:bottom w:val="none" w:sz="0" w:space="0" w:color="auto"/>
        <w:right w:val="none" w:sz="0" w:space="0" w:color="auto"/>
      </w:divBdr>
    </w:div>
    <w:div w:id="1253927420">
      <w:bodyDiv w:val="1"/>
      <w:marLeft w:val="0"/>
      <w:marRight w:val="0"/>
      <w:marTop w:val="0"/>
      <w:marBottom w:val="0"/>
      <w:divBdr>
        <w:top w:val="none" w:sz="0" w:space="0" w:color="auto"/>
        <w:left w:val="none" w:sz="0" w:space="0" w:color="auto"/>
        <w:bottom w:val="none" w:sz="0" w:space="0" w:color="auto"/>
        <w:right w:val="none" w:sz="0" w:space="0" w:color="auto"/>
      </w:divBdr>
    </w:div>
    <w:div w:id="1435664197">
      <w:bodyDiv w:val="1"/>
      <w:marLeft w:val="0"/>
      <w:marRight w:val="0"/>
      <w:marTop w:val="0"/>
      <w:marBottom w:val="0"/>
      <w:divBdr>
        <w:top w:val="none" w:sz="0" w:space="0" w:color="auto"/>
        <w:left w:val="none" w:sz="0" w:space="0" w:color="auto"/>
        <w:bottom w:val="none" w:sz="0" w:space="0" w:color="auto"/>
        <w:right w:val="none" w:sz="0" w:space="0" w:color="auto"/>
      </w:divBdr>
    </w:div>
    <w:div w:id="1875773407">
      <w:bodyDiv w:val="1"/>
      <w:marLeft w:val="0"/>
      <w:marRight w:val="0"/>
      <w:marTop w:val="0"/>
      <w:marBottom w:val="0"/>
      <w:divBdr>
        <w:top w:val="none" w:sz="0" w:space="0" w:color="auto"/>
        <w:left w:val="none" w:sz="0" w:space="0" w:color="auto"/>
        <w:bottom w:val="none" w:sz="0" w:space="0" w:color="auto"/>
        <w:right w:val="none" w:sz="0" w:space="0" w:color="auto"/>
      </w:divBdr>
    </w:div>
    <w:div w:id="2002465461">
      <w:bodyDiv w:val="1"/>
      <w:marLeft w:val="0"/>
      <w:marRight w:val="0"/>
      <w:marTop w:val="0"/>
      <w:marBottom w:val="0"/>
      <w:divBdr>
        <w:top w:val="none" w:sz="0" w:space="0" w:color="auto"/>
        <w:left w:val="none" w:sz="0" w:space="0" w:color="auto"/>
        <w:bottom w:val="none" w:sz="0" w:space="0" w:color="auto"/>
        <w:right w:val="none" w:sz="0" w:space="0" w:color="auto"/>
      </w:divBdr>
    </w:div>
    <w:div w:id="2016035671">
      <w:bodyDiv w:val="1"/>
      <w:marLeft w:val="0"/>
      <w:marRight w:val="0"/>
      <w:marTop w:val="0"/>
      <w:marBottom w:val="0"/>
      <w:divBdr>
        <w:top w:val="none" w:sz="0" w:space="0" w:color="auto"/>
        <w:left w:val="none" w:sz="0" w:space="0" w:color="auto"/>
        <w:bottom w:val="none" w:sz="0" w:space="0" w:color="auto"/>
        <w:right w:val="none" w:sz="0" w:space="0" w:color="auto"/>
      </w:divBdr>
    </w:div>
    <w:div w:id="2097633133">
      <w:bodyDiv w:val="1"/>
      <w:marLeft w:val="0"/>
      <w:marRight w:val="0"/>
      <w:marTop w:val="0"/>
      <w:marBottom w:val="0"/>
      <w:divBdr>
        <w:top w:val="none" w:sz="0" w:space="0" w:color="auto"/>
        <w:left w:val="none" w:sz="0" w:space="0" w:color="auto"/>
        <w:bottom w:val="none" w:sz="0" w:space="0" w:color="auto"/>
        <w:right w:val="none" w:sz="0" w:space="0" w:color="auto"/>
      </w:divBdr>
    </w:div>
    <w:div w:id="21149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chart" Target="charts/chart2.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24037;&#20316;\macrobond\&#20538;&#22522;&#19994;&#32489;&#24402;&#22240;\&#20844;&#21215;&#22522;&#37329;&#19994;&#32489;&#24402;&#22240;20173Q%20-ne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24453;&#27979;&#22522;&#3732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esktop\&#24453;&#27979;&#22522;&#3732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esktop\&#24453;&#27979;&#22522;&#3732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esktop\&#24453;&#27979;&#22522;&#3732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9.1502187226596685E-2"/>
          <c:y val="5.1400554097404488E-2"/>
          <c:w val="0.87794225721785002"/>
          <c:h val="0.42261191309419682"/>
        </c:manualLayout>
      </c:layout>
      <c:lineChart>
        <c:grouping val="standard"/>
        <c:ser>
          <c:idx val="0"/>
          <c:order val="0"/>
          <c:tx>
            <c:strRef>
              <c:f>业绩基准!$H$2</c:f>
              <c:strCache>
                <c:ptCount val="1"/>
                <c:pt idx="0">
                  <c:v>中证综合债券指数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业绩基准!$H$4:$H$37</c:f>
              <c:numCache>
                <c:formatCode>General</c:formatCode>
                <c:ptCount val="34"/>
                <c:pt idx="0">
                  <c:v>1.0069424926065651</c:v>
                </c:pt>
                <c:pt idx="1">
                  <c:v>0.99967654740439071</c:v>
                </c:pt>
                <c:pt idx="2">
                  <c:v>1.0119827448474197</c:v>
                </c:pt>
                <c:pt idx="3">
                  <c:v>1.0164960823760718</c:v>
                </c:pt>
                <c:pt idx="4">
                  <c:v>1.0205998871828612</c:v>
                </c:pt>
                <c:pt idx="5">
                  <c:v>1.0314485915791458</c:v>
                </c:pt>
                <c:pt idx="6">
                  <c:v>1.0385886772027872</c:v>
                </c:pt>
                <c:pt idx="7">
                  <c:v>1.0437508762891639</c:v>
                </c:pt>
                <c:pt idx="8">
                  <c:v>1.0541554854886521</c:v>
                </c:pt>
                <c:pt idx="9">
                  <c:v>1.054365468826933</c:v>
                </c:pt>
                <c:pt idx="10">
                  <c:v>1.0689051846973021</c:v>
                </c:pt>
                <c:pt idx="11">
                  <c:v>1.0711967419976458</c:v>
                </c:pt>
                <c:pt idx="12">
                  <c:v>1.0747214623187509</c:v>
                </c:pt>
                <c:pt idx="13">
                  <c:v>1.0813398502075378</c:v>
                </c:pt>
                <c:pt idx="14">
                  <c:v>1.0749568784216041</c:v>
                </c:pt>
                <c:pt idx="15">
                  <c:v>1.0789589521700995</c:v>
                </c:pt>
                <c:pt idx="16">
                  <c:v>1.0857821064198181</c:v>
                </c:pt>
                <c:pt idx="17">
                  <c:v>1.0951902729457337</c:v>
                </c:pt>
                <c:pt idx="18">
                  <c:v>1.1018869154947488</c:v>
                </c:pt>
                <c:pt idx="19">
                  <c:v>1.1071136746758141</c:v>
                </c:pt>
                <c:pt idx="20">
                  <c:v>1.1123195659474847</c:v>
                </c:pt>
                <c:pt idx="21">
                  <c:v>1.1051703506134838</c:v>
                </c:pt>
                <c:pt idx="22">
                  <c:v>1.0915573003446466</c:v>
                </c:pt>
                <c:pt idx="23">
                  <c:v>1.0902458826636583</c:v>
                </c:pt>
                <c:pt idx="24">
                  <c:v>1.0891744459407027</c:v>
                </c:pt>
                <c:pt idx="25">
                  <c:v>1.090095894564888</c:v>
                </c:pt>
                <c:pt idx="26">
                  <c:v>1.0869187553596278</c:v>
                </c:pt>
                <c:pt idx="27">
                  <c:v>1.0814128878904175</c:v>
                </c:pt>
                <c:pt idx="28">
                  <c:v>1.0928817604690064</c:v>
                </c:pt>
                <c:pt idx="29">
                  <c:v>1.0964593026857661</c:v>
                </c:pt>
                <c:pt idx="30">
                  <c:v>1.095020069059738</c:v>
                </c:pt>
                <c:pt idx="31">
                  <c:v>1.0997759960350972</c:v>
                </c:pt>
                <c:pt idx="32">
                  <c:v>1.0965923356081528</c:v>
                </c:pt>
                <c:pt idx="33">
                  <c:v>1.0914477438203281</c:v>
                </c:pt>
              </c:numCache>
            </c:numRef>
          </c:val>
        </c:ser>
        <c:ser>
          <c:idx val="1"/>
          <c:order val="1"/>
          <c:tx>
            <c:strRef>
              <c:f>业绩基准!$I$2</c:f>
              <c:strCache>
                <c:ptCount val="1"/>
                <c:pt idx="0">
                  <c:v>中证全债指数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业绩基准!$I$4:$I$37</c:f>
              <c:numCache>
                <c:formatCode>General</c:formatCode>
                <c:ptCount val="34"/>
                <c:pt idx="0">
                  <c:v>1.0077248976750892</c:v>
                </c:pt>
                <c:pt idx="1">
                  <c:v>0.9984742639823192</c:v>
                </c:pt>
                <c:pt idx="2">
                  <c:v>1.0119959588613578</c:v>
                </c:pt>
                <c:pt idx="3">
                  <c:v>1.0161914205152141</c:v>
                </c:pt>
                <c:pt idx="4">
                  <c:v>1.0205487026557929</c:v>
                </c:pt>
                <c:pt idx="5">
                  <c:v>1.0329613961296731</c:v>
                </c:pt>
                <c:pt idx="6">
                  <c:v>1.0410605427296651</c:v>
                </c:pt>
                <c:pt idx="7">
                  <c:v>1.0467430034507141</c:v>
                </c:pt>
                <c:pt idx="8">
                  <c:v>1.0587908198425657</c:v>
                </c:pt>
                <c:pt idx="9">
                  <c:v>1.0586821064653873</c:v>
                </c:pt>
                <c:pt idx="10">
                  <c:v>1.075571416878939</c:v>
                </c:pt>
                <c:pt idx="11">
                  <c:v>1.0779687342826378</c:v>
                </c:pt>
                <c:pt idx="12">
                  <c:v>1.0815856408372428</c:v>
                </c:pt>
                <c:pt idx="13">
                  <c:v>1.0890824903360681</c:v>
                </c:pt>
                <c:pt idx="14">
                  <c:v>1.0809795949989347</c:v>
                </c:pt>
                <c:pt idx="15">
                  <c:v>1.0852444082899544</c:v>
                </c:pt>
                <c:pt idx="16">
                  <c:v>1.0930442807079332</c:v>
                </c:pt>
                <c:pt idx="17">
                  <c:v>1.1037288063583579</c:v>
                </c:pt>
                <c:pt idx="18">
                  <c:v>1.1111588033781121</c:v>
                </c:pt>
                <c:pt idx="19">
                  <c:v>1.1170805584868626</c:v>
                </c:pt>
                <c:pt idx="20">
                  <c:v>1.1229435833803487</c:v>
                </c:pt>
                <c:pt idx="21">
                  <c:v>1.1139416159181343</c:v>
                </c:pt>
                <c:pt idx="22">
                  <c:v>1.0970966655607892</c:v>
                </c:pt>
                <c:pt idx="23">
                  <c:v>1.0946562376799316</c:v>
                </c:pt>
                <c:pt idx="24">
                  <c:v>1.0927343851040145</c:v>
                </c:pt>
                <c:pt idx="25">
                  <c:v>1.0934741359004678</c:v>
                </c:pt>
                <c:pt idx="26">
                  <c:v>1.089035006332242</c:v>
                </c:pt>
                <c:pt idx="27">
                  <c:v>1.0818986603887817</c:v>
                </c:pt>
                <c:pt idx="28">
                  <c:v>1.0949124013847864</c:v>
                </c:pt>
                <c:pt idx="29">
                  <c:v>1.0983081324478821</c:v>
                </c:pt>
                <c:pt idx="30">
                  <c:v>1.0960876304794822</c:v>
                </c:pt>
                <c:pt idx="31">
                  <c:v>1.1010284660355043</c:v>
                </c:pt>
                <c:pt idx="32">
                  <c:v>1.0966024570472819</c:v>
                </c:pt>
                <c:pt idx="33">
                  <c:v>1.0902096106374137</c:v>
                </c:pt>
              </c:numCache>
            </c:numRef>
          </c:val>
        </c:ser>
        <c:ser>
          <c:idx val="2"/>
          <c:order val="2"/>
          <c:tx>
            <c:strRef>
              <c:f>业绩基准!$J$2</c:f>
              <c:strCache>
                <c:ptCount val="1"/>
                <c:pt idx="0">
                  <c:v>中证信用债指数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业绩基准!$J$4:$J$37</c:f>
              <c:numCache>
                <c:formatCode>General</c:formatCode>
                <c:ptCount val="34"/>
                <c:pt idx="0">
                  <c:v>1.0024462024651188</c:v>
                </c:pt>
                <c:pt idx="1">
                  <c:v>1.0037719587137639</c:v>
                </c:pt>
                <c:pt idx="2">
                  <c:v>1.0120838617906152</c:v>
                </c:pt>
                <c:pt idx="3">
                  <c:v>1.0216864852744318</c:v>
                </c:pt>
                <c:pt idx="4">
                  <c:v>1.027326555065829</c:v>
                </c:pt>
                <c:pt idx="5">
                  <c:v>1.0423064795285581</c:v>
                </c:pt>
                <c:pt idx="6">
                  <c:v>1.0516547428018859</c:v>
                </c:pt>
                <c:pt idx="7">
                  <c:v>1.0570684810561204</c:v>
                </c:pt>
                <c:pt idx="8">
                  <c:v>1.0658975131559578</c:v>
                </c:pt>
                <c:pt idx="9">
                  <c:v>1.0637883554876608</c:v>
                </c:pt>
                <c:pt idx="10">
                  <c:v>1.0760712208589387</c:v>
                </c:pt>
                <c:pt idx="11">
                  <c:v>1.0786099179460586</c:v>
                </c:pt>
                <c:pt idx="12">
                  <c:v>1.0829760845344778</c:v>
                </c:pt>
                <c:pt idx="13">
                  <c:v>1.0879357582807212</c:v>
                </c:pt>
                <c:pt idx="14">
                  <c:v>1.0766689323177621</c:v>
                </c:pt>
                <c:pt idx="15">
                  <c:v>1.0831841974339738</c:v>
                </c:pt>
                <c:pt idx="16">
                  <c:v>1.0900498209668537</c:v>
                </c:pt>
                <c:pt idx="17">
                  <c:v>1.1012010286523113</c:v>
                </c:pt>
                <c:pt idx="18">
                  <c:v>1.1113467076819579</c:v>
                </c:pt>
                <c:pt idx="19">
                  <c:v>1.115813076777544</c:v>
                </c:pt>
                <c:pt idx="20">
                  <c:v>1.1213907827707739</c:v>
                </c:pt>
                <c:pt idx="21">
                  <c:v>1.1138293474224066</c:v>
                </c:pt>
                <c:pt idx="22">
                  <c:v>1.096204917630736</c:v>
                </c:pt>
                <c:pt idx="23">
                  <c:v>1.1005556684488267</c:v>
                </c:pt>
                <c:pt idx="24">
                  <c:v>1.0955035000805822</c:v>
                </c:pt>
                <c:pt idx="25">
                  <c:v>1.0947971775125953</c:v>
                </c:pt>
                <c:pt idx="26">
                  <c:v>1.0910476417374972</c:v>
                </c:pt>
                <c:pt idx="27">
                  <c:v>1.0836950200054656</c:v>
                </c:pt>
                <c:pt idx="28">
                  <c:v>1.0985053709945281</c:v>
                </c:pt>
                <c:pt idx="29">
                  <c:v>1.1039331235854277</c:v>
                </c:pt>
                <c:pt idx="30">
                  <c:v>1.1015710071403038</c:v>
                </c:pt>
                <c:pt idx="31">
                  <c:v>1.1067030572275438</c:v>
                </c:pt>
                <c:pt idx="32">
                  <c:v>1.1059168529405579</c:v>
                </c:pt>
                <c:pt idx="33">
                  <c:v>1.0980092634765393</c:v>
                </c:pt>
              </c:numCache>
            </c:numRef>
          </c:val>
        </c:ser>
        <c:ser>
          <c:idx val="4"/>
          <c:order val="3"/>
          <c:tx>
            <c:strRef>
              <c:f>业绩基准!$L$2</c:f>
              <c:strCache>
                <c:ptCount val="1"/>
                <c:pt idx="0">
                  <c:v>中债总指数(财富）</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业绩基准!$L$4:$L$37</c:f>
              <c:numCache>
                <c:formatCode>General</c:formatCode>
                <c:ptCount val="34"/>
                <c:pt idx="0">
                  <c:v>1.0094108022246926</c:v>
                </c:pt>
                <c:pt idx="1">
                  <c:v>0.99252360505723658</c:v>
                </c:pt>
                <c:pt idx="2">
                  <c:v>1.0089507751965161</c:v>
                </c:pt>
                <c:pt idx="3">
                  <c:v>1.0119982949690705</c:v>
                </c:pt>
                <c:pt idx="4">
                  <c:v>1.015077035412524</c:v>
                </c:pt>
                <c:pt idx="5">
                  <c:v>1.0243349200655261</c:v>
                </c:pt>
                <c:pt idx="6">
                  <c:v>1.0324503830266591</c:v>
                </c:pt>
                <c:pt idx="7">
                  <c:v>1.0366938456411798</c:v>
                </c:pt>
                <c:pt idx="8">
                  <c:v>1.0489087738368241</c:v>
                </c:pt>
                <c:pt idx="9">
                  <c:v>1.0500352666149719</c:v>
                </c:pt>
                <c:pt idx="10">
                  <c:v>1.0687855095309091</c:v>
                </c:pt>
                <c:pt idx="11">
                  <c:v>1.0696431222454919</c:v>
                </c:pt>
                <c:pt idx="12">
                  <c:v>1.0721573419867754</c:v>
                </c:pt>
                <c:pt idx="13">
                  <c:v>1.0805722685258043</c:v>
                </c:pt>
                <c:pt idx="14">
                  <c:v>1.071926054159577</c:v>
                </c:pt>
                <c:pt idx="15">
                  <c:v>1.0751889328456121</c:v>
                </c:pt>
                <c:pt idx="16">
                  <c:v>1.0831718672446098</c:v>
                </c:pt>
                <c:pt idx="17">
                  <c:v>1.0935791823115146</c:v>
                </c:pt>
                <c:pt idx="18">
                  <c:v>1.0981654351492505</c:v>
                </c:pt>
                <c:pt idx="19">
                  <c:v>1.1040017891355889</c:v>
                </c:pt>
                <c:pt idx="20">
                  <c:v>1.1089301950399877</c:v>
                </c:pt>
                <c:pt idx="21">
                  <c:v>1.0974116789521058</c:v>
                </c:pt>
                <c:pt idx="22">
                  <c:v>1.082490746894021</c:v>
                </c:pt>
                <c:pt idx="23">
                  <c:v>1.0753622394268649</c:v>
                </c:pt>
                <c:pt idx="24">
                  <c:v>1.0752016759765857</c:v>
                </c:pt>
                <c:pt idx="25">
                  <c:v>1.0770150235142641</c:v>
                </c:pt>
                <c:pt idx="26">
                  <c:v>1.070593759816193</c:v>
                </c:pt>
                <c:pt idx="27">
                  <c:v>1.0643572715172576</c:v>
                </c:pt>
                <c:pt idx="28">
                  <c:v>1.0756374910559148</c:v>
                </c:pt>
                <c:pt idx="29">
                  <c:v>1.0767346746328226</c:v>
                </c:pt>
                <c:pt idx="30">
                  <c:v>1.0742204548915493</c:v>
                </c:pt>
                <c:pt idx="31">
                  <c:v>1.0790424556523113</c:v>
                </c:pt>
                <c:pt idx="32">
                  <c:v>1.0714876904540558</c:v>
                </c:pt>
                <c:pt idx="33">
                  <c:v>1.0665337982877054</c:v>
                </c:pt>
              </c:numCache>
            </c:numRef>
          </c:val>
        </c:ser>
        <c:ser>
          <c:idx val="5"/>
          <c:order val="4"/>
          <c:tx>
            <c:strRef>
              <c:f>业绩基准!$M$2</c:f>
              <c:strCache>
                <c:ptCount val="1"/>
                <c:pt idx="0">
                  <c:v>中债-综合（财富指数）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业绩基准!$M$4:$M$37</c:f>
              <c:numCache>
                <c:formatCode>General</c:formatCode>
                <c:ptCount val="34"/>
                <c:pt idx="0">
                  <c:v>1.0086578516825881</c:v>
                </c:pt>
                <c:pt idx="1">
                  <c:v>0.99670083425625566</c:v>
                </c:pt>
                <c:pt idx="2">
                  <c:v>1.0117714086233112</c:v>
                </c:pt>
                <c:pt idx="3">
                  <c:v>1.0172978800032944</c:v>
                </c:pt>
                <c:pt idx="4">
                  <c:v>1.0201029084039024</c:v>
                </c:pt>
                <c:pt idx="5">
                  <c:v>1.0297293676148238</c:v>
                </c:pt>
                <c:pt idx="6">
                  <c:v>1.0366233210700408</c:v>
                </c:pt>
                <c:pt idx="7">
                  <c:v>1.0415720696856581</c:v>
                </c:pt>
                <c:pt idx="8">
                  <c:v>1.0532353089403212</c:v>
                </c:pt>
                <c:pt idx="9">
                  <c:v>1.0541098828697826</c:v>
                </c:pt>
                <c:pt idx="10">
                  <c:v>1.0700384370017921</c:v>
                </c:pt>
                <c:pt idx="11">
                  <c:v>1.0721950637891975</c:v>
                </c:pt>
                <c:pt idx="12">
                  <c:v>1.0754063419209159</c:v>
                </c:pt>
                <c:pt idx="13">
                  <c:v>1.082278784422136</c:v>
                </c:pt>
                <c:pt idx="14">
                  <c:v>1.0748673388737389</c:v>
                </c:pt>
                <c:pt idx="15">
                  <c:v>1.0794547034622799</c:v>
                </c:pt>
                <c:pt idx="16">
                  <c:v>1.0868667636093658</c:v>
                </c:pt>
                <c:pt idx="17">
                  <c:v>1.0960224402272061</c:v>
                </c:pt>
                <c:pt idx="18">
                  <c:v>1.1013774385739343</c:v>
                </c:pt>
                <c:pt idx="19">
                  <c:v>1.1061049316627753</c:v>
                </c:pt>
                <c:pt idx="20">
                  <c:v>1.1109295313439185</c:v>
                </c:pt>
                <c:pt idx="21">
                  <c:v>1.1017375934036353</c:v>
                </c:pt>
                <c:pt idx="22">
                  <c:v>1.0896183219243341</c:v>
                </c:pt>
                <c:pt idx="23">
                  <c:v>1.0859608451469438</c:v>
                </c:pt>
                <c:pt idx="24">
                  <c:v>1.0859878874891058</c:v>
                </c:pt>
                <c:pt idx="25">
                  <c:v>1.086108348831464</c:v>
                </c:pt>
                <c:pt idx="26">
                  <c:v>1.081108588524951</c:v>
                </c:pt>
                <c:pt idx="27">
                  <c:v>1.075239171078461</c:v>
                </c:pt>
                <c:pt idx="28">
                  <c:v>1.0885200340733521</c:v>
                </c:pt>
                <c:pt idx="29">
                  <c:v>1.0920029648240643</c:v>
                </c:pt>
                <c:pt idx="30">
                  <c:v>1.0915032960927498</c:v>
                </c:pt>
                <c:pt idx="31">
                  <c:v>1.0970549660188422</c:v>
                </c:pt>
                <c:pt idx="32">
                  <c:v>1.0930176672538141</c:v>
                </c:pt>
                <c:pt idx="33">
                  <c:v>1.0896029569571957</c:v>
                </c:pt>
              </c:numCache>
            </c:numRef>
          </c:val>
        </c:ser>
        <c:ser>
          <c:idx val="6"/>
          <c:order val="5"/>
          <c:tx>
            <c:strRef>
              <c:f>业绩基准!$N$2</c:f>
              <c:strCache>
                <c:ptCount val="1"/>
                <c:pt idx="0">
                  <c:v>中债-综合（全价指数）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业绩基准!$N$4:$N$37</c:f>
              <c:numCache>
                <c:formatCode>General</c:formatCode>
                <c:ptCount val="34"/>
                <c:pt idx="0">
                  <c:v>1.0065360835634858</c:v>
                </c:pt>
                <c:pt idx="1">
                  <c:v>0.99014434464655177</c:v>
                </c:pt>
                <c:pt idx="2">
                  <c:v>1.0013103344947081</c:v>
                </c:pt>
                <c:pt idx="3">
                  <c:v>1.0042280588256178</c:v>
                </c:pt>
                <c:pt idx="4">
                  <c:v>1.0034728627387821</c:v>
                </c:pt>
                <c:pt idx="5">
                  <c:v>1.0098816368701942</c:v>
                </c:pt>
                <c:pt idx="6">
                  <c:v>1.013075631329206</c:v>
                </c:pt>
                <c:pt idx="7">
                  <c:v>1.0147575015134271</c:v>
                </c:pt>
                <c:pt idx="8">
                  <c:v>1.0229529379466149</c:v>
                </c:pt>
                <c:pt idx="9">
                  <c:v>1.0206336545514854</c:v>
                </c:pt>
                <c:pt idx="10">
                  <c:v>1.0331091128437895</c:v>
                </c:pt>
                <c:pt idx="11">
                  <c:v>1.0327323808509292</c:v>
                </c:pt>
                <c:pt idx="12">
                  <c:v>1.0332303599219514</c:v>
                </c:pt>
                <c:pt idx="13">
                  <c:v>1.0362866523421868</c:v>
                </c:pt>
                <c:pt idx="14">
                  <c:v>1.0255406970148051</c:v>
                </c:pt>
                <c:pt idx="15">
                  <c:v>1.0272199690473531</c:v>
                </c:pt>
                <c:pt idx="16">
                  <c:v>1.0309396561952464</c:v>
                </c:pt>
                <c:pt idx="17">
                  <c:v>1.0370531070862861</c:v>
                </c:pt>
                <c:pt idx="18">
                  <c:v>1.0392147692798008</c:v>
                </c:pt>
                <c:pt idx="19">
                  <c:v>1.0403692146740138</c:v>
                </c:pt>
                <c:pt idx="20">
                  <c:v>1.0418042604491113</c:v>
                </c:pt>
                <c:pt idx="21">
                  <c:v>1.0300822661425357</c:v>
                </c:pt>
                <c:pt idx="22">
                  <c:v>1.0161934133390838</c:v>
                </c:pt>
                <c:pt idx="23">
                  <c:v>1.0104428376319761</c:v>
                </c:pt>
                <c:pt idx="24">
                  <c:v>1.0074004020206664</c:v>
                </c:pt>
                <c:pt idx="25">
                  <c:v>1.0036330820920618</c:v>
                </c:pt>
                <c:pt idx="26">
                  <c:v>0.99442350045510952</c:v>
                </c:pt>
                <c:pt idx="27">
                  <c:v>0.98594486548935767</c:v>
                </c:pt>
                <c:pt idx="28">
                  <c:v>0.99481928556025156</c:v>
                </c:pt>
                <c:pt idx="29">
                  <c:v>0.99501328088530938</c:v>
                </c:pt>
                <c:pt idx="30">
                  <c:v>0.99155081075322959</c:v>
                </c:pt>
                <c:pt idx="31">
                  <c:v>0.9932387432913542</c:v>
                </c:pt>
                <c:pt idx="32">
                  <c:v>0.98687586983952968</c:v>
                </c:pt>
                <c:pt idx="33">
                  <c:v>0.98136865433930298</c:v>
                </c:pt>
              </c:numCache>
            </c:numRef>
          </c:val>
        </c:ser>
        <c:ser>
          <c:idx val="7"/>
          <c:order val="6"/>
          <c:tx>
            <c:strRef>
              <c:f>业绩基准!$O$2</c:f>
              <c:strCache>
                <c:ptCount val="1"/>
                <c:pt idx="0">
                  <c:v>中债国债总财富(总值)指数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业绩基准!$O$4:$O$37</c:f>
              <c:numCache>
                <c:formatCode>General</c:formatCode>
                <c:ptCount val="34"/>
                <c:pt idx="0">
                  <c:v>1.01119682195923</c:v>
                </c:pt>
                <c:pt idx="1">
                  <c:v>0.99511571602964544</c:v>
                </c:pt>
                <c:pt idx="2">
                  <c:v>1.0106502929293417</c:v>
                </c:pt>
                <c:pt idx="3">
                  <c:v>1.012649976248972</c:v>
                </c:pt>
                <c:pt idx="4">
                  <c:v>1.0170279547044898</c:v>
                </c:pt>
                <c:pt idx="5">
                  <c:v>1.0250017877117799</c:v>
                </c:pt>
                <c:pt idx="6">
                  <c:v>1.0345960537539394</c:v>
                </c:pt>
                <c:pt idx="7">
                  <c:v>1.038197016053652</c:v>
                </c:pt>
                <c:pt idx="8">
                  <c:v>1.0506943983328272</c:v>
                </c:pt>
                <c:pt idx="9">
                  <c:v>1.0519087654062447</c:v>
                </c:pt>
                <c:pt idx="10">
                  <c:v>1.0690893140805289</c:v>
                </c:pt>
                <c:pt idx="11">
                  <c:v>1.0717268274245175</c:v>
                </c:pt>
                <c:pt idx="12">
                  <c:v>1.07585005695139</c:v>
                </c:pt>
                <c:pt idx="13">
                  <c:v>1.0890561392576401</c:v>
                </c:pt>
                <c:pt idx="14">
                  <c:v>1.0800192562097446</c:v>
                </c:pt>
                <c:pt idx="15">
                  <c:v>1.0792230859991483</c:v>
                </c:pt>
                <c:pt idx="16">
                  <c:v>1.0858567736399338</c:v>
                </c:pt>
                <c:pt idx="17">
                  <c:v>1.0974270996674838</c:v>
                </c:pt>
                <c:pt idx="18">
                  <c:v>1.1035104274674252</c:v>
                </c:pt>
                <c:pt idx="19">
                  <c:v>1.1102679779958251</c:v>
                </c:pt>
                <c:pt idx="20">
                  <c:v>1.1170210592447678</c:v>
                </c:pt>
                <c:pt idx="21">
                  <c:v>1.1031911932209937</c:v>
                </c:pt>
                <c:pt idx="22">
                  <c:v>1.0925894238971101</c:v>
                </c:pt>
                <c:pt idx="23">
                  <c:v>1.0821964337703862</c:v>
                </c:pt>
                <c:pt idx="24">
                  <c:v>1.0841067315010171</c:v>
                </c:pt>
                <c:pt idx="25">
                  <c:v>1.0857910113851668</c:v>
                </c:pt>
                <c:pt idx="26">
                  <c:v>1.07660983445789</c:v>
                </c:pt>
                <c:pt idx="27">
                  <c:v>1.0685893932506219</c:v>
                </c:pt>
                <c:pt idx="28">
                  <c:v>1.0753169357598542</c:v>
                </c:pt>
                <c:pt idx="29">
                  <c:v>1.0733459835224051</c:v>
                </c:pt>
                <c:pt idx="30">
                  <c:v>1.071421639484931</c:v>
                </c:pt>
                <c:pt idx="31">
                  <c:v>1.0755595537871399</c:v>
                </c:pt>
                <c:pt idx="32">
                  <c:v>1.0663937001036872</c:v>
                </c:pt>
                <c:pt idx="33">
                  <c:v>1.0681718348562979</c:v>
                </c:pt>
              </c:numCache>
            </c:numRef>
          </c:val>
        </c:ser>
        <c:ser>
          <c:idx val="8"/>
          <c:order val="7"/>
          <c:tx>
            <c:strRef>
              <c:f>业绩基准!$P$2</c:f>
              <c:strCache>
                <c:ptCount val="1"/>
                <c:pt idx="0">
                  <c:v>中债信用债指数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业绩基准!$P$4:$P$37</c:f>
              <c:numCache>
                <c:formatCode>General</c:formatCode>
                <c:ptCount val="34"/>
                <c:pt idx="0">
                  <c:v>1.0083248537356369</c:v>
                </c:pt>
                <c:pt idx="1">
                  <c:v>1.0015590395759411</c:v>
                </c:pt>
                <c:pt idx="2">
                  <c:v>1.0164805795172853</c:v>
                </c:pt>
                <c:pt idx="3">
                  <c:v>1.0254380970808346</c:v>
                </c:pt>
                <c:pt idx="4">
                  <c:v>1.0280132963803834</c:v>
                </c:pt>
                <c:pt idx="5">
                  <c:v>1.0402789010441389</c:v>
                </c:pt>
                <c:pt idx="6">
                  <c:v>1.0458100115396758</c:v>
                </c:pt>
                <c:pt idx="7">
                  <c:v>1.0514503940054918</c:v>
                </c:pt>
                <c:pt idx="8">
                  <c:v>1.0643785904890233</c:v>
                </c:pt>
                <c:pt idx="9">
                  <c:v>1.0639672546009058</c:v>
                </c:pt>
                <c:pt idx="10">
                  <c:v>1.0780431547722651</c:v>
                </c:pt>
                <c:pt idx="11">
                  <c:v>1.0815148018279739</c:v>
                </c:pt>
                <c:pt idx="12">
                  <c:v>1.0865782004507301</c:v>
                </c:pt>
                <c:pt idx="13">
                  <c:v>1.0916506470710239</c:v>
                </c:pt>
                <c:pt idx="14">
                  <c:v>1.0832610653529873</c:v>
                </c:pt>
                <c:pt idx="15">
                  <c:v>1.0901862634693362</c:v>
                </c:pt>
                <c:pt idx="16">
                  <c:v>1.0975722134603578</c:v>
                </c:pt>
                <c:pt idx="17">
                  <c:v>1.1072375628313857</c:v>
                </c:pt>
                <c:pt idx="18">
                  <c:v>1.1132391691989461</c:v>
                </c:pt>
                <c:pt idx="19">
                  <c:v>1.1179476079182507</c:v>
                </c:pt>
                <c:pt idx="20">
                  <c:v>1.1220205988103971</c:v>
                </c:pt>
                <c:pt idx="21">
                  <c:v>1.1132203772040536</c:v>
                </c:pt>
                <c:pt idx="22">
                  <c:v>1.1023335481652761</c:v>
                </c:pt>
                <c:pt idx="23">
                  <c:v>1.1058984591956178</c:v>
                </c:pt>
                <c:pt idx="24">
                  <c:v>1.1054042993300275</c:v>
                </c:pt>
                <c:pt idx="25">
                  <c:v>1.1069542909084318</c:v>
                </c:pt>
                <c:pt idx="26">
                  <c:v>1.1046171235441453</c:v>
                </c:pt>
                <c:pt idx="27">
                  <c:v>1.1019758042625813</c:v>
                </c:pt>
                <c:pt idx="28">
                  <c:v>1.1172077601194894</c:v>
                </c:pt>
                <c:pt idx="29">
                  <c:v>1.1224994466801499</c:v>
                </c:pt>
                <c:pt idx="30">
                  <c:v>1.1217143588936938</c:v>
                </c:pt>
                <c:pt idx="31">
                  <c:v>1.1284203170696696</c:v>
                </c:pt>
                <c:pt idx="32">
                  <c:v>1.128794764967824</c:v>
                </c:pt>
                <c:pt idx="33">
                  <c:v>1.1239958462731297</c:v>
                </c:pt>
              </c:numCache>
            </c:numRef>
          </c:val>
        </c:ser>
        <c:ser>
          <c:idx val="9"/>
          <c:order val="8"/>
          <c:tx>
            <c:strRef>
              <c:f>业绩基准!$Q$2</c:f>
              <c:strCache>
                <c:ptCount val="1"/>
                <c:pt idx="0">
                  <c:v>中债企业债（全价）</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业绩基准!$Q$4:$Q$37</c:f>
              <c:numCache>
                <c:formatCode>General</c:formatCode>
                <c:ptCount val="34"/>
                <c:pt idx="0">
                  <c:v>1.0045961300995192</c:v>
                </c:pt>
                <c:pt idx="1">
                  <c:v>0.98447718409060248</c:v>
                </c:pt>
                <c:pt idx="2">
                  <c:v>0.99057309372057767</c:v>
                </c:pt>
                <c:pt idx="3">
                  <c:v>0.99574508440903964</c:v>
                </c:pt>
                <c:pt idx="4">
                  <c:v>0.99274650304013323</c:v>
                </c:pt>
                <c:pt idx="5">
                  <c:v>1.0023308177318131</c:v>
                </c:pt>
                <c:pt idx="6">
                  <c:v>1.0030494213529888</c:v>
                </c:pt>
                <c:pt idx="7">
                  <c:v>1.0026495453243338</c:v>
                </c:pt>
                <c:pt idx="8">
                  <c:v>1.0105219213212171</c:v>
                </c:pt>
                <c:pt idx="9">
                  <c:v>1.0015662625865618</c:v>
                </c:pt>
                <c:pt idx="10">
                  <c:v>1.0070227616474892</c:v>
                </c:pt>
                <c:pt idx="11">
                  <c:v>1.0040368902746013</c:v>
                </c:pt>
                <c:pt idx="12">
                  <c:v>1.0022936654357524</c:v>
                </c:pt>
                <c:pt idx="13">
                  <c:v>0.99426290333461242</c:v>
                </c:pt>
                <c:pt idx="14">
                  <c:v>0.97082860374827751</c:v>
                </c:pt>
                <c:pt idx="15">
                  <c:v>0.97184735881394213</c:v>
                </c:pt>
                <c:pt idx="16">
                  <c:v>0.9733803798724483</c:v>
                </c:pt>
                <c:pt idx="17">
                  <c:v>0.9806465868283375</c:v>
                </c:pt>
                <c:pt idx="18">
                  <c:v>0.98041194074794968</c:v>
                </c:pt>
                <c:pt idx="19">
                  <c:v>0.97599179520872448</c:v>
                </c:pt>
                <c:pt idx="20">
                  <c:v>0.96952729569414664</c:v>
                </c:pt>
                <c:pt idx="21">
                  <c:v>0.95376885601236583</c:v>
                </c:pt>
                <c:pt idx="22">
                  <c:v>0.92829020245068483</c:v>
                </c:pt>
                <c:pt idx="23">
                  <c:v>0.92321500327037975</c:v>
                </c:pt>
                <c:pt idx="24">
                  <c:v>0.9114993200152125</c:v>
                </c:pt>
                <c:pt idx="25">
                  <c:v>0.89498805749220045</c:v>
                </c:pt>
                <c:pt idx="26">
                  <c:v>0.87391488408972473</c:v>
                </c:pt>
                <c:pt idx="27">
                  <c:v>0.85779958682736013</c:v>
                </c:pt>
                <c:pt idx="28">
                  <c:v>0.86436283323409924</c:v>
                </c:pt>
                <c:pt idx="29">
                  <c:v>0.86314169592410195</c:v>
                </c:pt>
                <c:pt idx="30">
                  <c:v>0.85301965063154228</c:v>
                </c:pt>
                <c:pt idx="31">
                  <c:v>0.84895342959688946</c:v>
                </c:pt>
                <c:pt idx="32">
                  <c:v>0.84606630511616288</c:v>
                </c:pt>
                <c:pt idx="33">
                  <c:v>0.83819490681128683</c:v>
                </c:pt>
              </c:numCache>
            </c:numRef>
          </c:val>
        </c:ser>
        <c:ser>
          <c:idx val="10"/>
          <c:order val="9"/>
          <c:tx>
            <c:strRef>
              <c:f>业绩基准!$R$2</c:f>
              <c:strCache>
                <c:ptCount val="1"/>
                <c:pt idx="0">
                  <c:v>中债短融总指数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业绩基准!$R$4:$R$37</c:f>
              <c:numCache>
                <c:formatCode>General</c:formatCode>
                <c:ptCount val="34"/>
                <c:pt idx="0">
                  <c:v>1.0043382837279058</c:v>
                </c:pt>
                <c:pt idx="1">
                  <c:v>1.0078497334757748</c:v>
                </c:pt>
                <c:pt idx="2">
                  <c:v>1.0152711738690019</c:v>
                </c:pt>
                <c:pt idx="3">
                  <c:v>1.0208632008369358</c:v>
                </c:pt>
                <c:pt idx="4">
                  <c:v>1.0234419541788673</c:v>
                </c:pt>
                <c:pt idx="5">
                  <c:v>1.0288741496410365</c:v>
                </c:pt>
                <c:pt idx="6">
                  <c:v>1.0320085077411041</c:v>
                </c:pt>
                <c:pt idx="7">
                  <c:v>1.0350107107866202</c:v>
                </c:pt>
                <c:pt idx="8">
                  <c:v>1.0388937168920438</c:v>
                </c:pt>
                <c:pt idx="9">
                  <c:v>1.040688534753325</c:v>
                </c:pt>
                <c:pt idx="10">
                  <c:v>1.0449174964989301</c:v>
                </c:pt>
                <c:pt idx="11">
                  <c:v>1.0474976336634212</c:v>
                </c:pt>
                <c:pt idx="12">
                  <c:v>1.0510595929347555</c:v>
                </c:pt>
                <c:pt idx="13">
                  <c:v>1.0531069584133639</c:v>
                </c:pt>
                <c:pt idx="14">
                  <c:v>1.0544672559905679</c:v>
                </c:pt>
                <c:pt idx="15">
                  <c:v>1.0575857001311864</c:v>
                </c:pt>
                <c:pt idx="16">
                  <c:v>1.060752578061434</c:v>
                </c:pt>
                <c:pt idx="17">
                  <c:v>1.0651261492646358</c:v>
                </c:pt>
                <c:pt idx="18">
                  <c:v>1.0683483800973104</c:v>
                </c:pt>
                <c:pt idx="19">
                  <c:v>1.0714225419159855</c:v>
                </c:pt>
                <c:pt idx="20">
                  <c:v>1.0738469990423938</c:v>
                </c:pt>
                <c:pt idx="21">
                  <c:v>1.074561743395015</c:v>
                </c:pt>
                <c:pt idx="22">
                  <c:v>1.0757469874182854</c:v>
                </c:pt>
                <c:pt idx="23">
                  <c:v>1.0800638218965071</c:v>
                </c:pt>
                <c:pt idx="24">
                  <c:v>1.0833628548812961</c:v>
                </c:pt>
                <c:pt idx="25">
                  <c:v>1.0862640388798788</c:v>
                </c:pt>
                <c:pt idx="26">
                  <c:v>1.0901442773401795</c:v>
                </c:pt>
                <c:pt idx="27">
                  <c:v>1.0939504812934868</c:v>
                </c:pt>
                <c:pt idx="28">
                  <c:v>1.0994421811257704</c:v>
                </c:pt>
                <c:pt idx="29">
                  <c:v>1.1043118527169973</c:v>
                </c:pt>
                <c:pt idx="30">
                  <c:v>1.1075008718082167</c:v>
                </c:pt>
                <c:pt idx="31">
                  <c:v>1.1123940683829756</c:v>
                </c:pt>
                <c:pt idx="32">
                  <c:v>1.1168562042300689</c:v>
                </c:pt>
                <c:pt idx="33">
                  <c:v>1.1191796423095413</c:v>
                </c:pt>
              </c:numCache>
            </c:numRef>
          </c:val>
        </c:ser>
        <c:ser>
          <c:idx val="11"/>
          <c:order val="10"/>
          <c:tx>
            <c:strRef>
              <c:f>业绩基准!$S$2</c:f>
              <c:strCache>
                <c:ptCount val="1"/>
                <c:pt idx="0">
                  <c:v>中债高信用等级债券财富指数</c:v>
                </c:pt>
              </c:strCache>
            </c:strRef>
          </c:tx>
          <c:marker>
            <c:symbol val="none"/>
          </c:marker>
          <c:cat>
            <c:numRef>
              <c:f>业绩基准!$G$4:$G$37</c:f>
              <c:numCache>
                <c:formatCode>yyyy\-mm\-dd</c:formatCode>
                <c:ptCount val="34"/>
                <c:pt idx="0">
                  <c:v>42062</c:v>
                </c:pt>
                <c:pt idx="1">
                  <c:v>42094</c:v>
                </c:pt>
                <c:pt idx="2">
                  <c:v>42124</c:v>
                </c:pt>
                <c:pt idx="3">
                  <c:v>42153</c:v>
                </c:pt>
                <c:pt idx="4">
                  <c:v>42185</c:v>
                </c:pt>
                <c:pt idx="5">
                  <c:v>42216</c:v>
                </c:pt>
                <c:pt idx="6">
                  <c:v>42247</c:v>
                </c:pt>
                <c:pt idx="7">
                  <c:v>42277</c:v>
                </c:pt>
                <c:pt idx="8">
                  <c:v>42307</c:v>
                </c:pt>
                <c:pt idx="9">
                  <c:v>42338</c:v>
                </c:pt>
                <c:pt idx="10">
                  <c:v>42369</c:v>
                </c:pt>
                <c:pt idx="11">
                  <c:v>42398</c:v>
                </c:pt>
                <c:pt idx="12">
                  <c:v>42429</c:v>
                </c:pt>
                <c:pt idx="13">
                  <c:v>42460</c:v>
                </c:pt>
                <c:pt idx="14">
                  <c:v>42489</c:v>
                </c:pt>
                <c:pt idx="15">
                  <c:v>42521</c:v>
                </c:pt>
                <c:pt idx="16">
                  <c:v>42551</c:v>
                </c:pt>
                <c:pt idx="17">
                  <c:v>42580</c:v>
                </c:pt>
                <c:pt idx="18">
                  <c:v>42613</c:v>
                </c:pt>
                <c:pt idx="19">
                  <c:v>42643</c:v>
                </c:pt>
                <c:pt idx="20">
                  <c:v>42674</c:v>
                </c:pt>
                <c:pt idx="21">
                  <c:v>42704</c:v>
                </c:pt>
                <c:pt idx="22">
                  <c:v>42734</c:v>
                </c:pt>
                <c:pt idx="23">
                  <c:v>42761</c:v>
                </c:pt>
                <c:pt idx="24">
                  <c:v>42794</c:v>
                </c:pt>
                <c:pt idx="25">
                  <c:v>42825</c:v>
                </c:pt>
                <c:pt idx="26">
                  <c:v>42853</c:v>
                </c:pt>
                <c:pt idx="27">
                  <c:v>42886</c:v>
                </c:pt>
                <c:pt idx="28">
                  <c:v>42916</c:v>
                </c:pt>
                <c:pt idx="29">
                  <c:v>42947</c:v>
                </c:pt>
                <c:pt idx="30">
                  <c:v>42978</c:v>
                </c:pt>
                <c:pt idx="31">
                  <c:v>43007</c:v>
                </c:pt>
                <c:pt idx="32">
                  <c:v>43039</c:v>
                </c:pt>
                <c:pt idx="33">
                  <c:v>43063</c:v>
                </c:pt>
              </c:numCache>
            </c:numRef>
          </c:cat>
          <c:val>
            <c:numRef>
              <c:f>业绩基准!$S$4:$S$37</c:f>
              <c:numCache>
                <c:formatCode>General</c:formatCode>
                <c:ptCount val="34"/>
                <c:pt idx="0">
                  <c:v>1.0081095799348845</c:v>
                </c:pt>
                <c:pt idx="1">
                  <c:v>1.0021185582267051</c:v>
                </c:pt>
                <c:pt idx="2">
                  <c:v>1.0168241679079262</c:v>
                </c:pt>
                <c:pt idx="3">
                  <c:v>1.0254659626323412</c:v>
                </c:pt>
                <c:pt idx="4">
                  <c:v>1.028200516557374</c:v>
                </c:pt>
                <c:pt idx="5">
                  <c:v>1.0413760945598034</c:v>
                </c:pt>
                <c:pt idx="6">
                  <c:v>1.04727990171538</c:v>
                </c:pt>
                <c:pt idx="7">
                  <c:v>1.0535202059636868</c:v>
                </c:pt>
                <c:pt idx="8">
                  <c:v>1.0675322195966293</c:v>
                </c:pt>
                <c:pt idx="9">
                  <c:v>1.0667699506722732</c:v>
                </c:pt>
                <c:pt idx="10">
                  <c:v>1.0820524125124729</c:v>
                </c:pt>
                <c:pt idx="11">
                  <c:v>1.0857305317546813</c:v>
                </c:pt>
                <c:pt idx="12">
                  <c:v>1.0911378340162889</c:v>
                </c:pt>
                <c:pt idx="13">
                  <c:v>1.0969647275506638</c:v>
                </c:pt>
                <c:pt idx="14">
                  <c:v>1.0866830245457519</c:v>
                </c:pt>
                <c:pt idx="15">
                  <c:v>1.094276871181362</c:v>
                </c:pt>
                <c:pt idx="16">
                  <c:v>1.1021948537920132</c:v>
                </c:pt>
                <c:pt idx="17">
                  <c:v>1.1131722130315025</c:v>
                </c:pt>
                <c:pt idx="18">
                  <c:v>1.1194997318324178</c:v>
                </c:pt>
                <c:pt idx="19">
                  <c:v>1.1244228903177425</c:v>
                </c:pt>
                <c:pt idx="20">
                  <c:v>1.1287554620688833</c:v>
                </c:pt>
                <c:pt idx="21">
                  <c:v>1.1191604878246395</c:v>
                </c:pt>
                <c:pt idx="22">
                  <c:v>1.106593351504173</c:v>
                </c:pt>
                <c:pt idx="23">
                  <c:v>1.1103092408282225</c:v>
                </c:pt>
                <c:pt idx="24">
                  <c:v>1.1095263700410458</c:v>
                </c:pt>
                <c:pt idx="25">
                  <c:v>1.1109115019513434</c:v>
                </c:pt>
                <c:pt idx="26">
                  <c:v>1.1079386531463498</c:v>
                </c:pt>
                <c:pt idx="27">
                  <c:v>1.1043738441496547</c:v>
                </c:pt>
                <c:pt idx="28">
                  <c:v>1.1210345706125415</c:v>
                </c:pt>
                <c:pt idx="29">
                  <c:v>1.1264611012794439</c:v>
                </c:pt>
                <c:pt idx="30">
                  <c:v>1.1253328059256451</c:v>
                </c:pt>
                <c:pt idx="31">
                  <c:v>1.1323422463859183</c:v>
                </c:pt>
                <c:pt idx="32">
                  <c:v>1.132549638471644</c:v>
                </c:pt>
                <c:pt idx="33">
                  <c:v>1.1266980227018801</c:v>
                </c:pt>
              </c:numCache>
            </c:numRef>
          </c:val>
        </c:ser>
        <c:marker val="1"/>
        <c:axId val="353777920"/>
        <c:axId val="353788672"/>
      </c:lineChart>
      <c:dateAx>
        <c:axId val="353777920"/>
        <c:scaling>
          <c:orientation val="minMax"/>
        </c:scaling>
        <c:axPos val="b"/>
        <c:numFmt formatCode="yyyy\-mm\-dd" sourceLinked="1"/>
        <c:tickLblPos val="nextTo"/>
        <c:crossAx val="353788672"/>
        <c:crosses val="autoZero"/>
        <c:auto val="1"/>
        <c:lblOffset val="100"/>
      </c:dateAx>
      <c:valAx>
        <c:axId val="353788672"/>
        <c:scaling>
          <c:orientation val="minMax"/>
          <c:min val="0.8"/>
        </c:scaling>
        <c:axPos val="l"/>
        <c:majorGridlines/>
        <c:numFmt formatCode="General" sourceLinked="1"/>
        <c:tickLblPos val="nextTo"/>
        <c:crossAx val="353777920"/>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cat>
            <c:strRef>
              <c:f>shift_factor!$A$1:$A$26</c:f>
              <c:strCache>
                <c:ptCount val="26"/>
                <c:pt idx="0">
                  <c:v>金鹰元盛C</c:v>
                </c:pt>
                <c:pt idx="1">
                  <c:v>鹏华产业债</c:v>
                </c:pt>
                <c:pt idx="2">
                  <c:v>信达澳银纯债</c:v>
                </c:pt>
                <c:pt idx="3">
                  <c:v>安信目标收益A</c:v>
                </c:pt>
                <c:pt idx="4">
                  <c:v>信诚优质纯债A</c:v>
                </c:pt>
                <c:pt idx="5">
                  <c:v>鹏华纯债</c:v>
                </c:pt>
                <c:pt idx="6">
                  <c:v>招商招轩纯债A</c:v>
                </c:pt>
                <c:pt idx="7">
                  <c:v>中海纯债A</c:v>
                </c:pt>
                <c:pt idx="8">
                  <c:v>鑫元鸿利</c:v>
                </c:pt>
                <c:pt idx="9">
                  <c:v>创金合信尊盛</c:v>
                </c:pt>
                <c:pt idx="10">
                  <c:v>北信瑞丰稳定收益A</c:v>
                </c:pt>
                <c:pt idx="11">
                  <c:v>大成景安短融A</c:v>
                </c:pt>
                <c:pt idx="12">
                  <c:v>汇添富实业债A</c:v>
                </c:pt>
                <c:pt idx="13">
                  <c:v>泰康安益纯债A</c:v>
                </c:pt>
                <c:pt idx="14">
                  <c:v>国富恒久信用A</c:v>
                </c:pt>
                <c:pt idx="15">
                  <c:v>民生加银鑫安纯债A</c:v>
                </c:pt>
                <c:pt idx="16">
                  <c:v>国寿安保安康纯债</c:v>
                </c:pt>
                <c:pt idx="17">
                  <c:v>英大纯债A</c:v>
                </c:pt>
                <c:pt idx="18">
                  <c:v>中加纯债</c:v>
                </c:pt>
                <c:pt idx="19">
                  <c:v>浦银安盛盛泰A</c:v>
                </c:pt>
                <c:pt idx="20">
                  <c:v>万家鑫璟纯债A</c:v>
                </c:pt>
                <c:pt idx="21">
                  <c:v>中海惠裕纯债</c:v>
                </c:pt>
                <c:pt idx="22">
                  <c:v>东吴鼎利</c:v>
                </c:pt>
                <c:pt idx="23">
                  <c:v>广发集富纯债A</c:v>
                </c:pt>
                <c:pt idx="24">
                  <c:v>新华纯债添利A</c:v>
                </c:pt>
                <c:pt idx="25">
                  <c:v>金鹰添益纯债</c:v>
                </c:pt>
              </c:strCache>
            </c:strRef>
          </c:cat>
          <c:val>
            <c:numRef>
              <c:f>shift_factor!$B$1:$B$26</c:f>
              <c:numCache>
                <c:formatCode>General</c:formatCode>
                <c:ptCount val="26"/>
                <c:pt idx="0">
                  <c:v>5.4950691945093668</c:v>
                </c:pt>
                <c:pt idx="1">
                  <c:v>4.3281578426483058</c:v>
                </c:pt>
                <c:pt idx="2">
                  <c:v>4.2806484054860396</c:v>
                </c:pt>
                <c:pt idx="3">
                  <c:v>4.1026494825608406</c:v>
                </c:pt>
                <c:pt idx="4">
                  <c:v>3.8096440375114153</c:v>
                </c:pt>
                <c:pt idx="5">
                  <c:v>3.4871106203682487</c:v>
                </c:pt>
                <c:pt idx="6">
                  <c:v>3.3560075570727488</c:v>
                </c:pt>
                <c:pt idx="7">
                  <c:v>3.3353548349603765</c:v>
                </c:pt>
                <c:pt idx="8">
                  <c:v>3.0342403791084593</c:v>
                </c:pt>
                <c:pt idx="9">
                  <c:v>2.9489497413120001</c:v>
                </c:pt>
                <c:pt idx="10">
                  <c:v>2.7209874279256989</c:v>
                </c:pt>
                <c:pt idx="11">
                  <c:v>2.5671134612468642</c:v>
                </c:pt>
                <c:pt idx="12">
                  <c:v>2.5121887851528277</c:v>
                </c:pt>
                <c:pt idx="13">
                  <c:v>2.4755661256030401</c:v>
                </c:pt>
                <c:pt idx="14">
                  <c:v>2.4086159180934277</c:v>
                </c:pt>
                <c:pt idx="15">
                  <c:v>2.0792565281981426</c:v>
                </c:pt>
                <c:pt idx="16">
                  <c:v>1.8592406133432913</c:v>
                </c:pt>
                <c:pt idx="17">
                  <c:v>1.7444915030930013</c:v>
                </c:pt>
                <c:pt idx="18">
                  <c:v>1.6885835878399229</c:v>
                </c:pt>
                <c:pt idx="19">
                  <c:v>1.6463067462316401</c:v>
                </c:pt>
                <c:pt idx="20">
                  <c:v>1.3529173292186047</c:v>
                </c:pt>
                <c:pt idx="21">
                  <c:v>1.3328610905897158</c:v>
                </c:pt>
                <c:pt idx="22">
                  <c:v>1.3238512177853337</c:v>
                </c:pt>
                <c:pt idx="23">
                  <c:v>1.1097506198232761</c:v>
                </c:pt>
                <c:pt idx="24">
                  <c:v>0.95104190066408312</c:v>
                </c:pt>
                <c:pt idx="25">
                  <c:v>0.81921425131854664</c:v>
                </c:pt>
              </c:numCache>
            </c:numRef>
          </c:val>
        </c:ser>
        <c:axId val="380652160"/>
        <c:axId val="380653952"/>
      </c:barChart>
      <c:catAx>
        <c:axId val="380652160"/>
        <c:scaling>
          <c:orientation val="minMax"/>
        </c:scaling>
        <c:axPos val="b"/>
        <c:tickLblPos val="nextTo"/>
        <c:crossAx val="380653952"/>
        <c:crosses val="autoZero"/>
        <c:auto val="1"/>
        <c:lblAlgn val="ctr"/>
        <c:lblOffset val="100"/>
      </c:catAx>
      <c:valAx>
        <c:axId val="380653952"/>
        <c:scaling>
          <c:orientation val="minMax"/>
        </c:scaling>
        <c:axPos val="l"/>
        <c:majorGridlines/>
        <c:numFmt formatCode="General" sourceLinked="1"/>
        <c:tickLblPos val="nextTo"/>
        <c:crossAx val="38065216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cat>
            <c:strRef>
              <c:f>'2017年前三季度'!$J$70:$J$75</c:f>
              <c:strCache>
                <c:ptCount val="6"/>
                <c:pt idx="0">
                  <c:v>万家鑫璟纯债A</c:v>
                </c:pt>
                <c:pt idx="1">
                  <c:v>金鹰添益纯债</c:v>
                </c:pt>
                <c:pt idx="2">
                  <c:v>东吴鼎利</c:v>
                </c:pt>
                <c:pt idx="3">
                  <c:v>鹏华产业债</c:v>
                </c:pt>
                <c:pt idx="4">
                  <c:v>中海纯债A</c:v>
                </c:pt>
                <c:pt idx="5">
                  <c:v>汇添富实业债A</c:v>
                </c:pt>
              </c:strCache>
            </c:strRef>
          </c:cat>
          <c:val>
            <c:numRef>
              <c:f>'2017年前三季度'!$I$70:$I$75</c:f>
              <c:numCache>
                <c:formatCode>General</c:formatCode>
                <c:ptCount val="6"/>
                <c:pt idx="0">
                  <c:v>0.25265308104264789</c:v>
                </c:pt>
                <c:pt idx="1">
                  <c:v>0.21084500068514006</c:v>
                </c:pt>
                <c:pt idx="2">
                  <c:v>-0.53740528844448265</c:v>
                </c:pt>
                <c:pt idx="3">
                  <c:v>-0.73972013481479071</c:v>
                </c:pt>
                <c:pt idx="4">
                  <c:v>-0.8045067323993087</c:v>
                </c:pt>
                <c:pt idx="5">
                  <c:v>-0.80459615127490158</c:v>
                </c:pt>
              </c:numCache>
            </c:numRef>
          </c:val>
        </c:ser>
        <c:axId val="359074816"/>
        <c:axId val="359084800"/>
      </c:barChart>
      <c:catAx>
        <c:axId val="359074816"/>
        <c:scaling>
          <c:orientation val="minMax"/>
        </c:scaling>
        <c:axPos val="b"/>
        <c:tickLblPos val="nextTo"/>
        <c:crossAx val="359084800"/>
        <c:crosses val="autoZero"/>
        <c:auto val="1"/>
        <c:lblAlgn val="ctr"/>
        <c:lblOffset val="100"/>
      </c:catAx>
      <c:valAx>
        <c:axId val="359084800"/>
        <c:scaling>
          <c:orientation val="minMax"/>
        </c:scaling>
        <c:axPos val="l"/>
        <c:majorGridlines/>
        <c:numFmt formatCode="General" sourceLinked="1"/>
        <c:tickLblPos val="nextTo"/>
        <c:crossAx val="35907481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cat>
            <c:strRef>
              <c:f>'2017年前三季度'!$F$67:$F$74</c:f>
              <c:strCache>
                <c:ptCount val="8"/>
                <c:pt idx="0">
                  <c:v>信诚优质纯债A</c:v>
                </c:pt>
                <c:pt idx="1">
                  <c:v>安信目标收益A</c:v>
                </c:pt>
                <c:pt idx="2">
                  <c:v>鑫元鸿利</c:v>
                </c:pt>
                <c:pt idx="3">
                  <c:v>大成景安短融A</c:v>
                </c:pt>
                <c:pt idx="4">
                  <c:v>招商招轩纯债A</c:v>
                </c:pt>
                <c:pt idx="5">
                  <c:v>浦银安盛盛泰A</c:v>
                </c:pt>
                <c:pt idx="6">
                  <c:v>国寿安保安康纯债</c:v>
                </c:pt>
                <c:pt idx="7">
                  <c:v>金鹰添益纯债</c:v>
                </c:pt>
              </c:strCache>
            </c:strRef>
          </c:cat>
          <c:val>
            <c:numRef>
              <c:f>'2017年前三季度'!$G$67:$G$74</c:f>
              <c:numCache>
                <c:formatCode>General</c:formatCode>
                <c:ptCount val="8"/>
                <c:pt idx="0">
                  <c:v>1.9999770625916995</c:v>
                </c:pt>
                <c:pt idx="1">
                  <c:v>1.3805649844565739</c:v>
                </c:pt>
                <c:pt idx="2">
                  <c:v>1.2855182880058806</c:v>
                </c:pt>
                <c:pt idx="3">
                  <c:v>0.98510441586292585</c:v>
                </c:pt>
                <c:pt idx="4">
                  <c:v>0.87820426317355105</c:v>
                </c:pt>
                <c:pt idx="5">
                  <c:v>0.64776395473553094</c:v>
                </c:pt>
                <c:pt idx="6">
                  <c:v>0.5678475769703597</c:v>
                </c:pt>
                <c:pt idx="7">
                  <c:v>0.46280002073302112</c:v>
                </c:pt>
              </c:numCache>
            </c:numRef>
          </c:val>
        </c:ser>
        <c:axId val="359095680"/>
        <c:axId val="359109760"/>
      </c:barChart>
      <c:catAx>
        <c:axId val="359095680"/>
        <c:scaling>
          <c:orientation val="minMax"/>
        </c:scaling>
        <c:axPos val="b"/>
        <c:tickLblPos val="nextTo"/>
        <c:crossAx val="359109760"/>
        <c:crosses val="autoZero"/>
        <c:auto val="1"/>
        <c:lblAlgn val="ctr"/>
        <c:lblOffset val="100"/>
      </c:catAx>
      <c:valAx>
        <c:axId val="359109760"/>
        <c:scaling>
          <c:orientation val="minMax"/>
        </c:scaling>
        <c:axPos val="l"/>
        <c:majorGridlines/>
        <c:numFmt formatCode="General" sourceLinked="1"/>
        <c:tickLblPos val="nextTo"/>
        <c:crossAx val="35909568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scatterChart>
        <c:scatterStyle val="lineMarker"/>
        <c:ser>
          <c:idx val="0"/>
          <c:order val="0"/>
          <c:spPr>
            <a:ln w="28575">
              <a:noFill/>
            </a:ln>
          </c:spPr>
          <c:yVal>
            <c:numRef>
              <c:f>'2017年前三季度'!$E$4:$E$29</c:f>
              <c:numCache>
                <c:formatCode>0.00%</c:formatCode>
                <c:ptCount val="14"/>
                <c:pt idx="0">
                  <c:v>0.18477998686985053</c:v>
                </c:pt>
                <c:pt idx="1">
                  <c:v>0.15769984360697775</c:v>
                </c:pt>
                <c:pt idx="2">
                  <c:v>0.16837488541529244</c:v>
                </c:pt>
                <c:pt idx="3">
                  <c:v>0.14743138274787196</c:v>
                </c:pt>
                <c:pt idx="4">
                  <c:v>7.8365945057702793E-2</c:v>
                </c:pt>
                <c:pt idx="5">
                  <c:v>0.18376937729369691</c:v>
                </c:pt>
                <c:pt idx="6">
                  <c:v>0.21240974448637936</c:v>
                </c:pt>
                <c:pt idx="7">
                  <c:v>0.25101481502241402</c:v>
                </c:pt>
                <c:pt idx="8">
                  <c:v>0.15273237537173626</c:v>
                </c:pt>
                <c:pt idx="9">
                  <c:v>6.3616540239562425E-2</c:v>
                </c:pt>
                <c:pt idx="10">
                  <c:v>7.4567859273224957E-2</c:v>
                </c:pt>
                <c:pt idx="11">
                  <c:v>5.3083132863165572E-2</c:v>
                </c:pt>
                <c:pt idx="12">
                  <c:v>0.20213819810320799</c:v>
                </c:pt>
                <c:pt idx="13">
                  <c:v>0.23502287431070618</c:v>
                </c:pt>
              </c:numCache>
            </c:numRef>
          </c:yVal>
        </c:ser>
        <c:axId val="359124992"/>
        <c:axId val="359126528"/>
      </c:scatterChart>
      <c:valAx>
        <c:axId val="359124992"/>
        <c:scaling>
          <c:orientation val="minMax"/>
        </c:scaling>
        <c:axPos val="b"/>
        <c:tickLblPos val="nextTo"/>
        <c:crossAx val="359126528"/>
        <c:crosses val="autoZero"/>
        <c:crossBetween val="midCat"/>
      </c:valAx>
      <c:valAx>
        <c:axId val="359126528"/>
        <c:scaling>
          <c:orientation val="minMax"/>
        </c:scaling>
        <c:axPos val="l"/>
        <c:majorGridlines/>
        <c:numFmt formatCode="0.00%" sourceLinked="1"/>
        <c:tickLblPos val="nextTo"/>
        <c:crossAx val="359124992"/>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9</Pages>
  <Words>644</Words>
  <Characters>3677</Characters>
  <Application>Microsoft Office Word</Application>
  <DocSecurity>0</DocSecurity>
  <Lines>30</Lines>
  <Paragraphs>8</Paragraphs>
  <ScaleCrop>false</ScaleCrop>
  <Company>Microsoft</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2017-11-27T07:47:00Z</dcterms:created>
  <dcterms:modified xsi:type="dcterms:W3CDTF">2017-12-11T08:31:00Z</dcterms:modified>
</cp:coreProperties>
</file>