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F0A41" w14:textId="77777777" w:rsidR="0012498A" w:rsidRPr="000B24D7" w:rsidRDefault="00E04393" w:rsidP="008B51C8">
      <w:pPr>
        <w:spacing w:line="480" w:lineRule="auto"/>
        <w:rPr>
          <w:b/>
          <w:sz w:val="24"/>
          <w:szCs w:val="24"/>
        </w:rPr>
      </w:pPr>
      <w:r w:rsidRPr="000B24D7">
        <w:rPr>
          <w:b/>
          <w:sz w:val="24"/>
          <w:szCs w:val="24"/>
        </w:rPr>
        <w:t>FRE</w:t>
      </w:r>
      <w:r w:rsidR="000A4008" w:rsidRPr="000B24D7">
        <w:rPr>
          <w:rFonts w:hint="eastAsia"/>
          <w:b/>
          <w:sz w:val="24"/>
          <w:szCs w:val="24"/>
        </w:rPr>
        <w:t>.</w:t>
      </w:r>
      <w:r w:rsidR="000A4008" w:rsidRPr="000B24D7">
        <w:rPr>
          <w:b/>
          <w:sz w:val="24"/>
          <w:szCs w:val="24"/>
        </w:rPr>
        <w:t xml:space="preserve"> 6131</w:t>
      </w:r>
    </w:p>
    <w:p w14:paraId="6259CFB9" w14:textId="50993D93" w:rsidR="008276F0" w:rsidRPr="000B24D7" w:rsidRDefault="00E12F08" w:rsidP="008B51C8">
      <w:pPr>
        <w:spacing w:line="480" w:lineRule="auto"/>
        <w:rPr>
          <w:b/>
          <w:sz w:val="24"/>
          <w:szCs w:val="24"/>
        </w:rPr>
      </w:pPr>
      <w:r w:rsidRPr="000B24D7">
        <w:rPr>
          <w:b/>
          <w:sz w:val="24"/>
          <w:szCs w:val="24"/>
        </w:rPr>
        <w:t>Project Report</w:t>
      </w:r>
    </w:p>
    <w:p w14:paraId="445950CD" w14:textId="298B5E66" w:rsidR="006618E2" w:rsidRPr="000B24D7" w:rsidRDefault="006618E2" w:rsidP="008B51C8">
      <w:pPr>
        <w:spacing w:line="480" w:lineRule="auto"/>
        <w:rPr>
          <w:b/>
          <w:sz w:val="24"/>
          <w:szCs w:val="24"/>
        </w:rPr>
      </w:pPr>
      <w:r w:rsidRPr="000B24D7">
        <w:rPr>
          <w:b/>
          <w:sz w:val="24"/>
          <w:szCs w:val="24"/>
        </w:rPr>
        <w:t>Yuezhou You (yy2156)</w:t>
      </w:r>
    </w:p>
    <w:p w14:paraId="44A76C92" w14:textId="6BDA2B1F" w:rsidR="003F7A94" w:rsidRPr="000B24D7" w:rsidRDefault="00F14243" w:rsidP="008B51C8">
      <w:pPr>
        <w:pStyle w:val="ListParagraph"/>
        <w:numPr>
          <w:ilvl w:val="0"/>
          <w:numId w:val="4"/>
        </w:numPr>
        <w:spacing w:line="480" w:lineRule="auto"/>
        <w:rPr>
          <w:b/>
          <w:color w:val="2E74B5" w:themeColor="accent5" w:themeShade="BF"/>
          <w:sz w:val="24"/>
          <w:szCs w:val="24"/>
        </w:rPr>
      </w:pPr>
      <w:r w:rsidRPr="000B24D7">
        <w:rPr>
          <w:b/>
          <w:color w:val="2E74B5" w:themeColor="accent5" w:themeShade="BF"/>
          <w:sz w:val="24"/>
          <w:szCs w:val="24"/>
        </w:rPr>
        <w:t>Intro</w:t>
      </w:r>
      <w:r w:rsidR="00EB7B10" w:rsidRPr="000B24D7">
        <w:rPr>
          <w:rFonts w:hint="eastAsia"/>
          <w:b/>
          <w:color w:val="2E74B5" w:themeColor="accent5" w:themeShade="BF"/>
          <w:sz w:val="24"/>
          <w:szCs w:val="24"/>
        </w:rPr>
        <w:t>duction</w:t>
      </w:r>
    </w:p>
    <w:p w14:paraId="2609623D" w14:textId="6D5308C5" w:rsidR="0012498A" w:rsidRPr="000B24D7" w:rsidRDefault="00254FF3" w:rsidP="008B51C8">
      <w:pPr>
        <w:spacing w:line="480" w:lineRule="auto"/>
        <w:ind w:firstLine="360"/>
        <w:rPr>
          <w:sz w:val="24"/>
          <w:szCs w:val="24"/>
        </w:rPr>
      </w:pPr>
      <w:r w:rsidRPr="000B24D7">
        <w:rPr>
          <w:sz w:val="24"/>
          <w:szCs w:val="24"/>
        </w:rPr>
        <w:t xml:space="preserve">UMR, which means the </w:t>
      </w:r>
      <w:bookmarkStart w:id="0" w:name="OLE_LINK1"/>
      <w:bookmarkStart w:id="1" w:name="OLE_LINK2"/>
      <w:r w:rsidRPr="000B24D7">
        <w:rPr>
          <w:sz w:val="24"/>
          <w:szCs w:val="24"/>
        </w:rPr>
        <w:t>un</w:t>
      </w:r>
      <w:r w:rsidR="00263F39" w:rsidRPr="000B24D7">
        <w:rPr>
          <w:sz w:val="24"/>
          <w:szCs w:val="24"/>
        </w:rPr>
        <w:t>cleared margin rules</w:t>
      </w:r>
      <w:bookmarkEnd w:id="0"/>
      <w:bookmarkEnd w:id="1"/>
      <w:r w:rsidR="00263F39" w:rsidRPr="000B24D7">
        <w:rPr>
          <w:sz w:val="24"/>
          <w:szCs w:val="24"/>
        </w:rPr>
        <w:t>, is</w:t>
      </w:r>
      <w:r w:rsidR="00010DFC" w:rsidRPr="000B24D7">
        <w:rPr>
          <w:sz w:val="24"/>
          <w:szCs w:val="24"/>
        </w:rPr>
        <w:t xml:space="preserve"> </w:t>
      </w:r>
      <w:r w:rsidR="008F4F61" w:rsidRPr="000B24D7">
        <w:rPr>
          <w:sz w:val="24"/>
          <w:szCs w:val="24"/>
        </w:rPr>
        <w:t>the</w:t>
      </w:r>
      <w:r w:rsidR="00BE7E6A" w:rsidRPr="000B24D7">
        <w:rPr>
          <w:sz w:val="24"/>
          <w:szCs w:val="24"/>
        </w:rPr>
        <w:t xml:space="preserve"> international</w:t>
      </w:r>
      <w:r w:rsidR="00B43262" w:rsidRPr="000B24D7">
        <w:rPr>
          <w:sz w:val="24"/>
          <w:szCs w:val="24"/>
        </w:rPr>
        <w:t xml:space="preserve"> margin posting</w:t>
      </w:r>
      <w:r w:rsidR="00BE7E6A" w:rsidRPr="000B24D7">
        <w:rPr>
          <w:sz w:val="24"/>
          <w:szCs w:val="24"/>
        </w:rPr>
        <w:t xml:space="preserve"> framework on th</w:t>
      </w:r>
      <w:r w:rsidR="008F4F61" w:rsidRPr="000B24D7">
        <w:rPr>
          <w:sz w:val="24"/>
          <w:szCs w:val="24"/>
        </w:rPr>
        <w:t xml:space="preserve">e </w:t>
      </w:r>
      <w:r w:rsidR="00996EAE" w:rsidRPr="000B24D7">
        <w:rPr>
          <w:sz w:val="24"/>
          <w:szCs w:val="24"/>
        </w:rPr>
        <w:t>n</w:t>
      </w:r>
      <w:r w:rsidR="008F4F61" w:rsidRPr="000B24D7">
        <w:rPr>
          <w:sz w:val="24"/>
          <w:szCs w:val="24"/>
        </w:rPr>
        <w:t>on-centrally cleared derivatives</w:t>
      </w:r>
      <w:r w:rsidR="00996EAE" w:rsidRPr="000B24D7">
        <w:rPr>
          <w:sz w:val="24"/>
          <w:szCs w:val="24"/>
        </w:rPr>
        <w:t xml:space="preserve"> that</w:t>
      </w:r>
      <w:r w:rsidR="006A238E" w:rsidRPr="000B24D7">
        <w:rPr>
          <w:sz w:val="24"/>
          <w:szCs w:val="24"/>
        </w:rPr>
        <w:t xml:space="preserve"> the </w:t>
      </w:r>
      <w:r w:rsidR="00B928F3" w:rsidRPr="000B24D7">
        <w:rPr>
          <w:sz w:val="24"/>
          <w:szCs w:val="24"/>
        </w:rPr>
        <w:t>global</w:t>
      </w:r>
      <w:r w:rsidR="00263F39" w:rsidRPr="000B24D7">
        <w:rPr>
          <w:sz w:val="24"/>
          <w:szCs w:val="24"/>
        </w:rPr>
        <w:t xml:space="preserve"> </w:t>
      </w:r>
      <w:r w:rsidR="009B0283" w:rsidRPr="000B24D7">
        <w:rPr>
          <w:sz w:val="24"/>
          <w:szCs w:val="24"/>
        </w:rPr>
        <w:t>r</w:t>
      </w:r>
      <w:r w:rsidR="00AC6B5E" w:rsidRPr="000B24D7">
        <w:rPr>
          <w:sz w:val="24"/>
          <w:szCs w:val="24"/>
        </w:rPr>
        <w:t>egulators</w:t>
      </w:r>
      <w:r w:rsidR="006A238E" w:rsidRPr="000B24D7">
        <w:rPr>
          <w:sz w:val="24"/>
          <w:szCs w:val="24"/>
        </w:rPr>
        <w:t xml:space="preserve"> </w:t>
      </w:r>
      <w:r w:rsidR="00AC6B5E" w:rsidRPr="000B24D7">
        <w:rPr>
          <w:sz w:val="24"/>
          <w:szCs w:val="24"/>
        </w:rPr>
        <w:t>implemented</w:t>
      </w:r>
      <w:r w:rsidR="00A06D16" w:rsidRPr="000B24D7">
        <w:rPr>
          <w:rFonts w:hint="eastAsia"/>
          <w:sz w:val="24"/>
          <w:szCs w:val="24"/>
        </w:rPr>
        <w:t>.</w:t>
      </w:r>
      <w:r w:rsidR="00261E2D" w:rsidRPr="000B24D7">
        <w:rPr>
          <w:sz w:val="24"/>
          <w:szCs w:val="24"/>
        </w:rPr>
        <w:t xml:space="preserve"> </w:t>
      </w:r>
      <w:r w:rsidR="00C67591" w:rsidRPr="000B24D7">
        <w:rPr>
          <w:sz w:val="24"/>
          <w:szCs w:val="24"/>
        </w:rPr>
        <w:t xml:space="preserve">It </w:t>
      </w:r>
      <w:r w:rsidR="00C67591" w:rsidRPr="000B24D7">
        <w:rPr>
          <w:sz w:val="24"/>
          <w:szCs w:val="24"/>
        </w:rPr>
        <w:t xml:space="preserve">was introduced by the BCBS and IOSCO in 2016 as one of the major reforms to mitigate systemic risk in the </w:t>
      </w:r>
      <w:r w:rsidR="009B0283" w:rsidRPr="000B24D7">
        <w:rPr>
          <w:sz w:val="24"/>
          <w:szCs w:val="24"/>
        </w:rPr>
        <w:t xml:space="preserve">financial </w:t>
      </w:r>
      <w:r w:rsidR="00C67591" w:rsidRPr="000B24D7">
        <w:rPr>
          <w:sz w:val="24"/>
          <w:szCs w:val="24"/>
        </w:rPr>
        <w:t>industry following the 2008 financial crisis.</w:t>
      </w:r>
      <w:r w:rsidR="00C67591" w:rsidRPr="000B24D7">
        <w:rPr>
          <w:sz w:val="24"/>
          <w:szCs w:val="24"/>
        </w:rPr>
        <w:t xml:space="preserve"> </w:t>
      </w:r>
    </w:p>
    <w:p w14:paraId="150A431F" w14:textId="3E8A914E" w:rsidR="00BF5A1A" w:rsidRPr="000B24D7" w:rsidRDefault="009B0283" w:rsidP="008B51C8">
      <w:pPr>
        <w:spacing w:line="480" w:lineRule="auto"/>
        <w:ind w:firstLine="360"/>
        <w:rPr>
          <w:sz w:val="24"/>
          <w:szCs w:val="24"/>
        </w:rPr>
      </w:pPr>
      <w:r w:rsidRPr="000B24D7">
        <w:rPr>
          <w:sz w:val="24"/>
          <w:szCs w:val="24"/>
        </w:rPr>
        <w:t>U</w:t>
      </w:r>
      <w:r w:rsidRPr="000B24D7">
        <w:rPr>
          <w:sz w:val="24"/>
          <w:szCs w:val="24"/>
        </w:rPr>
        <w:t>ncleared margin rules</w:t>
      </w:r>
      <w:r w:rsidR="00FD7B53" w:rsidRPr="000B24D7">
        <w:rPr>
          <w:sz w:val="24"/>
          <w:szCs w:val="24"/>
        </w:rPr>
        <w:t xml:space="preserve"> began to be phased-in on September 1, 2016 for the largest market participants.  Broader implementation of variation margin requirements occurred </w:t>
      </w:r>
      <w:r w:rsidR="00387D25" w:rsidRPr="000B24D7">
        <w:rPr>
          <w:sz w:val="24"/>
          <w:szCs w:val="24"/>
        </w:rPr>
        <w:t>later in 2017</w:t>
      </w:r>
      <w:r w:rsidR="00FD7B53" w:rsidRPr="000B24D7">
        <w:rPr>
          <w:sz w:val="24"/>
          <w:szCs w:val="24"/>
        </w:rPr>
        <w:t xml:space="preserve">, </w:t>
      </w:r>
      <w:r w:rsidR="00387D25" w:rsidRPr="000B24D7">
        <w:rPr>
          <w:sz w:val="24"/>
          <w:szCs w:val="24"/>
        </w:rPr>
        <w:t>and the</w:t>
      </w:r>
      <w:r w:rsidR="00FD7B53" w:rsidRPr="000B24D7">
        <w:rPr>
          <w:sz w:val="24"/>
          <w:szCs w:val="24"/>
        </w:rPr>
        <w:t xml:space="preserve"> initial </w:t>
      </w:r>
      <w:r w:rsidR="006575C8" w:rsidRPr="000B24D7">
        <w:rPr>
          <w:sz w:val="24"/>
          <w:szCs w:val="24"/>
        </w:rPr>
        <w:t>margin requirements</w:t>
      </w:r>
      <w:r w:rsidR="00FD7B53" w:rsidRPr="000B24D7">
        <w:rPr>
          <w:sz w:val="24"/>
          <w:szCs w:val="24"/>
        </w:rPr>
        <w:t xml:space="preserve"> continue to phase-in </w:t>
      </w:r>
      <w:r w:rsidR="00387D25" w:rsidRPr="000B24D7">
        <w:rPr>
          <w:sz w:val="24"/>
          <w:szCs w:val="24"/>
        </w:rPr>
        <w:t>until</w:t>
      </w:r>
      <w:r w:rsidR="00FD7B53" w:rsidRPr="000B24D7">
        <w:rPr>
          <w:sz w:val="24"/>
          <w:szCs w:val="24"/>
        </w:rPr>
        <w:t xml:space="preserve"> 202</w:t>
      </w:r>
      <w:r w:rsidR="006575C8" w:rsidRPr="000B24D7">
        <w:rPr>
          <w:sz w:val="24"/>
          <w:szCs w:val="24"/>
        </w:rPr>
        <w:t xml:space="preserve">0 </w:t>
      </w:r>
      <w:r w:rsidR="006575C8" w:rsidRPr="000B24D7">
        <w:rPr>
          <w:sz w:val="24"/>
          <w:szCs w:val="24"/>
        </w:rPr>
        <w:lastRenderedPageBreak/>
        <w:t>and 2021</w:t>
      </w:r>
      <w:r w:rsidR="00FD7B53" w:rsidRPr="000B24D7">
        <w:rPr>
          <w:sz w:val="24"/>
          <w:szCs w:val="24"/>
        </w:rPr>
        <w:t>.</w:t>
      </w:r>
      <w:r w:rsidR="00BF5A1A" w:rsidRPr="000B24D7">
        <w:rPr>
          <w:sz w:val="24"/>
          <w:szCs w:val="24"/>
        </w:rPr>
        <w:t xml:space="preserve"> </w:t>
      </w:r>
      <w:r w:rsidR="00BF5A1A" w:rsidRPr="000B24D7">
        <w:rPr>
          <w:sz w:val="24"/>
          <w:szCs w:val="24"/>
        </w:rPr>
        <w:t xml:space="preserve">So far, the phase 4 of the initial margin rules for non-cleared derivatives is being posted. Although </w:t>
      </w:r>
      <w:r w:rsidR="00DF0F57" w:rsidRPr="000B24D7">
        <w:rPr>
          <w:rFonts w:hint="eastAsia"/>
          <w:sz w:val="24"/>
          <w:szCs w:val="24"/>
        </w:rPr>
        <w:t>the</w:t>
      </w:r>
      <w:r w:rsidR="00DF0F57" w:rsidRPr="000B24D7">
        <w:rPr>
          <w:sz w:val="24"/>
          <w:szCs w:val="24"/>
        </w:rPr>
        <w:t xml:space="preserve"> whole process</w:t>
      </w:r>
      <w:r w:rsidR="00BF5A1A" w:rsidRPr="000B24D7">
        <w:rPr>
          <w:sz w:val="24"/>
          <w:szCs w:val="24"/>
        </w:rPr>
        <w:t xml:space="preserve"> has been given a vital delay until September 2021, the new </w:t>
      </w:r>
      <w:r w:rsidRPr="000B24D7">
        <w:rPr>
          <w:sz w:val="24"/>
          <w:szCs w:val="24"/>
        </w:rPr>
        <w:t>uncleared margin rules</w:t>
      </w:r>
      <w:r w:rsidR="00BF5A1A" w:rsidRPr="000B24D7">
        <w:rPr>
          <w:sz w:val="24"/>
          <w:szCs w:val="24"/>
        </w:rPr>
        <w:t xml:space="preserve"> will eventually push thousands of buy side financial institutions that had</w:t>
      </w:r>
      <w:r w:rsidR="00C918D5" w:rsidRPr="000B24D7">
        <w:rPr>
          <w:sz w:val="24"/>
          <w:szCs w:val="24"/>
        </w:rPr>
        <w:t xml:space="preserve"> non-centrally cleared</w:t>
      </w:r>
      <w:r w:rsidR="00BF5A1A" w:rsidRPr="000B24D7">
        <w:rPr>
          <w:sz w:val="24"/>
          <w:szCs w:val="24"/>
        </w:rPr>
        <w:t xml:space="preserve"> derivatives</w:t>
      </w:r>
      <w:r w:rsidR="001406C0" w:rsidRPr="000B24D7">
        <w:rPr>
          <w:sz w:val="24"/>
          <w:szCs w:val="24"/>
        </w:rPr>
        <w:t xml:space="preserve"> </w:t>
      </w:r>
      <w:r w:rsidR="00BF5A1A" w:rsidRPr="000B24D7">
        <w:rPr>
          <w:sz w:val="24"/>
          <w:szCs w:val="24"/>
        </w:rPr>
        <w:t xml:space="preserve">to comply with the </w:t>
      </w:r>
      <w:r w:rsidRPr="000B24D7">
        <w:rPr>
          <w:sz w:val="24"/>
          <w:szCs w:val="24"/>
        </w:rPr>
        <w:t>uncleared margin rules</w:t>
      </w:r>
      <w:r w:rsidR="00BF5A1A" w:rsidRPr="000B24D7">
        <w:rPr>
          <w:sz w:val="24"/>
          <w:szCs w:val="24"/>
        </w:rPr>
        <w:t>. The uncleared margin rules will require firms to post collateral for their non-cleared derivatives trades, which includes FX forwards, cross-currency swaps, swaption, exotics and equity options, on a third-party.</w:t>
      </w:r>
    </w:p>
    <w:p w14:paraId="1A5EE178" w14:textId="77777777" w:rsidR="00487E31" w:rsidRPr="000B24D7" w:rsidRDefault="000E4897" w:rsidP="008B51C8">
      <w:pPr>
        <w:spacing w:line="480" w:lineRule="auto"/>
        <w:ind w:firstLine="360"/>
        <w:rPr>
          <w:sz w:val="24"/>
          <w:szCs w:val="24"/>
        </w:rPr>
      </w:pPr>
      <w:r w:rsidRPr="000B24D7">
        <w:rPr>
          <w:sz w:val="24"/>
          <w:szCs w:val="24"/>
        </w:rPr>
        <w:t>Uncleared margin rules</w:t>
      </w:r>
      <w:r w:rsidRPr="000B24D7">
        <w:rPr>
          <w:sz w:val="24"/>
          <w:szCs w:val="24"/>
        </w:rPr>
        <w:t xml:space="preserve"> are assigned to</w:t>
      </w:r>
      <w:r w:rsidRPr="000B24D7">
        <w:rPr>
          <w:sz w:val="24"/>
          <w:szCs w:val="24"/>
        </w:rPr>
        <w:t xml:space="preserve"> all financial firms and systemically important non-financial firms. The rules have been capturing firms from various phases over the last 3 years</w:t>
      </w:r>
      <w:r w:rsidR="0037661A" w:rsidRPr="000B24D7">
        <w:rPr>
          <w:sz w:val="24"/>
          <w:szCs w:val="24"/>
        </w:rPr>
        <w:t>.</w:t>
      </w:r>
      <w:r w:rsidR="005C208C" w:rsidRPr="000B24D7">
        <w:rPr>
          <w:sz w:val="24"/>
          <w:szCs w:val="24"/>
        </w:rPr>
        <w:t xml:space="preserve"> Many buy-side firms</w:t>
      </w:r>
      <w:r w:rsidRPr="000B24D7">
        <w:rPr>
          <w:sz w:val="24"/>
          <w:szCs w:val="24"/>
        </w:rPr>
        <w:t xml:space="preserve"> </w:t>
      </w:r>
      <w:r w:rsidR="005C208C" w:rsidRPr="000B24D7">
        <w:rPr>
          <w:sz w:val="24"/>
          <w:szCs w:val="24"/>
        </w:rPr>
        <w:t>with</w:t>
      </w:r>
      <w:r w:rsidRPr="000B24D7">
        <w:rPr>
          <w:sz w:val="24"/>
          <w:szCs w:val="24"/>
        </w:rPr>
        <w:t xml:space="preserve"> a notional exposure above $8bn of bilateral derivatives </w:t>
      </w:r>
      <w:r w:rsidR="00DC44F9" w:rsidRPr="000B24D7">
        <w:rPr>
          <w:sz w:val="24"/>
          <w:szCs w:val="24"/>
        </w:rPr>
        <w:t>should</w:t>
      </w:r>
      <w:r w:rsidRPr="000B24D7">
        <w:rPr>
          <w:sz w:val="24"/>
          <w:szCs w:val="24"/>
        </w:rPr>
        <w:t xml:space="preserve"> be familiar with the exchange of </w:t>
      </w:r>
      <w:r w:rsidR="00DC44F9" w:rsidRPr="000B24D7">
        <w:rPr>
          <w:sz w:val="24"/>
          <w:szCs w:val="24"/>
        </w:rPr>
        <w:t>variation margin</w:t>
      </w:r>
      <w:r w:rsidRPr="000B24D7">
        <w:rPr>
          <w:sz w:val="24"/>
          <w:szCs w:val="24"/>
        </w:rPr>
        <w:t xml:space="preserve"> already. However, </w:t>
      </w:r>
      <w:r w:rsidR="00DC44F9" w:rsidRPr="000B24D7">
        <w:rPr>
          <w:sz w:val="24"/>
          <w:szCs w:val="24"/>
        </w:rPr>
        <w:t>initial margin</w:t>
      </w:r>
      <w:r w:rsidRPr="000B24D7">
        <w:rPr>
          <w:sz w:val="24"/>
          <w:szCs w:val="24"/>
        </w:rPr>
        <w:t xml:space="preserve"> may well be a new concept for a lot of firms.</w:t>
      </w:r>
      <w:r w:rsidR="00E95517" w:rsidRPr="000B24D7">
        <w:rPr>
          <w:sz w:val="24"/>
          <w:szCs w:val="24"/>
        </w:rPr>
        <w:t xml:space="preserve"> </w:t>
      </w:r>
    </w:p>
    <w:p w14:paraId="33B7F3C3" w14:textId="58E29162" w:rsidR="00764516" w:rsidRPr="000B24D7" w:rsidRDefault="00487E31" w:rsidP="008B51C8">
      <w:pPr>
        <w:spacing w:line="480" w:lineRule="auto"/>
        <w:ind w:firstLine="360"/>
        <w:rPr>
          <w:sz w:val="24"/>
          <w:szCs w:val="24"/>
        </w:rPr>
      </w:pPr>
      <w:r w:rsidRPr="000B24D7">
        <w:rPr>
          <w:sz w:val="24"/>
          <w:szCs w:val="24"/>
        </w:rPr>
        <w:lastRenderedPageBreak/>
        <w:t>Since t</w:t>
      </w:r>
      <w:r w:rsidR="00E95517" w:rsidRPr="000B24D7">
        <w:rPr>
          <w:sz w:val="24"/>
          <w:szCs w:val="24"/>
        </w:rPr>
        <w:t>he u</w:t>
      </w:r>
      <w:r w:rsidR="00E95517" w:rsidRPr="000B24D7">
        <w:rPr>
          <w:sz w:val="24"/>
          <w:szCs w:val="24"/>
        </w:rPr>
        <w:t>ncleared margin rules</w:t>
      </w:r>
      <w:r w:rsidR="00E95517" w:rsidRPr="000B24D7">
        <w:rPr>
          <w:sz w:val="24"/>
          <w:szCs w:val="24"/>
        </w:rPr>
        <w:t xml:space="preserve"> caused m</w:t>
      </w:r>
      <w:r w:rsidR="00F375FC" w:rsidRPr="000B24D7">
        <w:rPr>
          <w:sz w:val="24"/>
          <w:szCs w:val="24"/>
        </w:rPr>
        <w:t xml:space="preserve">uch trouble and </w:t>
      </w:r>
      <w:r w:rsidR="00F215CD" w:rsidRPr="000B24D7">
        <w:rPr>
          <w:sz w:val="24"/>
          <w:szCs w:val="24"/>
        </w:rPr>
        <w:t xml:space="preserve">higher </w:t>
      </w:r>
      <w:r w:rsidR="006C0F1D" w:rsidRPr="000B24D7">
        <w:rPr>
          <w:sz w:val="24"/>
          <w:szCs w:val="24"/>
        </w:rPr>
        <w:t>collateral cost</w:t>
      </w:r>
      <w:r w:rsidR="00D25D9C" w:rsidRPr="000B24D7">
        <w:rPr>
          <w:sz w:val="24"/>
          <w:szCs w:val="24"/>
        </w:rPr>
        <w:t xml:space="preserve"> </w:t>
      </w:r>
      <w:r w:rsidR="00DF7636" w:rsidRPr="000B24D7">
        <w:rPr>
          <w:sz w:val="24"/>
          <w:szCs w:val="24"/>
        </w:rPr>
        <w:t xml:space="preserve">to many financial firms, especially the smaller ones. Therefore, the </w:t>
      </w:r>
      <w:r w:rsidR="00E54FE3" w:rsidRPr="000B24D7">
        <w:rPr>
          <w:sz w:val="24"/>
          <w:szCs w:val="24"/>
        </w:rPr>
        <w:t xml:space="preserve">5-step </w:t>
      </w:r>
      <w:r w:rsidR="00A472FC" w:rsidRPr="000B24D7">
        <w:rPr>
          <w:sz w:val="24"/>
          <w:szCs w:val="24"/>
        </w:rPr>
        <w:t>phase in process was expended to 6 phases</w:t>
      </w:r>
      <w:r w:rsidR="00551E23" w:rsidRPr="000B24D7">
        <w:rPr>
          <w:sz w:val="24"/>
          <w:szCs w:val="24"/>
        </w:rPr>
        <w:t xml:space="preserve">. </w:t>
      </w:r>
      <w:r w:rsidR="001B43EB" w:rsidRPr="000B24D7">
        <w:rPr>
          <w:sz w:val="24"/>
          <w:szCs w:val="24"/>
        </w:rPr>
        <w:t xml:space="preserve">In September 2020, </w:t>
      </w:r>
      <w:r w:rsidR="00750353" w:rsidRPr="000B24D7">
        <w:rPr>
          <w:sz w:val="24"/>
          <w:szCs w:val="24"/>
        </w:rPr>
        <w:t xml:space="preserve">financial institutions with notional value exceeding </w:t>
      </w:r>
      <w:r w:rsidR="000B0626" w:rsidRPr="000B24D7">
        <w:rPr>
          <w:sz w:val="24"/>
          <w:szCs w:val="24"/>
        </w:rPr>
        <w:t>50</w:t>
      </w:r>
      <w:r w:rsidR="00750353" w:rsidRPr="000B24D7">
        <w:rPr>
          <w:sz w:val="24"/>
          <w:szCs w:val="24"/>
        </w:rPr>
        <w:t xml:space="preserve"> billion euros</w:t>
      </w:r>
      <w:r w:rsidR="000B0626" w:rsidRPr="000B24D7">
        <w:rPr>
          <w:sz w:val="24"/>
          <w:szCs w:val="24"/>
        </w:rPr>
        <w:t xml:space="preserve"> at </w:t>
      </w:r>
      <w:r w:rsidR="000B0626" w:rsidRPr="000B24D7">
        <w:rPr>
          <w:sz w:val="24"/>
          <w:szCs w:val="24"/>
        </w:rPr>
        <w:t>non-centrally cleared derivatives</w:t>
      </w:r>
      <w:r w:rsidR="001406C0" w:rsidRPr="000B24D7">
        <w:rPr>
          <w:sz w:val="24"/>
          <w:szCs w:val="24"/>
        </w:rPr>
        <w:t>; and by</w:t>
      </w:r>
      <w:r w:rsidR="000B0626" w:rsidRPr="000B24D7">
        <w:rPr>
          <w:sz w:val="24"/>
          <w:szCs w:val="24"/>
        </w:rPr>
        <w:t xml:space="preserve"> </w:t>
      </w:r>
      <w:r w:rsidR="001406C0" w:rsidRPr="000B24D7">
        <w:rPr>
          <w:sz w:val="24"/>
          <w:szCs w:val="24"/>
        </w:rPr>
        <w:t xml:space="preserve">September 2021, </w:t>
      </w:r>
      <w:r w:rsidR="006B3A5B" w:rsidRPr="000B24D7">
        <w:rPr>
          <w:sz w:val="24"/>
          <w:szCs w:val="24"/>
        </w:rPr>
        <w:t xml:space="preserve">all the </w:t>
      </w:r>
      <w:r w:rsidR="006B3A5B" w:rsidRPr="000B24D7">
        <w:rPr>
          <w:sz w:val="24"/>
          <w:szCs w:val="24"/>
        </w:rPr>
        <w:t>financial institutions with</w:t>
      </w:r>
      <w:r w:rsidR="009E5D2B" w:rsidRPr="000B24D7">
        <w:rPr>
          <w:sz w:val="24"/>
          <w:szCs w:val="24"/>
        </w:rPr>
        <w:t xml:space="preserve"> non-central cleared</w:t>
      </w:r>
      <w:r w:rsidR="006B3A5B" w:rsidRPr="000B24D7">
        <w:rPr>
          <w:sz w:val="24"/>
          <w:szCs w:val="24"/>
        </w:rPr>
        <w:t xml:space="preserve"> notional </w:t>
      </w:r>
      <w:r w:rsidR="006B3A5B" w:rsidRPr="000B24D7">
        <w:rPr>
          <w:sz w:val="24"/>
          <w:szCs w:val="24"/>
        </w:rPr>
        <w:t>amount</w:t>
      </w:r>
      <w:r w:rsidR="006B3A5B" w:rsidRPr="000B24D7">
        <w:rPr>
          <w:sz w:val="24"/>
          <w:szCs w:val="24"/>
        </w:rPr>
        <w:t xml:space="preserve"> exceeding </w:t>
      </w:r>
      <w:r w:rsidR="006B3A5B" w:rsidRPr="000B24D7">
        <w:rPr>
          <w:sz w:val="24"/>
          <w:szCs w:val="24"/>
        </w:rPr>
        <w:t>8</w:t>
      </w:r>
      <w:r w:rsidR="006B3A5B" w:rsidRPr="000B24D7">
        <w:rPr>
          <w:sz w:val="24"/>
          <w:szCs w:val="24"/>
        </w:rPr>
        <w:t xml:space="preserve"> billion euros</w:t>
      </w:r>
      <w:r w:rsidR="009E5D2B" w:rsidRPr="000B24D7">
        <w:rPr>
          <w:sz w:val="24"/>
          <w:szCs w:val="24"/>
        </w:rPr>
        <w:t xml:space="preserve"> will </w:t>
      </w:r>
      <w:r w:rsidR="005F1A0D" w:rsidRPr="000B24D7">
        <w:rPr>
          <w:sz w:val="24"/>
          <w:szCs w:val="24"/>
        </w:rPr>
        <w:t>comply with the UMR.</w:t>
      </w:r>
      <w:r w:rsidRPr="000B24D7">
        <w:rPr>
          <w:sz w:val="24"/>
          <w:szCs w:val="24"/>
        </w:rPr>
        <w:t xml:space="preserve"> </w:t>
      </w:r>
    </w:p>
    <w:p w14:paraId="27C2824F" w14:textId="2AE5C409" w:rsidR="008F418F" w:rsidRPr="000B24D7" w:rsidRDefault="004172DA" w:rsidP="008B51C8">
      <w:pPr>
        <w:spacing w:line="480" w:lineRule="auto"/>
        <w:ind w:firstLine="360"/>
        <w:rPr>
          <w:sz w:val="24"/>
          <w:szCs w:val="24"/>
        </w:rPr>
      </w:pPr>
      <w:r w:rsidRPr="000B24D7">
        <w:rPr>
          <w:sz w:val="24"/>
          <w:szCs w:val="24"/>
        </w:rPr>
        <w:t xml:space="preserve">It is no hard to tell that for many firms </w:t>
      </w:r>
      <w:r w:rsidR="00FA743A" w:rsidRPr="000B24D7">
        <w:rPr>
          <w:sz w:val="24"/>
          <w:szCs w:val="24"/>
        </w:rPr>
        <w:t xml:space="preserve">which have big positions at </w:t>
      </w:r>
      <w:r w:rsidR="00FA743A" w:rsidRPr="000B24D7">
        <w:rPr>
          <w:sz w:val="24"/>
          <w:szCs w:val="24"/>
        </w:rPr>
        <w:t>non-cleared derivatives</w:t>
      </w:r>
      <w:r w:rsidR="002621AD" w:rsidRPr="000B24D7">
        <w:rPr>
          <w:sz w:val="24"/>
          <w:szCs w:val="24"/>
        </w:rPr>
        <w:t xml:space="preserve"> may find it is not easy to cope with the UMR</w:t>
      </w:r>
      <w:r w:rsidR="00A54BCD" w:rsidRPr="000B24D7">
        <w:rPr>
          <w:sz w:val="24"/>
          <w:szCs w:val="24"/>
        </w:rPr>
        <w:t xml:space="preserve">. New risk managing system need to be set up, </w:t>
      </w:r>
      <w:r w:rsidR="000E3079" w:rsidRPr="000B24D7">
        <w:rPr>
          <w:sz w:val="24"/>
          <w:szCs w:val="24"/>
        </w:rPr>
        <w:t xml:space="preserve">new team need be constructed, </w:t>
      </w:r>
      <w:r w:rsidR="00BF2EFF" w:rsidRPr="000B24D7">
        <w:rPr>
          <w:sz w:val="24"/>
          <w:szCs w:val="24"/>
        </w:rPr>
        <w:t xml:space="preserve">and most importantly, the initial margin and variation margin need to be posted </w:t>
      </w:r>
      <w:r w:rsidR="00455441" w:rsidRPr="000B24D7">
        <w:rPr>
          <w:sz w:val="24"/>
          <w:szCs w:val="24"/>
        </w:rPr>
        <w:t xml:space="preserve">and thus their capital structure will be different. </w:t>
      </w:r>
      <w:r w:rsidR="00187F49" w:rsidRPr="000B24D7">
        <w:rPr>
          <w:sz w:val="24"/>
          <w:szCs w:val="24"/>
        </w:rPr>
        <w:t>At least before</w:t>
      </w:r>
      <w:r w:rsidR="00EC0644" w:rsidRPr="000B24D7">
        <w:rPr>
          <w:sz w:val="24"/>
          <w:szCs w:val="24"/>
        </w:rPr>
        <w:t xml:space="preserve"> September</w:t>
      </w:r>
      <w:r w:rsidR="00187F49" w:rsidRPr="000B24D7">
        <w:rPr>
          <w:sz w:val="24"/>
          <w:szCs w:val="24"/>
        </w:rPr>
        <w:t xml:space="preserve"> 2020, many financial </w:t>
      </w:r>
      <w:r w:rsidR="00411B1F" w:rsidRPr="000B24D7">
        <w:rPr>
          <w:sz w:val="24"/>
          <w:szCs w:val="24"/>
        </w:rPr>
        <w:t>institution</w:t>
      </w:r>
      <w:r w:rsidR="00292680" w:rsidRPr="000B24D7">
        <w:rPr>
          <w:sz w:val="24"/>
          <w:szCs w:val="24"/>
        </w:rPr>
        <w:t>s</w:t>
      </w:r>
      <w:r w:rsidR="00187F49" w:rsidRPr="000B24D7">
        <w:rPr>
          <w:sz w:val="24"/>
          <w:szCs w:val="24"/>
        </w:rPr>
        <w:t xml:space="preserve"> with </w:t>
      </w:r>
      <w:r w:rsidR="00187F49" w:rsidRPr="000B24D7">
        <w:rPr>
          <w:sz w:val="24"/>
          <w:szCs w:val="24"/>
        </w:rPr>
        <w:t>non</w:t>
      </w:r>
      <w:r w:rsidR="00187F49" w:rsidRPr="000B24D7">
        <w:rPr>
          <w:sz w:val="24"/>
          <w:szCs w:val="24"/>
        </w:rPr>
        <w:t>-</w:t>
      </w:r>
      <w:r w:rsidR="00187F49" w:rsidRPr="000B24D7">
        <w:rPr>
          <w:sz w:val="24"/>
          <w:szCs w:val="24"/>
        </w:rPr>
        <w:t xml:space="preserve">cleared notional amount </w:t>
      </w:r>
      <w:r w:rsidR="00EC0644" w:rsidRPr="000B24D7">
        <w:rPr>
          <w:sz w:val="24"/>
          <w:szCs w:val="24"/>
        </w:rPr>
        <w:t>above</w:t>
      </w:r>
      <w:r w:rsidR="00187F49" w:rsidRPr="000B24D7">
        <w:rPr>
          <w:sz w:val="24"/>
          <w:szCs w:val="24"/>
        </w:rPr>
        <w:t xml:space="preserve"> 8 billion euros</w:t>
      </w:r>
      <w:r w:rsidR="00EC0644" w:rsidRPr="000B24D7">
        <w:rPr>
          <w:sz w:val="24"/>
          <w:szCs w:val="24"/>
        </w:rPr>
        <w:t xml:space="preserve"> but below 50 billion</w:t>
      </w:r>
      <w:r w:rsidR="00411B1F" w:rsidRPr="000B24D7">
        <w:rPr>
          <w:sz w:val="24"/>
          <w:szCs w:val="24"/>
        </w:rPr>
        <w:t xml:space="preserve"> euros</w:t>
      </w:r>
      <w:r w:rsidR="00187F49" w:rsidRPr="000B24D7">
        <w:rPr>
          <w:sz w:val="24"/>
          <w:szCs w:val="24"/>
        </w:rPr>
        <w:t xml:space="preserve"> will </w:t>
      </w:r>
      <w:r w:rsidR="00411B1F" w:rsidRPr="000B24D7">
        <w:rPr>
          <w:sz w:val="24"/>
          <w:szCs w:val="24"/>
        </w:rPr>
        <w:t xml:space="preserve">not </w:t>
      </w:r>
      <w:r w:rsidR="00D90D57" w:rsidRPr="000B24D7">
        <w:rPr>
          <w:sz w:val="24"/>
          <w:szCs w:val="24"/>
        </w:rPr>
        <w:t xml:space="preserve">be fully prepared for the </w:t>
      </w:r>
      <w:r w:rsidR="00D90D57" w:rsidRPr="000B24D7">
        <w:rPr>
          <w:sz w:val="24"/>
          <w:szCs w:val="24"/>
        </w:rPr>
        <w:t>uncleared margin rules</w:t>
      </w:r>
      <w:r w:rsidR="00187F49" w:rsidRPr="000B24D7">
        <w:rPr>
          <w:sz w:val="24"/>
          <w:szCs w:val="24"/>
        </w:rPr>
        <w:t xml:space="preserve">. </w:t>
      </w:r>
      <w:r w:rsidR="00292680" w:rsidRPr="000B24D7">
        <w:rPr>
          <w:sz w:val="24"/>
          <w:szCs w:val="24"/>
        </w:rPr>
        <w:t xml:space="preserve">Therefore, many chances and challenges </w:t>
      </w:r>
      <w:r w:rsidR="006E0805" w:rsidRPr="000B24D7">
        <w:rPr>
          <w:sz w:val="24"/>
          <w:szCs w:val="24"/>
        </w:rPr>
        <w:t>exist</w:t>
      </w:r>
      <w:r w:rsidR="000D7CD8" w:rsidRPr="000B24D7">
        <w:rPr>
          <w:sz w:val="24"/>
          <w:szCs w:val="24"/>
        </w:rPr>
        <w:t xml:space="preserve"> in this field</w:t>
      </w:r>
      <w:r w:rsidR="00D8684E" w:rsidRPr="000B24D7">
        <w:rPr>
          <w:sz w:val="24"/>
          <w:szCs w:val="24"/>
        </w:rPr>
        <w:t>; and it is</w:t>
      </w:r>
      <w:r w:rsidR="007A1B52">
        <w:rPr>
          <w:sz w:val="24"/>
          <w:szCs w:val="24"/>
        </w:rPr>
        <w:t xml:space="preserve"> </w:t>
      </w:r>
      <w:r w:rsidR="00D8684E" w:rsidRPr="000B24D7">
        <w:rPr>
          <w:sz w:val="24"/>
          <w:szCs w:val="24"/>
        </w:rPr>
        <w:t xml:space="preserve">worthwhile to </w:t>
      </w:r>
      <w:r w:rsidR="00BC4395" w:rsidRPr="000B24D7">
        <w:rPr>
          <w:sz w:val="24"/>
          <w:szCs w:val="24"/>
        </w:rPr>
        <w:t>learn about.</w:t>
      </w:r>
      <w:r w:rsidR="00D8684E" w:rsidRPr="000B24D7">
        <w:rPr>
          <w:sz w:val="24"/>
          <w:szCs w:val="24"/>
        </w:rPr>
        <w:t xml:space="preserve"> </w:t>
      </w:r>
    </w:p>
    <w:p w14:paraId="2D619B6A" w14:textId="6B5AE8C8" w:rsidR="00D8135D" w:rsidRPr="00FB14E2" w:rsidRDefault="00DD3DB1" w:rsidP="008B51C8">
      <w:pPr>
        <w:pStyle w:val="ListParagraph"/>
        <w:numPr>
          <w:ilvl w:val="0"/>
          <w:numId w:val="4"/>
        </w:numPr>
        <w:spacing w:line="480" w:lineRule="auto"/>
        <w:rPr>
          <w:b/>
          <w:color w:val="2E74B5" w:themeColor="accent5" w:themeShade="BF"/>
          <w:sz w:val="24"/>
          <w:szCs w:val="24"/>
        </w:rPr>
      </w:pPr>
      <w:r w:rsidRPr="00D8135D">
        <w:rPr>
          <w:b/>
          <w:color w:val="2E74B5" w:themeColor="accent5" w:themeShade="BF"/>
          <w:sz w:val="24"/>
          <w:szCs w:val="24"/>
        </w:rPr>
        <w:t xml:space="preserve">Qualitative </w:t>
      </w:r>
      <w:r w:rsidR="00786BAE">
        <w:rPr>
          <w:b/>
          <w:color w:val="2E74B5" w:themeColor="accent5" w:themeShade="BF"/>
          <w:sz w:val="24"/>
          <w:szCs w:val="24"/>
        </w:rPr>
        <w:t>Challenges</w:t>
      </w:r>
    </w:p>
    <w:p w14:paraId="768D86FE" w14:textId="77777777" w:rsidR="0004028C" w:rsidRDefault="00883B90" w:rsidP="00D556E1">
      <w:pPr>
        <w:spacing w:line="480" w:lineRule="auto"/>
        <w:ind w:left="360" w:firstLine="360"/>
      </w:pPr>
      <w:r w:rsidRPr="00D556E1">
        <w:rPr>
          <w:sz w:val="24"/>
          <w:szCs w:val="24"/>
        </w:rPr>
        <w:lastRenderedPageBreak/>
        <w:t xml:space="preserve">As </w:t>
      </w:r>
      <w:r w:rsidR="00E95235" w:rsidRPr="00D556E1">
        <w:rPr>
          <w:sz w:val="24"/>
          <w:szCs w:val="24"/>
        </w:rPr>
        <w:t>what we can learn from the ISDA-</w:t>
      </w:r>
      <w:r w:rsidR="00556B04" w:rsidRPr="00D556E1">
        <w:rPr>
          <w:sz w:val="24"/>
          <w:szCs w:val="24"/>
        </w:rPr>
        <w:t xml:space="preserve">SIFMA’s </w:t>
      </w:r>
      <w:r w:rsidR="00926E4F" w:rsidRPr="00D556E1">
        <w:rPr>
          <w:rFonts w:hint="eastAsia"/>
          <w:sz w:val="24"/>
          <w:szCs w:val="24"/>
        </w:rPr>
        <w:t>policy</w:t>
      </w:r>
      <w:r w:rsidR="00926E4F" w:rsidRPr="00D556E1">
        <w:rPr>
          <w:sz w:val="24"/>
          <w:szCs w:val="24"/>
        </w:rPr>
        <w:t xml:space="preserve"> guide</w:t>
      </w:r>
      <w:r w:rsidR="00E24D89">
        <w:rPr>
          <w:sz w:val="24"/>
          <w:szCs w:val="24"/>
        </w:rPr>
        <w:t>,</w:t>
      </w:r>
      <w:r w:rsidR="00E52ADC">
        <w:rPr>
          <w:sz w:val="24"/>
          <w:szCs w:val="24"/>
        </w:rPr>
        <w:t xml:space="preserve"> the </w:t>
      </w:r>
      <w:r w:rsidR="00E52ADC">
        <w:t>p</w:t>
      </w:r>
      <w:r w:rsidR="00E52ADC">
        <w:t xml:space="preserve">reparation for meeting these </w:t>
      </w:r>
      <w:r w:rsidR="00E52ADC">
        <w:t xml:space="preserve">UMR </w:t>
      </w:r>
      <w:r w:rsidR="00E52ADC">
        <w:t xml:space="preserve">requirements will take </w:t>
      </w:r>
      <w:r w:rsidR="00E52ADC">
        <w:t>a lot of</w:t>
      </w:r>
      <w:r w:rsidR="00E52ADC">
        <w:t xml:space="preserve"> time, and will involve intensive work to ensure systems, processes and documentation are in place. Firms should consider taking the following steps when preparing to comply with regulatory initial margin requirements. These are not necessarily presented in chronological order – the precise order and timing will depend on a firm’s specific circumstances.</w:t>
      </w:r>
    </w:p>
    <w:p w14:paraId="0B1E7550" w14:textId="06EB4031" w:rsidR="002132C1" w:rsidRDefault="00E24D89" w:rsidP="00D556E1">
      <w:pPr>
        <w:spacing w:line="480" w:lineRule="auto"/>
        <w:ind w:left="360" w:firstLine="360"/>
        <w:rPr>
          <w:sz w:val="24"/>
          <w:szCs w:val="24"/>
        </w:rPr>
      </w:pPr>
      <w:r>
        <w:rPr>
          <w:sz w:val="24"/>
          <w:szCs w:val="24"/>
        </w:rPr>
        <w:t xml:space="preserve"> </w:t>
      </w:r>
      <w:r w:rsidR="0004028C">
        <w:rPr>
          <w:sz w:val="24"/>
          <w:szCs w:val="24"/>
        </w:rPr>
        <w:t>T</w:t>
      </w:r>
      <w:r>
        <w:rPr>
          <w:sz w:val="24"/>
          <w:szCs w:val="24"/>
        </w:rPr>
        <w:t>he</w:t>
      </w:r>
      <w:r w:rsidR="00095FFD">
        <w:rPr>
          <w:sz w:val="24"/>
          <w:szCs w:val="24"/>
        </w:rPr>
        <w:t xml:space="preserve">re are </w:t>
      </w:r>
      <w:r w:rsidR="0034413B">
        <w:rPr>
          <w:sz w:val="24"/>
          <w:szCs w:val="24"/>
        </w:rPr>
        <w:t>8 steps for a</w:t>
      </w:r>
      <w:r w:rsidR="00E52ADC">
        <w:rPr>
          <w:sz w:val="24"/>
          <w:szCs w:val="24"/>
        </w:rPr>
        <w:t>ny firms that need to be prepared for the UMR.</w:t>
      </w:r>
      <w:r w:rsidR="0004028C">
        <w:rPr>
          <w:sz w:val="24"/>
          <w:szCs w:val="24"/>
        </w:rPr>
        <w:t xml:space="preserve"> </w:t>
      </w:r>
      <w:r w:rsidR="000D2F8D">
        <w:rPr>
          <w:sz w:val="24"/>
          <w:szCs w:val="24"/>
        </w:rPr>
        <w:t xml:space="preserve">In general, there are </w:t>
      </w:r>
      <w:r w:rsidR="005750DD">
        <w:rPr>
          <w:sz w:val="24"/>
          <w:szCs w:val="24"/>
        </w:rPr>
        <w:t xml:space="preserve">8 steps: </w:t>
      </w:r>
      <w:r w:rsidR="000D30A5" w:rsidRPr="005750DD">
        <w:rPr>
          <w:sz w:val="24"/>
          <w:szCs w:val="24"/>
        </w:rPr>
        <w:t xml:space="preserve"> 1: identify in-scope entities </w:t>
      </w:r>
      <w:proofErr w:type="gramStart"/>
      <w:r w:rsidR="000D30A5" w:rsidRPr="005750DD">
        <w:rPr>
          <w:sz w:val="24"/>
          <w:szCs w:val="24"/>
        </w:rPr>
        <w:t>early  2</w:t>
      </w:r>
      <w:proofErr w:type="gramEnd"/>
      <w:r w:rsidR="000D30A5" w:rsidRPr="005750DD">
        <w:rPr>
          <w:sz w:val="24"/>
          <w:szCs w:val="24"/>
        </w:rPr>
        <w:t>: make early disclosures to counterparties  3: exchange information on compliance  4: identify special cases  5: establish custodial relationships  6: prepare for compliance  7: negotiate/execute documentation  8: finalize preparations</w:t>
      </w:r>
    </w:p>
    <w:p w14:paraId="0A0A5180" w14:textId="13D51742" w:rsidR="00B568DF" w:rsidRDefault="00B568DF" w:rsidP="00D556E1">
      <w:pPr>
        <w:spacing w:line="480" w:lineRule="auto"/>
        <w:ind w:left="360" w:firstLine="360"/>
        <w:rPr>
          <w:sz w:val="24"/>
          <w:szCs w:val="24"/>
        </w:rPr>
      </w:pPr>
      <w:r>
        <w:rPr>
          <w:sz w:val="24"/>
          <w:szCs w:val="24"/>
        </w:rPr>
        <w:t>S</w:t>
      </w:r>
      <w:r>
        <w:rPr>
          <w:rFonts w:hint="eastAsia"/>
          <w:sz w:val="24"/>
          <w:szCs w:val="24"/>
        </w:rPr>
        <w:t>tep</w:t>
      </w:r>
      <w:r>
        <w:rPr>
          <w:sz w:val="24"/>
          <w:szCs w:val="24"/>
        </w:rPr>
        <w:t xml:space="preserve"> 1, </w:t>
      </w:r>
      <w:r w:rsidRPr="00B568DF">
        <w:rPr>
          <w:sz w:val="24"/>
          <w:szCs w:val="24"/>
        </w:rPr>
        <w:t>This should include all entities that are: (</w:t>
      </w:r>
      <w:proofErr w:type="spellStart"/>
      <w:r w:rsidRPr="00B568DF">
        <w:rPr>
          <w:sz w:val="24"/>
          <w:szCs w:val="24"/>
        </w:rPr>
        <w:t>i</w:t>
      </w:r>
      <w:proofErr w:type="spellEnd"/>
      <w:r w:rsidRPr="00B568DF">
        <w:rPr>
          <w:sz w:val="24"/>
          <w:szCs w:val="24"/>
        </w:rPr>
        <w:t>) in-scope for variation margin (VM) requirements; and (ii) estimated to have an aggregate average notional amount (AANA) of non-cleared derivatives that exceeds the level for the relevant future phase-in date</w:t>
      </w:r>
    </w:p>
    <w:p w14:paraId="303D1545" w14:textId="04E7F31F" w:rsidR="00B568DF" w:rsidRDefault="004F30A1" w:rsidP="004F30A1">
      <w:pPr>
        <w:spacing w:line="480" w:lineRule="auto"/>
        <w:ind w:left="360" w:firstLine="360"/>
        <w:rPr>
          <w:sz w:val="24"/>
          <w:szCs w:val="24"/>
        </w:rPr>
      </w:pPr>
      <w:r w:rsidRPr="004F30A1">
        <w:rPr>
          <w:sz w:val="24"/>
          <w:szCs w:val="24"/>
        </w:rPr>
        <w:lastRenderedPageBreak/>
        <w:t xml:space="preserve">Step 2, Firms should disclose the status of estimated in-scope entities to counterparties in order to provide enough time to complete all steps with each party. Disclosure will need to occur 12-18 months before the IM go-live date, but: </w:t>
      </w:r>
      <w:proofErr w:type="gramStart"/>
      <w:r w:rsidRPr="004F30A1">
        <w:rPr>
          <w:sz w:val="24"/>
          <w:szCs w:val="24"/>
        </w:rPr>
        <w:t>o  More</w:t>
      </w:r>
      <w:proofErr w:type="gramEnd"/>
      <w:r w:rsidRPr="004F30A1">
        <w:rPr>
          <w:sz w:val="24"/>
          <w:szCs w:val="24"/>
        </w:rPr>
        <w:t xml:space="preserve"> time will be needed for later phases, because more counterparties will fall in-scope at the same time. </w:t>
      </w:r>
      <w:proofErr w:type="gramStart"/>
      <w:r w:rsidRPr="004F30A1">
        <w:rPr>
          <w:sz w:val="24"/>
          <w:szCs w:val="24"/>
        </w:rPr>
        <w:t>o  Where</w:t>
      </w:r>
      <w:proofErr w:type="gramEnd"/>
      <w:r w:rsidRPr="004F30A1">
        <w:rPr>
          <w:sz w:val="24"/>
          <w:szCs w:val="24"/>
        </w:rPr>
        <w:t xml:space="preserve"> a principal uses multiple investment managers, consideration will need to be given to which entity makes the necessary calculations and disclosures, and how this is best achieved. </w:t>
      </w:r>
      <w:proofErr w:type="gramStart"/>
      <w:r w:rsidRPr="004F30A1">
        <w:rPr>
          <w:sz w:val="24"/>
          <w:szCs w:val="24"/>
        </w:rPr>
        <w:t>o  Disclosure</w:t>
      </w:r>
      <w:proofErr w:type="gramEnd"/>
      <w:r w:rsidRPr="004F30A1">
        <w:rPr>
          <w:sz w:val="24"/>
          <w:szCs w:val="24"/>
        </w:rPr>
        <w:t xml:space="preserve"> of relevant contact information is also encouraged to facilitate counterparty communications, particularly if this differs across legal entities in a group.</w:t>
      </w:r>
    </w:p>
    <w:p w14:paraId="38687BF1" w14:textId="722D9E95" w:rsidR="00885410" w:rsidRPr="00885410" w:rsidRDefault="00B568DF" w:rsidP="00885410">
      <w:pPr>
        <w:spacing w:line="480" w:lineRule="auto"/>
        <w:ind w:left="360" w:firstLine="360"/>
        <w:rPr>
          <w:sz w:val="24"/>
          <w:szCs w:val="24"/>
        </w:rPr>
      </w:pPr>
      <w:r>
        <w:rPr>
          <w:sz w:val="24"/>
          <w:szCs w:val="24"/>
        </w:rPr>
        <w:t xml:space="preserve">Step </w:t>
      </w:r>
      <w:r>
        <w:rPr>
          <w:sz w:val="24"/>
          <w:szCs w:val="24"/>
        </w:rPr>
        <w:t>3,</w:t>
      </w:r>
      <w:r w:rsidR="00885410" w:rsidRPr="00885410">
        <w:t xml:space="preserve"> </w:t>
      </w:r>
      <w:r w:rsidR="00885410" w:rsidRPr="00885410">
        <w:rPr>
          <w:sz w:val="24"/>
          <w:szCs w:val="24"/>
        </w:rPr>
        <w:t>Important decisions need to be made about how firms will comply with the IM requirements. This information should be exchanged with each counterparty.</w:t>
      </w:r>
    </w:p>
    <w:p w14:paraId="1B67A4E5" w14:textId="77777777" w:rsidR="00885410" w:rsidRPr="00885410" w:rsidRDefault="00885410" w:rsidP="00885410">
      <w:pPr>
        <w:spacing w:line="480" w:lineRule="auto"/>
        <w:ind w:left="360" w:firstLine="360"/>
        <w:rPr>
          <w:sz w:val="24"/>
          <w:szCs w:val="24"/>
        </w:rPr>
      </w:pPr>
      <w:r w:rsidRPr="00885410">
        <w:rPr>
          <w:sz w:val="24"/>
          <w:szCs w:val="24"/>
        </w:rPr>
        <w:t xml:space="preserve"> Which custodian(s) will you and your counterparties use to post IM?</w:t>
      </w:r>
    </w:p>
    <w:p w14:paraId="1B9044BD" w14:textId="01091A74" w:rsidR="00B568DF" w:rsidRDefault="00B568DF" w:rsidP="00B568DF">
      <w:pPr>
        <w:spacing w:line="480" w:lineRule="auto"/>
        <w:ind w:left="360" w:firstLine="360"/>
        <w:rPr>
          <w:sz w:val="24"/>
          <w:szCs w:val="24"/>
        </w:rPr>
      </w:pPr>
    </w:p>
    <w:p w14:paraId="17C4D521" w14:textId="7DBABA26" w:rsidR="00885410" w:rsidRPr="00885410" w:rsidRDefault="00B568DF" w:rsidP="00885410">
      <w:pPr>
        <w:spacing w:line="480" w:lineRule="auto"/>
        <w:ind w:left="360" w:firstLine="360"/>
        <w:rPr>
          <w:sz w:val="24"/>
          <w:szCs w:val="24"/>
        </w:rPr>
      </w:pPr>
      <w:proofErr w:type="gramStart"/>
      <w:r>
        <w:rPr>
          <w:sz w:val="24"/>
          <w:szCs w:val="24"/>
        </w:rPr>
        <w:lastRenderedPageBreak/>
        <w:t xml:space="preserve">Step </w:t>
      </w:r>
      <w:r>
        <w:rPr>
          <w:sz w:val="24"/>
          <w:szCs w:val="24"/>
        </w:rPr>
        <w:t>4,</w:t>
      </w:r>
      <w:proofErr w:type="gramEnd"/>
      <w:r w:rsidR="00885410" w:rsidRPr="00885410">
        <w:t xml:space="preserve"> </w:t>
      </w:r>
      <w:r w:rsidR="00885410" w:rsidRPr="00885410">
        <w:rPr>
          <w:sz w:val="24"/>
          <w:szCs w:val="24"/>
        </w:rPr>
        <w:t>Determine whether any special cases apply.</w:t>
      </w:r>
    </w:p>
    <w:p w14:paraId="75310483" w14:textId="77777777" w:rsidR="00885410" w:rsidRPr="00885410" w:rsidRDefault="00885410" w:rsidP="00885410">
      <w:pPr>
        <w:spacing w:line="480" w:lineRule="auto"/>
        <w:ind w:left="360" w:firstLine="360"/>
        <w:rPr>
          <w:sz w:val="24"/>
          <w:szCs w:val="24"/>
        </w:rPr>
      </w:pPr>
      <w:r w:rsidRPr="00885410">
        <w:rPr>
          <w:sz w:val="24"/>
          <w:szCs w:val="24"/>
        </w:rPr>
        <w:t xml:space="preserve">  This might include considering the impact of non-netting jurisdictions, local law/language documents, stamp tax, registration of security and entity specific regulatory requirements (</w:t>
      </w:r>
      <w:proofErr w:type="spellStart"/>
      <w:r w:rsidRPr="00885410">
        <w:rPr>
          <w:sz w:val="24"/>
          <w:szCs w:val="24"/>
        </w:rPr>
        <w:t>eg</w:t>
      </w:r>
      <w:proofErr w:type="spellEnd"/>
      <w:r w:rsidRPr="00885410">
        <w:rPr>
          <w:sz w:val="24"/>
          <w:szCs w:val="24"/>
        </w:rPr>
        <w:t>, UCITS).</w:t>
      </w:r>
    </w:p>
    <w:p w14:paraId="57F72203" w14:textId="74871843" w:rsidR="00B568DF" w:rsidRDefault="00885410" w:rsidP="00885410">
      <w:pPr>
        <w:spacing w:line="480" w:lineRule="auto"/>
        <w:ind w:left="360" w:firstLine="360"/>
        <w:rPr>
          <w:sz w:val="24"/>
          <w:szCs w:val="24"/>
        </w:rPr>
      </w:pPr>
      <w:r w:rsidRPr="00885410">
        <w:rPr>
          <w:sz w:val="24"/>
          <w:szCs w:val="24"/>
        </w:rPr>
        <w:t xml:space="preserve">  Consider legal opinion coverage required for compliance with the regulations.</w:t>
      </w:r>
    </w:p>
    <w:p w14:paraId="071F2CD0" w14:textId="61831E15" w:rsidR="00061B71" w:rsidRPr="00061B71" w:rsidRDefault="00B568DF" w:rsidP="00061B71">
      <w:pPr>
        <w:spacing w:line="480" w:lineRule="auto"/>
        <w:ind w:left="360" w:firstLine="360"/>
        <w:rPr>
          <w:sz w:val="24"/>
          <w:szCs w:val="24"/>
        </w:rPr>
      </w:pPr>
      <w:r>
        <w:rPr>
          <w:sz w:val="24"/>
          <w:szCs w:val="24"/>
        </w:rPr>
        <w:t xml:space="preserve">Step </w:t>
      </w:r>
      <w:r>
        <w:rPr>
          <w:sz w:val="24"/>
          <w:szCs w:val="24"/>
        </w:rPr>
        <w:t>5,</w:t>
      </w:r>
      <w:r w:rsidR="00061B71" w:rsidRPr="00061B71">
        <w:t xml:space="preserve"> </w:t>
      </w:r>
      <w:r w:rsidR="00061B71" w:rsidRPr="00061B71">
        <w:rPr>
          <w:sz w:val="24"/>
          <w:szCs w:val="24"/>
        </w:rPr>
        <w:t>Firms should establish relationships with the relevant custodians, and provide information on all in-scope counterparty relationships.</w:t>
      </w:r>
    </w:p>
    <w:p w14:paraId="5206DC29" w14:textId="77777777" w:rsidR="00061B71" w:rsidRPr="00061B71" w:rsidRDefault="00061B71" w:rsidP="00061B71">
      <w:pPr>
        <w:spacing w:line="480" w:lineRule="auto"/>
        <w:ind w:left="360" w:firstLine="360"/>
        <w:rPr>
          <w:sz w:val="24"/>
          <w:szCs w:val="24"/>
        </w:rPr>
      </w:pPr>
      <w:r w:rsidRPr="00061B71">
        <w:rPr>
          <w:sz w:val="24"/>
          <w:szCs w:val="24"/>
        </w:rPr>
        <w:t xml:space="preserve">  This includes the custodian(s) you will use, and each custodian your counterparties will use. The work necessary to establish those relationships may depend on the type of custodian being used.</w:t>
      </w:r>
    </w:p>
    <w:p w14:paraId="16666B12" w14:textId="7F5A0101" w:rsidR="00B568DF" w:rsidRDefault="00061B71" w:rsidP="00061B71">
      <w:pPr>
        <w:spacing w:line="480" w:lineRule="auto"/>
        <w:ind w:left="360" w:firstLine="360"/>
        <w:rPr>
          <w:sz w:val="24"/>
          <w:szCs w:val="24"/>
        </w:rPr>
      </w:pPr>
      <w:r w:rsidRPr="00061B71">
        <w:rPr>
          <w:sz w:val="24"/>
          <w:szCs w:val="24"/>
        </w:rPr>
        <w:t xml:space="preserve"> KYC checks may need to be performed, which can take several weeks or months. </w:t>
      </w:r>
    </w:p>
    <w:p w14:paraId="67C8CF9C" w14:textId="69731422" w:rsidR="00061B71" w:rsidRPr="00061B71" w:rsidRDefault="00B568DF" w:rsidP="00167B24">
      <w:pPr>
        <w:spacing w:line="480" w:lineRule="auto"/>
        <w:ind w:left="360" w:firstLine="360"/>
        <w:rPr>
          <w:sz w:val="24"/>
          <w:szCs w:val="24"/>
        </w:rPr>
      </w:pPr>
      <w:r>
        <w:rPr>
          <w:sz w:val="24"/>
          <w:szCs w:val="24"/>
        </w:rPr>
        <w:lastRenderedPageBreak/>
        <w:t xml:space="preserve">Step </w:t>
      </w:r>
      <w:r>
        <w:rPr>
          <w:sz w:val="24"/>
          <w:szCs w:val="24"/>
        </w:rPr>
        <w:t>6,</w:t>
      </w:r>
      <w:r w:rsidR="00061B71" w:rsidRPr="00061B71">
        <w:t xml:space="preserve"> </w:t>
      </w:r>
      <w:r w:rsidR="00061B71" w:rsidRPr="00061B71">
        <w:rPr>
          <w:sz w:val="24"/>
          <w:szCs w:val="24"/>
        </w:rPr>
        <w:t xml:space="preserve">Firms will need to build up the necessary capacity for compliance in advance. </w:t>
      </w:r>
    </w:p>
    <w:p w14:paraId="1DD1918E" w14:textId="77777777" w:rsidR="00061B71" w:rsidRPr="00061B71" w:rsidRDefault="00061B71" w:rsidP="00061B71">
      <w:pPr>
        <w:spacing w:line="480" w:lineRule="auto"/>
        <w:ind w:left="360" w:firstLine="360"/>
        <w:rPr>
          <w:sz w:val="24"/>
          <w:szCs w:val="24"/>
        </w:rPr>
      </w:pPr>
      <w:r w:rsidRPr="00061B71">
        <w:rPr>
          <w:sz w:val="24"/>
          <w:szCs w:val="24"/>
        </w:rPr>
        <w:t xml:space="preserve">  Prepare regulatory IM calculator (</w:t>
      </w:r>
      <w:proofErr w:type="spellStart"/>
      <w:r w:rsidRPr="00061B71">
        <w:rPr>
          <w:sz w:val="24"/>
          <w:szCs w:val="24"/>
        </w:rPr>
        <w:t>ie</w:t>
      </w:r>
      <w:proofErr w:type="spellEnd"/>
      <w:r w:rsidRPr="00061B71">
        <w:rPr>
          <w:sz w:val="24"/>
          <w:szCs w:val="24"/>
        </w:rPr>
        <w:t xml:space="preserve">, ISDA SIMM and/or regulatory grid). o  </w:t>
      </w:r>
    </w:p>
    <w:p w14:paraId="0BC9AE0F" w14:textId="77777777" w:rsidR="00061B71" w:rsidRPr="00061B71" w:rsidRDefault="00061B71" w:rsidP="00061B71">
      <w:pPr>
        <w:spacing w:line="480" w:lineRule="auto"/>
        <w:ind w:left="360" w:firstLine="360"/>
        <w:rPr>
          <w:sz w:val="24"/>
          <w:szCs w:val="24"/>
        </w:rPr>
      </w:pPr>
      <w:r w:rsidRPr="00061B71">
        <w:rPr>
          <w:sz w:val="24"/>
          <w:szCs w:val="24"/>
        </w:rPr>
        <w:t xml:space="preserve"> Prepare/map internal data inputs, including connection to the ISDA SIMM Crowdsourcing Utility (for equity and credit). o  </w:t>
      </w:r>
    </w:p>
    <w:p w14:paraId="53273523" w14:textId="77777777" w:rsidR="00061B71" w:rsidRPr="00061B71" w:rsidRDefault="00061B71" w:rsidP="00061B71">
      <w:pPr>
        <w:spacing w:line="480" w:lineRule="auto"/>
        <w:ind w:left="360" w:firstLine="360"/>
        <w:rPr>
          <w:sz w:val="24"/>
          <w:szCs w:val="24"/>
        </w:rPr>
      </w:pPr>
      <w:r w:rsidRPr="00061B71">
        <w:rPr>
          <w:sz w:val="24"/>
          <w:szCs w:val="24"/>
        </w:rPr>
        <w:t xml:space="preserve"> Develop calculation </w:t>
      </w:r>
      <w:proofErr w:type="gramStart"/>
      <w:r w:rsidRPr="00061B71">
        <w:rPr>
          <w:sz w:val="24"/>
          <w:szCs w:val="24"/>
        </w:rPr>
        <w:t>capacity, or</w:t>
      </w:r>
      <w:proofErr w:type="gramEnd"/>
      <w:r w:rsidRPr="00061B71">
        <w:rPr>
          <w:sz w:val="24"/>
          <w:szCs w:val="24"/>
        </w:rPr>
        <w:t xml:space="preserve"> set up with a vendor. </w:t>
      </w:r>
      <w:proofErr w:type="gramStart"/>
      <w:r w:rsidRPr="00061B71">
        <w:rPr>
          <w:sz w:val="24"/>
          <w:szCs w:val="24"/>
        </w:rPr>
        <w:t>o  Conduct</w:t>
      </w:r>
      <w:proofErr w:type="gramEnd"/>
      <w:r w:rsidRPr="00061B71">
        <w:rPr>
          <w:sz w:val="24"/>
          <w:szCs w:val="24"/>
        </w:rPr>
        <w:t xml:space="preserve"> portfolio matching/ISDA SIMM test calculations with counterparties. o Obtain regulatory approval for use of the model, if necessary.</w:t>
      </w:r>
    </w:p>
    <w:p w14:paraId="18C39955" w14:textId="222E68B1" w:rsidR="00B568DF" w:rsidRDefault="00061B71" w:rsidP="00061B71">
      <w:pPr>
        <w:spacing w:line="480" w:lineRule="auto"/>
        <w:ind w:left="360" w:firstLine="360"/>
        <w:rPr>
          <w:sz w:val="24"/>
          <w:szCs w:val="24"/>
        </w:rPr>
      </w:pPr>
      <w:r w:rsidRPr="00061B71">
        <w:rPr>
          <w:sz w:val="24"/>
          <w:szCs w:val="24"/>
        </w:rPr>
        <w:t xml:space="preserve">  Develop operational capacity as necessary (including any needed IT or other systems development): </w:t>
      </w:r>
      <w:proofErr w:type="gramStart"/>
      <w:r w:rsidRPr="00061B71">
        <w:rPr>
          <w:sz w:val="24"/>
          <w:szCs w:val="24"/>
        </w:rPr>
        <w:t>o  Develop</w:t>
      </w:r>
      <w:proofErr w:type="gramEnd"/>
      <w:r w:rsidRPr="00061B71">
        <w:rPr>
          <w:sz w:val="24"/>
          <w:szCs w:val="24"/>
        </w:rPr>
        <w:t xml:space="preserve"> support for multiple IM and VM credit support annexes (CSAs) and collateral call issuance/reconciliation processes. Set up with any vendor(s) if needed.</w:t>
      </w:r>
    </w:p>
    <w:p w14:paraId="1F3A81C9" w14:textId="77777777" w:rsidR="00E35448" w:rsidRPr="00E35448" w:rsidRDefault="00B568DF" w:rsidP="00E35448">
      <w:pPr>
        <w:spacing w:line="480" w:lineRule="auto"/>
        <w:ind w:left="360" w:firstLine="360"/>
        <w:rPr>
          <w:sz w:val="24"/>
          <w:szCs w:val="24"/>
        </w:rPr>
      </w:pPr>
      <w:r>
        <w:rPr>
          <w:sz w:val="24"/>
          <w:szCs w:val="24"/>
        </w:rPr>
        <w:lastRenderedPageBreak/>
        <w:t xml:space="preserve">Step </w:t>
      </w:r>
      <w:r>
        <w:rPr>
          <w:sz w:val="24"/>
          <w:szCs w:val="24"/>
        </w:rPr>
        <w:t>7,</w:t>
      </w:r>
      <w:r w:rsidR="00E35448" w:rsidRPr="00E35448">
        <w:t xml:space="preserve"> </w:t>
      </w:r>
      <w:r w:rsidR="00E35448" w:rsidRPr="00E35448">
        <w:rPr>
          <w:sz w:val="24"/>
          <w:szCs w:val="24"/>
        </w:rPr>
        <w:t>The necessary documentation will need to be negotiated and put in place with each counterparty ahead of the implementation date.</w:t>
      </w:r>
      <w:r w:rsidR="00E35448">
        <w:rPr>
          <w:sz w:val="24"/>
          <w:szCs w:val="24"/>
        </w:rPr>
        <w:t xml:space="preserve"> </w:t>
      </w:r>
      <w:r w:rsidR="00E35448" w:rsidRPr="00E35448">
        <w:rPr>
          <w:sz w:val="24"/>
          <w:szCs w:val="24"/>
        </w:rPr>
        <w:t>A bilateral IM CSA or collateral transfer agreement/security agreement for each counterparty pair.</w:t>
      </w:r>
    </w:p>
    <w:p w14:paraId="165FFDFF" w14:textId="5F138750" w:rsidR="00B568DF" w:rsidRDefault="00E35448" w:rsidP="009F7CCD">
      <w:pPr>
        <w:spacing w:line="480" w:lineRule="auto"/>
        <w:ind w:left="360" w:firstLine="360"/>
        <w:rPr>
          <w:sz w:val="24"/>
          <w:szCs w:val="24"/>
        </w:rPr>
      </w:pPr>
      <w:r w:rsidRPr="00E35448">
        <w:rPr>
          <w:sz w:val="24"/>
          <w:szCs w:val="24"/>
        </w:rPr>
        <w:t xml:space="preserve">  A trilateral account control agreement or similar documentation for each counterparty/custodian trio. This may involve additional documents if you are accessing a custodian via an intermediary.</w:t>
      </w:r>
    </w:p>
    <w:p w14:paraId="3409D0B5" w14:textId="6D25AC1E" w:rsidR="009F7CCD" w:rsidRPr="009F7CCD" w:rsidRDefault="00B568DF" w:rsidP="009F7CCD">
      <w:pPr>
        <w:spacing w:line="480" w:lineRule="auto"/>
        <w:ind w:left="360" w:firstLine="360"/>
        <w:rPr>
          <w:sz w:val="24"/>
          <w:szCs w:val="24"/>
        </w:rPr>
      </w:pPr>
      <w:proofErr w:type="gramStart"/>
      <w:r>
        <w:rPr>
          <w:sz w:val="24"/>
          <w:szCs w:val="24"/>
        </w:rPr>
        <w:t xml:space="preserve">Step </w:t>
      </w:r>
      <w:r>
        <w:rPr>
          <w:sz w:val="24"/>
          <w:szCs w:val="24"/>
        </w:rPr>
        <w:t>8,</w:t>
      </w:r>
      <w:proofErr w:type="gramEnd"/>
      <w:r w:rsidR="009F7CCD" w:rsidRPr="009F7CCD">
        <w:t xml:space="preserve"> </w:t>
      </w:r>
      <w:r w:rsidR="009F7CCD" w:rsidRPr="009F7CCD">
        <w:rPr>
          <w:sz w:val="24"/>
          <w:szCs w:val="24"/>
        </w:rPr>
        <w:t xml:space="preserve">Check all necessary relationships are up and running, and everything has been tested. </w:t>
      </w:r>
    </w:p>
    <w:p w14:paraId="779889E4" w14:textId="77777777" w:rsidR="009F7CCD" w:rsidRPr="009F7CCD" w:rsidRDefault="009F7CCD" w:rsidP="009F7CCD">
      <w:pPr>
        <w:spacing w:line="480" w:lineRule="auto"/>
        <w:ind w:left="360" w:firstLine="360"/>
        <w:rPr>
          <w:sz w:val="24"/>
          <w:szCs w:val="24"/>
        </w:rPr>
      </w:pPr>
      <w:r w:rsidRPr="009F7CCD">
        <w:rPr>
          <w:sz w:val="24"/>
          <w:szCs w:val="24"/>
        </w:rPr>
        <w:t xml:space="preserve">  Ensure account opening procedures are completed at all relevant custodians and internally within your firm’s own systems.</w:t>
      </w:r>
    </w:p>
    <w:p w14:paraId="31EEDD60" w14:textId="77777777" w:rsidR="009F7CCD" w:rsidRPr="009F7CCD" w:rsidRDefault="009F7CCD" w:rsidP="009F7CCD">
      <w:pPr>
        <w:spacing w:line="480" w:lineRule="auto"/>
        <w:ind w:left="360" w:firstLine="360"/>
        <w:rPr>
          <w:sz w:val="24"/>
          <w:szCs w:val="24"/>
        </w:rPr>
      </w:pPr>
      <w:r w:rsidRPr="009F7CCD">
        <w:rPr>
          <w:sz w:val="24"/>
          <w:szCs w:val="24"/>
        </w:rPr>
        <w:t xml:space="preserve"> Test segregated account transfers with custodians.</w:t>
      </w:r>
    </w:p>
    <w:p w14:paraId="5186D428" w14:textId="33AF74EE" w:rsidR="00B568DF" w:rsidRDefault="009F7CCD" w:rsidP="009F7CCD">
      <w:pPr>
        <w:spacing w:line="480" w:lineRule="auto"/>
        <w:ind w:left="360" w:firstLine="360"/>
        <w:rPr>
          <w:sz w:val="24"/>
          <w:szCs w:val="24"/>
        </w:rPr>
      </w:pPr>
      <w:r w:rsidRPr="009F7CCD">
        <w:rPr>
          <w:sz w:val="24"/>
          <w:szCs w:val="24"/>
        </w:rPr>
        <w:t xml:space="preserve">  Test with all applicable third-party collateral managers.</w:t>
      </w:r>
    </w:p>
    <w:p w14:paraId="7C65E2E1" w14:textId="77777777" w:rsidR="00B568DF" w:rsidRPr="00D556E1" w:rsidRDefault="00B568DF" w:rsidP="00D556E1">
      <w:pPr>
        <w:spacing w:line="480" w:lineRule="auto"/>
        <w:ind w:left="360" w:firstLine="360"/>
        <w:rPr>
          <w:rFonts w:hint="eastAsia"/>
          <w:sz w:val="24"/>
          <w:szCs w:val="24"/>
        </w:rPr>
      </w:pPr>
    </w:p>
    <w:p w14:paraId="37248DA6" w14:textId="4621E473" w:rsidR="0049351B" w:rsidRPr="009B1319" w:rsidRDefault="00A46E7C" w:rsidP="008B51C8">
      <w:pPr>
        <w:pStyle w:val="ListParagraph"/>
        <w:numPr>
          <w:ilvl w:val="0"/>
          <w:numId w:val="4"/>
        </w:numPr>
        <w:spacing w:line="480" w:lineRule="auto"/>
        <w:rPr>
          <w:b/>
          <w:color w:val="2E74B5" w:themeColor="accent5" w:themeShade="BF"/>
          <w:sz w:val="24"/>
          <w:szCs w:val="24"/>
        </w:rPr>
      </w:pPr>
      <w:r w:rsidRPr="000B24D7">
        <w:rPr>
          <w:b/>
          <w:color w:val="2E74B5" w:themeColor="accent5" w:themeShade="BF"/>
          <w:sz w:val="24"/>
          <w:szCs w:val="24"/>
        </w:rPr>
        <w:lastRenderedPageBreak/>
        <w:t xml:space="preserve">Quantitative </w:t>
      </w:r>
      <w:r w:rsidR="00620AB8">
        <w:rPr>
          <w:b/>
          <w:color w:val="2E74B5" w:themeColor="accent5" w:themeShade="BF"/>
          <w:sz w:val="24"/>
          <w:szCs w:val="24"/>
        </w:rPr>
        <w:t>R</w:t>
      </w:r>
      <w:r w:rsidR="00786BAE">
        <w:rPr>
          <w:b/>
          <w:color w:val="2E74B5" w:themeColor="accent5" w:themeShade="BF"/>
          <w:sz w:val="24"/>
          <w:szCs w:val="24"/>
        </w:rPr>
        <w:t>equirement</w:t>
      </w:r>
    </w:p>
    <w:p w14:paraId="5820012F" w14:textId="77777777" w:rsidR="0049351B" w:rsidRPr="000B24D7" w:rsidRDefault="0049351B" w:rsidP="008B51C8">
      <w:pPr>
        <w:spacing w:line="480" w:lineRule="auto"/>
        <w:ind w:firstLine="720"/>
        <w:rPr>
          <w:rFonts w:hint="eastAsia"/>
          <w:sz w:val="24"/>
          <w:szCs w:val="24"/>
        </w:rPr>
      </w:pPr>
      <w:r w:rsidRPr="000B24D7">
        <w:rPr>
          <w:sz w:val="24"/>
          <w:szCs w:val="24"/>
        </w:rPr>
        <w:t>Once we understand the background of UMR, the second question for us is which derivatives and what are their principal exposure amount that in-scope for UMR. Firstly, the uncleared derivative instruments include FX options, Non-deliverable forwards (NDFs), Physical FX forwards, Swaptions and some other Hedging trades. Asset managers, banks, hedge funds, corporates, pensions and more may be subject to the requirements. Secondly, the notional threshold is calculated by Average Aggregate Notional Amount (AANA)</w:t>
      </w:r>
      <w:r>
        <w:rPr>
          <w:sz w:val="24"/>
          <w:szCs w:val="24"/>
        </w:rPr>
        <w:t xml:space="preserve"> over certain 3-month period</w:t>
      </w:r>
      <w:r w:rsidRPr="000B24D7">
        <w:rPr>
          <w:sz w:val="24"/>
          <w:szCs w:val="24"/>
        </w:rPr>
        <w:t xml:space="preserve">. AANA is what </w:t>
      </w:r>
      <w:r>
        <w:rPr>
          <w:sz w:val="24"/>
          <w:szCs w:val="24"/>
        </w:rPr>
        <w:t xml:space="preserve">the </w:t>
      </w:r>
      <w:r w:rsidRPr="000B24D7">
        <w:rPr>
          <w:sz w:val="24"/>
          <w:szCs w:val="24"/>
        </w:rPr>
        <w:t xml:space="preserve">regulators use to determine whether a firm is within the scope for initial margin in the UMR. </w:t>
      </w:r>
    </w:p>
    <w:p w14:paraId="5EDA4AE7" w14:textId="77777777" w:rsidR="0049351B" w:rsidRPr="000B24D7" w:rsidRDefault="0049351B" w:rsidP="008B51C8">
      <w:pPr>
        <w:spacing w:line="480" w:lineRule="auto"/>
        <w:rPr>
          <w:sz w:val="24"/>
          <w:szCs w:val="24"/>
        </w:rPr>
      </w:pPr>
      <w:r w:rsidRPr="000B24D7">
        <w:rPr>
          <w:sz w:val="24"/>
          <w:szCs w:val="24"/>
        </w:rPr>
        <w:t>AANA is based on the open gross notional value of all non-centrally cleared derivatives during the designated calculation observation period for the phase.</w:t>
      </w:r>
    </w:p>
    <w:p w14:paraId="06138D68" w14:textId="77777777" w:rsidR="0049351B" w:rsidRPr="0049351B" w:rsidRDefault="0049351B" w:rsidP="008B51C8">
      <w:pPr>
        <w:spacing w:line="480" w:lineRule="auto"/>
        <w:rPr>
          <w:b/>
          <w:color w:val="2E74B5" w:themeColor="accent5" w:themeShade="BF"/>
          <w:sz w:val="24"/>
          <w:szCs w:val="24"/>
        </w:rPr>
      </w:pPr>
    </w:p>
    <w:p w14:paraId="7F22CBD2" w14:textId="32580F85" w:rsidR="007833CE" w:rsidRPr="000B24D7" w:rsidRDefault="007833CE" w:rsidP="008B51C8">
      <w:pPr>
        <w:spacing w:line="480" w:lineRule="auto"/>
        <w:rPr>
          <w:b/>
          <w:color w:val="2E74B5" w:themeColor="accent5" w:themeShade="BF"/>
          <w:sz w:val="24"/>
          <w:szCs w:val="24"/>
        </w:rPr>
      </w:pPr>
      <w:r w:rsidRPr="000B24D7">
        <w:rPr>
          <w:sz w:val="24"/>
          <w:szCs w:val="24"/>
        </w:rPr>
        <w:lastRenderedPageBreak/>
        <w:t xml:space="preserve">two key distinctions require this proposed framework. First, methodologies used for capital calculations are not appropriate for initial margin for noncleared derivatives. It is important to note that the first main objective outlined by the final guidelines, "Reduction of systemic risk," is a very different one than the general aim of capital calculations regularly employed on similar portfolios by prudentially regulated institutions. While the latter aims to accurately reflect all reasonable types of risk such a portfolio may have, the former need not. For example, it may make sense to include FX volatility skew scenarios into a capital simulation, but this is not a systemically relevant type of risk which would be important for the purposes of universal two-way initial margin aimed at reducing systemic risk. Thus, while both types of portfolios of non-cleared derivatives ultimately have the same potential underlying risk factors, only a subset of them which are systemically relevant, such as USD interest rates, commodities prices, or broad credit spread movements, would be required to protect against such systemic risks. Further, the timing of capital calculations can be slower and the amount of transparency lower (counterparties will not need to independently verify these calculations every day) </w:t>
      </w:r>
      <w:r w:rsidRPr="000B24D7">
        <w:rPr>
          <w:sz w:val="24"/>
          <w:szCs w:val="24"/>
        </w:rPr>
        <w:lastRenderedPageBreak/>
        <w:t xml:space="preserve">than is a pre-requisite for the current purpose. Second, bilaterally agreed methodologies are also not a realistically tenable solution. During a period of market stress, the effort required to independently verify calculations and resolve disputes (many of which would likely be due to changes in transparent, unilaterally-determined market parameters used by the calculating party, such as correlation or volatility) would promote neither of the objectives of the final guidelines, and rather likely increase systemic risk due to an accident. Thus, ISDA proposes to develop a standardized model which market participants can use that is better suited to the current purpose. The key aims of such a model include: </w:t>
      </w:r>
      <w:r w:rsidRPr="000B24D7">
        <w:rPr>
          <w:sz w:val="24"/>
          <w:szCs w:val="24"/>
        </w:rPr>
        <w:sym w:font="Symbol" w:char="F0B7"/>
      </w:r>
      <w:r w:rsidRPr="000B24D7">
        <w:rPr>
          <w:sz w:val="24"/>
          <w:szCs w:val="24"/>
        </w:rPr>
        <w:t xml:space="preserve"> Efficiency, speed, transparency and reproducibility </w:t>
      </w:r>
      <w:r w:rsidRPr="000B24D7">
        <w:rPr>
          <w:sz w:val="24"/>
          <w:szCs w:val="24"/>
        </w:rPr>
        <w:sym w:font="Symbol" w:char="F0B7"/>
      </w:r>
      <w:r w:rsidRPr="000B24D7">
        <w:rPr>
          <w:sz w:val="24"/>
          <w:szCs w:val="24"/>
        </w:rPr>
        <w:t xml:space="preserve"> Non-procyclicality </w:t>
      </w:r>
      <w:r w:rsidRPr="000B24D7">
        <w:rPr>
          <w:sz w:val="24"/>
          <w:szCs w:val="24"/>
        </w:rPr>
        <w:sym w:font="Symbol" w:char="F0B7"/>
      </w:r>
      <w:r w:rsidRPr="000B24D7">
        <w:rPr>
          <w:sz w:val="24"/>
          <w:szCs w:val="24"/>
        </w:rPr>
        <w:t xml:space="preserve"> Being governable and extensible </w:t>
      </w:r>
      <w:r w:rsidRPr="000B24D7">
        <w:rPr>
          <w:sz w:val="24"/>
          <w:szCs w:val="24"/>
        </w:rPr>
        <w:sym w:font="Symbol" w:char="F0B7"/>
      </w:r>
      <w:r w:rsidRPr="000B24D7">
        <w:rPr>
          <w:sz w:val="24"/>
          <w:szCs w:val="24"/>
        </w:rPr>
        <w:t xml:space="preserve"> Not limiting entry to market The successful development and deployment of such a model will require an agreement with regulators around issues discussed above such as calculations based on Greeks and a framework for approval via a number of reference portfolios and periods. The successful implementation of a standardized model also will require coordination among regulators in their model approval process.</w:t>
      </w:r>
    </w:p>
    <w:p w14:paraId="7437CC5D" w14:textId="21435BE6" w:rsidR="001E712F" w:rsidRPr="000B24D7" w:rsidRDefault="001E712F" w:rsidP="008B51C8">
      <w:pPr>
        <w:pStyle w:val="ListParagraph"/>
        <w:spacing w:line="480" w:lineRule="auto"/>
        <w:ind w:left="1080"/>
        <w:rPr>
          <w:sz w:val="24"/>
          <w:szCs w:val="24"/>
        </w:rPr>
      </w:pPr>
      <w:r w:rsidRPr="000B24D7">
        <w:rPr>
          <w:sz w:val="24"/>
          <w:szCs w:val="24"/>
        </w:rPr>
        <w:lastRenderedPageBreak/>
        <w:t>SIMM model</w:t>
      </w:r>
      <w:r w:rsidR="00CE185C" w:rsidRPr="000B24D7">
        <w:rPr>
          <w:sz w:val="24"/>
          <w:szCs w:val="24"/>
        </w:rPr>
        <w:t xml:space="preserve"> (which replace the </w:t>
      </w:r>
      <w:proofErr w:type="spellStart"/>
      <w:r w:rsidR="00CE185C" w:rsidRPr="000B24D7">
        <w:rPr>
          <w:sz w:val="24"/>
          <w:szCs w:val="24"/>
        </w:rPr>
        <w:t>VaR</w:t>
      </w:r>
      <w:proofErr w:type="spellEnd"/>
      <w:r w:rsidR="00CE185C" w:rsidRPr="000B24D7">
        <w:rPr>
          <w:sz w:val="24"/>
          <w:szCs w:val="24"/>
        </w:rPr>
        <w:t>)</w:t>
      </w:r>
    </w:p>
    <w:p w14:paraId="3BDA3197" w14:textId="77777777" w:rsidR="00381A75" w:rsidRPr="000B24D7" w:rsidRDefault="00381A75" w:rsidP="008B51C8">
      <w:pPr>
        <w:spacing w:line="480" w:lineRule="auto"/>
        <w:rPr>
          <w:sz w:val="24"/>
          <w:szCs w:val="24"/>
        </w:rPr>
      </w:pPr>
      <w:r w:rsidRPr="000B24D7">
        <w:rPr>
          <w:sz w:val="24"/>
          <w:szCs w:val="24"/>
        </w:rPr>
        <w:t>SIMM model is the initial margin calculating methodology offered by ISDA. My plan is that firstly understand the SIMM model; then take IRS and FX as an example and come up with a strategy that lower the margin cost calculated by SIMM model. The basic methods may include compressing the notional amount, replicate the OTC exposure by using non-OTC product, etc.</w:t>
      </w:r>
    </w:p>
    <w:p w14:paraId="30294F76" w14:textId="77777777" w:rsidR="00381A75" w:rsidRPr="000B24D7" w:rsidRDefault="00381A75" w:rsidP="008B51C8">
      <w:pPr>
        <w:pStyle w:val="ListParagraph"/>
        <w:spacing w:line="480" w:lineRule="auto"/>
        <w:ind w:left="1080"/>
        <w:rPr>
          <w:sz w:val="24"/>
          <w:szCs w:val="24"/>
        </w:rPr>
      </w:pPr>
    </w:p>
    <w:p w14:paraId="0DBF4837" w14:textId="14005AF6" w:rsidR="008567D1" w:rsidRPr="00A060CA" w:rsidRDefault="00C4754A" w:rsidP="00A060CA">
      <w:pPr>
        <w:spacing w:line="480" w:lineRule="auto"/>
        <w:rPr>
          <w:sz w:val="24"/>
          <w:szCs w:val="24"/>
        </w:rPr>
      </w:pPr>
      <w:r w:rsidRPr="00A060CA">
        <w:rPr>
          <w:sz w:val="24"/>
          <w:szCs w:val="24"/>
        </w:rPr>
        <w:t>What the lower rated counterparty can do?</w:t>
      </w:r>
      <w:r w:rsidR="005F6EAA" w:rsidRPr="00A060CA">
        <w:rPr>
          <w:sz w:val="24"/>
          <w:szCs w:val="24"/>
        </w:rPr>
        <w:t xml:space="preserve"> </w:t>
      </w:r>
      <w:r w:rsidR="005F6EAA" w:rsidRPr="000B24D7">
        <w:sym w:font="Wingdings" w:char="F0E0"/>
      </w:r>
      <w:r w:rsidR="005F6EAA" w:rsidRPr="00A060CA">
        <w:rPr>
          <w:sz w:val="24"/>
          <w:szCs w:val="24"/>
        </w:rPr>
        <w:t xml:space="preserve"> Use CCP’s solution</w:t>
      </w:r>
      <w:r w:rsidR="00A060CA">
        <w:rPr>
          <w:sz w:val="24"/>
          <w:szCs w:val="24"/>
        </w:rPr>
        <w:t xml:space="preserve"> </w:t>
      </w:r>
      <w:r w:rsidR="008567D1" w:rsidRPr="00A060CA">
        <w:rPr>
          <w:sz w:val="24"/>
          <w:szCs w:val="24"/>
        </w:rPr>
        <w:t xml:space="preserve">SIMM uses sensitivities as inputs. Risk factors and sensitivities must meet the definitions provided within Section C.  </w:t>
      </w:r>
    </w:p>
    <w:p w14:paraId="7E42309B" w14:textId="77777777" w:rsidR="008567D1" w:rsidRPr="008567D1" w:rsidRDefault="008567D1" w:rsidP="008567D1">
      <w:pPr>
        <w:pStyle w:val="ListParagraph"/>
        <w:spacing w:line="480" w:lineRule="auto"/>
        <w:ind w:left="1080"/>
        <w:rPr>
          <w:sz w:val="24"/>
          <w:szCs w:val="24"/>
        </w:rPr>
      </w:pPr>
      <w:r w:rsidRPr="008567D1">
        <w:rPr>
          <w:sz w:val="24"/>
          <w:szCs w:val="24"/>
        </w:rPr>
        <w:t xml:space="preserve">3. Sensitivities are used as inputs into aggregation formulae which are intended to recognize hedging and diversification benefits of positions in different risk factors within an asset class. Risk weights and correlations are provided in Sections D-I.  </w:t>
      </w:r>
    </w:p>
    <w:p w14:paraId="71D2F4B8" w14:textId="6CAE5739" w:rsidR="009F7CCD" w:rsidRDefault="009F7CCD" w:rsidP="008B51C8">
      <w:pPr>
        <w:pStyle w:val="ListParagraph"/>
        <w:spacing w:line="480" w:lineRule="auto"/>
        <w:ind w:left="1080"/>
        <w:rPr>
          <w:sz w:val="24"/>
          <w:szCs w:val="24"/>
        </w:rPr>
      </w:pPr>
    </w:p>
    <w:p w14:paraId="77551DF7" w14:textId="761EB95C" w:rsidR="00A060CA" w:rsidRDefault="00E63413" w:rsidP="008B51C8">
      <w:pPr>
        <w:pStyle w:val="ListParagraph"/>
        <w:spacing w:line="480" w:lineRule="auto"/>
        <w:ind w:left="1080"/>
        <w:rPr>
          <w:sz w:val="24"/>
          <w:szCs w:val="24"/>
        </w:rPr>
      </w:pPr>
      <w:r w:rsidRPr="00E63413">
        <w:rPr>
          <w:sz w:val="24"/>
          <w:szCs w:val="24"/>
        </w:rPr>
        <w:t xml:space="preserve">There are six risk classes: • Interest Rate • Credit (Qualifying) • Credit (Non-Qualifying) • Equity • Commodity • FX and the margin for each risk class is defined to be the sum of the Delta Margin, the Vega Margin, the Curvature Margin and the Base </w:t>
      </w:r>
      <w:proofErr w:type="spellStart"/>
      <w:r w:rsidRPr="00E63413">
        <w:rPr>
          <w:sz w:val="24"/>
          <w:szCs w:val="24"/>
        </w:rPr>
        <w:t>Corr</w:t>
      </w:r>
      <w:proofErr w:type="spellEnd"/>
      <w:r w:rsidRPr="00E63413">
        <w:rPr>
          <w:sz w:val="24"/>
          <w:szCs w:val="24"/>
        </w:rPr>
        <w:t xml:space="preserve"> Margin (if applicable) for that risk class. That is</w:t>
      </w:r>
      <w:r>
        <w:rPr>
          <w:sz w:val="24"/>
          <w:szCs w:val="24"/>
        </w:rPr>
        <w:t>:</w:t>
      </w:r>
      <w:r w:rsidR="00B9777E">
        <w:rPr>
          <w:sz w:val="24"/>
          <w:szCs w:val="24"/>
        </w:rPr>
        <w:t xml:space="preserve"> (page</w:t>
      </w:r>
      <w:r w:rsidR="00EC002B">
        <w:rPr>
          <w:sz w:val="24"/>
          <w:szCs w:val="24"/>
        </w:rPr>
        <w:t xml:space="preserve"> 1 formula 1</w:t>
      </w:r>
      <w:r w:rsidR="00B9777E">
        <w:rPr>
          <w:sz w:val="24"/>
          <w:szCs w:val="24"/>
        </w:rPr>
        <w:t>)</w:t>
      </w:r>
    </w:p>
    <w:p w14:paraId="13B9EE11" w14:textId="1DE7DF7C" w:rsidR="00EC002B" w:rsidRDefault="00EC002B" w:rsidP="00EC002B">
      <w:pPr>
        <w:spacing w:line="480" w:lineRule="auto"/>
        <w:rPr>
          <w:sz w:val="24"/>
          <w:szCs w:val="24"/>
        </w:rPr>
      </w:pPr>
      <w:r>
        <w:rPr>
          <w:sz w:val="24"/>
          <w:szCs w:val="24"/>
        </w:rPr>
        <w:tab/>
      </w:r>
      <w:r w:rsidRPr="00EC002B">
        <w:rPr>
          <w:sz w:val="24"/>
          <w:szCs w:val="24"/>
        </w:rPr>
        <w:t>There are four product classes</w:t>
      </w:r>
      <w:r w:rsidR="004E79AC">
        <w:rPr>
          <w:sz w:val="24"/>
          <w:szCs w:val="24"/>
        </w:rPr>
        <w:t xml:space="preserve">: </w:t>
      </w:r>
      <w:r w:rsidR="004E79AC" w:rsidRPr="004E79AC">
        <w:rPr>
          <w:sz w:val="24"/>
          <w:szCs w:val="24"/>
        </w:rPr>
        <w:t>Interest Rates and Foreign Exchange (</w:t>
      </w:r>
      <w:proofErr w:type="spellStart"/>
      <w:r w:rsidR="004E79AC" w:rsidRPr="004E79AC">
        <w:rPr>
          <w:sz w:val="24"/>
          <w:szCs w:val="24"/>
        </w:rPr>
        <w:t>RatesFX</w:t>
      </w:r>
      <w:proofErr w:type="spellEnd"/>
      <w:r w:rsidR="004E79AC" w:rsidRPr="004E79AC">
        <w:rPr>
          <w:sz w:val="24"/>
          <w:szCs w:val="24"/>
        </w:rPr>
        <w:t>) • Credit • Equity • Commodity</w:t>
      </w:r>
      <w:r w:rsidR="004E79AC">
        <w:rPr>
          <w:sz w:val="24"/>
          <w:szCs w:val="24"/>
        </w:rPr>
        <w:t>,</w:t>
      </w:r>
    </w:p>
    <w:p w14:paraId="637553B0" w14:textId="0D1ACB85" w:rsidR="004E79AC" w:rsidRDefault="004E79AC" w:rsidP="00EC002B">
      <w:pPr>
        <w:spacing w:line="480" w:lineRule="auto"/>
        <w:rPr>
          <w:sz w:val="24"/>
          <w:szCs w:val="24"/>
        </w:rPr>
      </w:pPr>
      <w:r w:rsidRPr="004E79AC">
        <w:rPr>
          <w:sz w:val="24"/>
          <w:szCs w:val="24"/>
        </w:rPr>
        <w:t>Within each product class, the initial margin (IM) for each of the six risk classes is calculated as in paragraph 5 above. The total margin for that product class is given by the formula:</w:t>
      </w:r>
      <w:r w:rsidR="00A55CF2">
        <w:rPr>
          <w:sz w:val="24"/>
          <w:szCs w:val="24"/>
        </w:rPr>
        <w:t xml:space="preserve"> </w:t>
      </w:r>
    </w:p>
    <w:p w14:paraId="0E263DBB" w14:textId="140150B4" w:rsidR="00F65556" w:rsidRPr="00C8350B" w:rsidRDefault="000A69AC" w:rsidP="00C8350B">
      <w:pPr>
        <w:spacing w:line="480" w:lineRule="auto"/>
        <w:rPr>
          <w:sz w:val="24"/>
          <w:szCs w:val="24"/>
        </w:rPr>
      </w:pPr>
      <w:r>
        <w:rPr>
          <w:rFonts w:hint="eastAsia"/>
          <w:sz w:val="24"/>
          <w:szCs w:val="24"/>
        </w:rPr>
        <w:t>（</w:t>
      </w:r>
      <w:r>
        <w:rPr>
          <w:rFonts w:hint="eastAsia"/>
          <w:sz w:val="24"/>
          <w:szCs w:val="24"/>
        </w:rPr>
        <w:t>page</w:t>
      </w:r>
      <w:r>
        <w:rPr>
          <w:sz w:val="24"/>
          <w:szCs w:val="24"/>
        </w:rPr>
        <w:t>2-1</w:t>
      </w:r>
      <w:r w:rsidR="00CB07CD">
        <w:rPr>
          <w:sz w:val="24"/>
          <w:szCs w:val="24"/>
        </w:rPr>
        <w:t>,2</w:t>
      </w:r>
      <w:r w:rsidR="00CB07CD">
        <w:rPr>
          <w:rFonts w:hint="eastAsia"/>
          <w:sz w:val="24"/>
          <w:szCs w:val="24"/>
        </w:rPr>
        <w:t>）</w:t>
      </w:r>
    </w:p>
    <w:p w14:paraId="675E07BA" w14:textId="77777777" w:rsidR="00C8350B" w:rsidRPr="00C8350B" w:rsidRDefault="00C8350B" w:rsidP="00C8350B">
      <w:pPr>
        <w:spacing w:line="480" w:lineRule="auto"/>
        <w:rPr>
          <w:sz w:val="24"/>
          <w:szCs w:val="24"/>
        </w:rPr>
      </w:pPr>
    </w:p>
    <w:p w14:paraId="50C9EE11" w14:textId="77777777" w:rsidR="00E63413" w:rsidRPr="000B24D7" w:rsidRDefault="00E63413" w:rsidP="008B51C8">
      <w:pPr>
        <w:pStyle w:val="ListParagraph"/>
        <w:spacing w:line="480" w:lineRule="auto"/>
        <w:ind w:left="1080"/>
        <w:rPr>
          <w:sz w:val="24"/>
          <w:szCs w:val="24"/>
        </w:rPr>
      </w:pPr>
    </w:p>
    <w:p w14:paraId="0853F45C" w14:textId="1F1162E0" w:rsidR="009C75EF" w:rsidRDefault="00764516" w:rsidP="009C75EF">
      <w:pPr>
        <w:pStyle w:val="ListParagraph"/>
        <w:numPr>
          <w:ilvl w:val="0"/>
          <w:numId w:val="5"/>
        </w:numPr>
        <w:spacing w:line="480" w:lineRule="auto"/>
        <w:rPr>
          <w:b/>
          <w:color w:val="2E74B5" w:themeColor="accent5" w:themeShade="BF"/>
          <w:sz w:val="24"/>
          <w:szCs w:val="24"/>
        </w:rPr>
      </w:pPr>
      <w:r w:rsidRPr="009D65E8">
        <w:rPr>
          <w:b/>
          <w:color w:val="2E74B5" w:themeColor="accent5" w:themeShade="BF"/>
          <w:sz w:val="24"/>
          <w:szCs w:val="24"/>
        </w:rPr>
        <w:t xml:space="preserve">CCP’s </w:t>
      </w:r>
      <w:r w:rsidR="00A46E7C" w:rsidRPr="009D65E8">
        <w:rPr>
          <w:b/>
          <w:color w:val="2E74B5" w:themeColor="accent5" w:themeShade="BF"/>
          <w:sz w:val="24"/>
          <w:szCs w:val="24"/>
        </w:rPr>
        <w:t>Solution</w:t>
      </w:r>
      <w:r w:rsidRPr="009D65E8">
        <w:rPr>
          <w:b/>
          <w:color w:val="2E74B5" w:themeColor="accent5" w:themeShade="BF"/>
          <w:sz w:val="24"/>
          <w:szCs w:val="24"/>
        </w:rPr>
        <w:t xml:space="preserve"> (and other)</w:t>
      </w:r>
    </w:p>
    <w:p w14:paraId="3A103447" w14:textId="38F4D69F" w:rsidR="00627F80" w:rsidRDefault="00627F80" w:rsidP="00627F80">
      <w:pPr>
        <w:spacing w:line="480" w:lineRule="auto"/>
        <w:rPr>
          <w:sz w:val="24"/>
          <w:szCs w:val="24"/>
        </w:rPr>
      </w:pPr>
      <w:r w:rsidRPr="00C8350B">
        <w:rPr>
          <w:sz w:val="24"/>
          <w:szCs w:val="24"/>
        </w:rPr>
        <w:t>ISDA SIMM is symmetrical between Pay and Receive. I have therefore taken the average of Pay and Receive for all CCPs in CHARM.</w:t>
      </w:r>
    </w:p>
    <w:p w14:paraId="23DA568C" w14:textId="0A3708F6" w:rsidR="00A547D7" w:rsidRDefault="00A547D7" w:rsidP="00627F80">
      <w:pPr>
        <w:spacing w:line="480" w:lineRule="auto"/>
        <w:rPr>
          <w:sz w:val="24"/>
          <w:szCs w:val="24"/>
        </w:rPr>
      </w:pPr>
    </w:p>
    <w:p w14:paraId="7C5F7F82" w14:textId="79A592D6" w:rsidR="00A547D7" w:rsidRPr="00C8350B" w:rsidRDefault="00690412" w:rsidP="00627F80">
      <w:pPr>
        <w:spacing w:line="480" w:lineRule="auto"/>
        <w:rPr>
          <w:rFonts w:hint="eastAsia"/>
          <w:sz w:val="24"/>
          <w:szCs w:val="24"/>
        </w:rPr>
      </w:pPr>
      <w:r>
        <w:rPr>
          <w:rFonts w:hint="eastAsia"/>
          <w:sz w:val="24"/>
          <w:szCs w:val="24"/>
        </w:rPr>
        <w:t>以下是抄的网页，</w:t>
      </w:r>
    </w:p>
    <w:p w14:paraId="1AB24A68" w14:textId="77777777" w:rsidR="00627F80" w:rsidRPr="00C8350B" w:rsidRDefault="00627F80" w:rsidP="00627F80">
      <w:pPr>
        <w:spacing w:line="480" w:lineRule="auto"/>
        <w:rPr>
          <w:sz w:val="24"/>
          <w:szCs w:val="24"/>
        </w:rPr>
      </w:pPr>
      <w:r w:rsidRPr="00C8350B">
        <w:rPr>
          <w:sz w:val="24"/>
          <w:szCs w:val="24"/>
        </w:rPr>
        <w:t>ISDA SIMM, on a standalone basis, is higher than CCPs for all cases.</w:t>
      </w:r>
    </w:p>
    <w:p w14:paraId="44DD3D9D" w14:textId="77777777" w:rsidR="00627F80" w:rsidRPr="00C8350B" w:rsidRDefault="00627F80" w:rsidP="00627F80">
      <w:pPr>
        <w:spacing w:line="480" w:lineRule="auto"/>
        <w:rPr>
          <w:sz w:val="24"/>
          <w:szCs w:val="24"/>
        </w:rPr>
      </w:pPr>
      <w:r w:rsidRPr="00C8350B">
        <w:rPr>
          <w:sz w:val="24"/>
          <w:szCs w:val="24"/>
        </w:rPr>
        <w:t xml:space="preserve">But this may change on a portfolio basis. Our </w:t>
      </w:r>
      <w:proofErr w:type="gramStart"/>
      <w:r w:rsidRPr="00C8350B">
        <w:rPr>
          <w:sz w:val="24"/>
          <w:szCs w:val="24"/>
        </w:rPr>
        <w:t>1,000 test</w:t>
      </w:r>
      <w:proofErr w:type="gramEnd"/>
      <w:r w:rsidRPr="00C8350B">
        <w:rPr>
          <w:sz w:val="24"/>
          <w:szCs w:val="24"/>
        </w:rPr>
        <w:t xml:space="preserve"> trade portfolio shows the following:</w:t>
      </w:r>
    </w:p>
    <w:p w14:paraId="769194F6" w14:textId="77777777" w:rsidR="00627F80" w:rsidRPr="00C8350B" w:rsidRDefault="00627F80" w:rsidP="00627F80">
      <w:pPr>
        <w:spacing w:line="480" w:lineRule="auto"/>
        <w:rPr>
          <w:sz w:val="24"/>
          <w:szCs w:val="24"/>
        </w:rPr>
      </w:pPr>
      <w:r w:rsidRPr="00C8350B">
        <w:rPr>
          <w:sz w:val="24"/>
          <w:szCs w:val="24"/>
        </w:rPr>
        <w:t>ISDA SIMM IM at $136m</w:t>
      </w:r>
    </w:p>
    <w:p w14:paraId="4A0C94E8" w14:textId="77777777" w:rsidR="00627F80" w:rsidRPr="00C8350B" w:rsidRDefault="00627F80" w:rsidP="00627F80">
      <w:pPr>
        <w:spacing w:line="480" w:lineRule="auto"/>
        <w:rPr>
          <w:sz w:val="24"/>
          <w:szCs w:val="24"/>
        </w:rPr>
      </w:pPr>
      <w:r w:rsidRPr="00C8350B">
        <w:rPr>
          <w:sz w:val="24"/>
          <w:szCs w:val="24"/>
        </w:rPr>
        <w:t>If all trades were at LCH an IM of $121m</w:t>
      </w:r>
    </w:p>
    <w:p w14:paraId="5FB965B7" w14:textId="77777777" w:rsidR="00627F80" w:rsidRPr="00C8350B" w:rsidRDefault="00627F80" w:rsidP="00627F80">
      <w:pPr>
        <w:spacing w:line="480" w:lineRule="auto"/>
        <w:rPr>
          <w:sz w:val="24"/>
          <w:szCs w:val="24"/>
        </w:rPr>
      </w:pPr>
      <w:r w:rsidRPr="00C8350B">
        <w:rPr>
          <w:sz w:val="24"/>
          <w:szCs w:val="24"/>
        </w:rPr>
        <w:t>If all trades were at CME an IM of $104m</w:t>
      </w:r>
    </w:p>
    <w:p w14:paraId="66800AB9" w14:textId="77777777" w:rsidR="00627F80" w:rsidRPr="00C8350B" w:rsidRDefault="00627F80" w:rsidP="00627F80">
      <w:pPr>
        <w:spacing w:line="480" w:lineRule="auto"/>
        <w:rPr>
          <w:sz w:val="24"/>
          <w:szCs w:val="24"/>
        </w:rPr>
      </w:pPr>
      <w:r w:rsidRPr="00C8350B">
        <w:rPr>
          <w:sz w:val="24"/>
          <w:szCs w:val="24"/>
        </w:rPr>
        <w:t>These differences are not as great as we would have predicted.</w:t>
      </w:r>
    </w:p>
    <w:p w14:paraId="592854F7" w14:textId="77777777" w:rsidR="00627F80" w:rsidRPr="00C8350B" w:rsidRDefault="00627F80" w:rsidP="00627F80">
      <w:pPr>
        <w:spacing w:line="480" w:lineRule="auto"/>
        <w:rPr>
          <w:sz w:val="24"/>
          <w:szCs w:val="24"/>
        </w:rPr>
      </w:pPr>
      <w:r w:rsidRPr="00C8350B">
        <w:rPr>
          <w:sz w:val="24"/>
          <w:szCs w:val="24"/>
        </w:rPr>
        <w:t>Remember that ISDA SIMM is calibrated for a 10-day holding period, but a ~99% confidence interval. Using a rule of thumb of “square-root 10 over 5” for the effect of the longer holding period, we would expect an IM 1.4 times higher for ISDA SIMM compared to CCP models.</w:t>
      </w:r>
    </w:p>
    <w:p w14:paraId="445F8221" w14:textId="5356724A" w:rsidR="00732A56" w:rsidRDefault="00627F80" w:rsidP="00732A56">
      <w:pPr>
        <w:spacing w:line="480" w:lineRule="auto"/>
        <w:rPr>
          <w:sz w:val="24"/>
          <w:szCs w:val="24"/>
        </w:rPr>
      </w:pPr>
      <w:r w:rsidRPr="00C8350B">
        <w:rPr>
          <w:sz w:val="24"/>
          <w:szCs w:val="24"/>
        </w:rPr>
        <w:t>However, this is offset by a lower confidence interval. ISDA SIMM is calculated at a 99% interval, where-as CME and LCH use 99.7% (and it is Expected Shortfall, average of worst six, for LCH). This reduces the difference. It is hard to say by how much given the different sample periods.</w:t>
      </w:r>
    </w:p>
    <w:p w14:paraId="084B9B2E" w14:textId="102042D7" w:rsidR="00732A56" w:rsidRPr="00732A56" w:rsidRDefault="00732A56" w:rsidP="00732A56">
      <w:pPr>
        <w:spacing w:line="480" w:lineRule="auto"/>
        <w:rPr>
          <w:sz w:val="24"/>
          <w:szCs w:val="24"/>
        </w:rPr>
      </w:pPr>
      <w:r w:rsidRPr="00732A56">
        <w:rPr>
          <w:sz w:val="24"/>
          <w:szCs w:val="24"/>
        </w:rPr>
        <w:t>Finally, we note that;</w:t>
      </w:r>
    </w:p>
    <w:p w14:paraId="578CD6DA" w14:textId="77777777" w:rsidR="00732A56" w:rsidRPr="00732A56" w:rsidRDefault="00732A56" w:rsidP="00732A56">
      <w:pPr>
        <w:spacing w:line="480" w:lineRule="auto"/>
        <w:rPr>
          <w:sz w:val="24"/>
          <w:szCs w:val="24"/>
        </w:rPr>
      </w:pPr>
      <w:r w:rsidRPr="00732A56">
        <w:rPr>
          <w:sz w:val="24"/>
          <w:szCs w:val="24"/>
        </w:rPr>
        <w:t>These comparisons exclude Liquidity Add-Ons from all calculations. There is provision for Concentration Thresholds within ISDA SIMM, but ISDA are yet to implement these.</w:t>
      </w:r>
    </w:p>
    <w:p w14:paraId="511B4A4D" w14:textId="77777777" w:rsidR="00732A56" w:rsidRPr="00732A56" w:rsidRDefault="00732A56" w:rsidP="00732A56">
      <w:pPr>
        <w:spacing w:line="480" w:lineRule="auto"/>
        <w:rPr>
          <w:sz w:val="24"/>
          <w:szCs w:val="24"/>
        </w:rPr>
      </w:pPr>
      <w:r w:rsidRPr="00732A56">
        <w:rPr>
          <w:sz w:val="24"/>
          <w:szCs w:val="24"/>
        </w:rPr>
        <w:t xml:space="preserve">I </w:t>
      </w:r>
      <w:proofErr w:type="gramStart"/>
      <w:r w:rsidRPr="00732A56">
        <w:rPr>
          <w:sz w:val="24"/>
          <w:szCs w:val="24"/>
        </w:rPr>
        <w:t>have to</w:t>
      </w:r>
      <w:proofErr w:type="gramEnd"/>
      <w:r w:rsidRPr="00732A56">
        <w:rPr>
          <w:sz w:val="24"/>
          <w:szCs w:val="24"/>
        </w:rPr>
        <w:t xml:space="preserve"> highlight the effect of netting. ISDA SIMM will be grossed-up between counterparties. This analysis assumes you trade with only one counterparty. See my recent blogs here and here to see the effects of grossing-up across multiple counterparties.</w:t>
      </w:r>
    </w:p>
    <w:p w14:paraId="366B5D45" w14:textId="740D22A2" w:rsidR="00732A56" w:rsidRDefault="00732A56" w:rsidP="00732A56">
      <w:pPr>
        <w:spacing w:line="480" w:lineRule="auto"/>
        <w:rPr>
          <w:sz w:val="24"/>
          <w:szCs w:val="24"/>
        </w:rPr>
      </w:pPr>
      <w:r w:rsidRPr="00732A56">
        <w:rPr>
          <w:sz w:val="24"/>
          <w:szCs w:val="24"/>
        </w:rPr>
        <w:t>The next step is to examine multi-currency portfolios. There is a (relatively) low correlation co-efficient of 27% under ISDA SIMM between interest rate risk in different currencies.</w:t>
      </w:r>
    </w:p>
    <w:p w14:paraId="36F68F99" w14:textId="2BEFBCF8" w:rsidR="00460319" w:rsidRDefault="00460319" w:rsidP="00732A56">
      <w:pPr>
        <w:spacing w:line="480" w:lineRule="auto"/>
        <w:rPr>
          <w:sz w:val="24"/>
          <w:szCs w:val="24"/>
        </w:rPr>
      </w:pPr>
    </w:p>
    <w:p w14:paraId="27314E83" w14:textId="299DB7F4" w:rsidR="00460319" w:rsidRDefault="00460319" w:rsidP="00732A56">
      <w:pPr>
        <w:spacing w:line="480" w:lineRule="auto"/>
        <w:rPr>
          <w:sz w:val="24"/>
          <w:szCs w:val="24"/>
        </w:rPr>
      </w:pPr>
    </w:p>
    <w:p w14:paraId="22A6E69B" w14:textId="45A9B342" w:rsidR="00460319" w:rsidRDefault="00460319" w:rsidP="00732A56">
      <w:pPr>
        <w:spacing w:line="480" w:lineRule="auto"/>
        <w:rPr>
          <w:sz w:val="24"/>
          <w:szCs w:val="24"/>
        </w:rPr>
      </w:pPr>
      <w:r w:rsidRPr="00460319">
        <w:rPr>
          <w:sz w:val="24"/>
          <w:szCs w:val="24"/>
        </w:rPr>
        <w:t>CME Group offers the broadest set of global solutions to help you overcome challenges throughout the entire UMR process.  These solutions enable you to meet IM requirements, gain capital efficiencies, as well as minimize costs and core business disruptions</w:t>
      </w:r>
    </w:p>
    <w:p w14:paraId="18E2A0FA" w14:textId="2BD6122B" w:rsidR="002F2050" w:rsidRPr="002F2050" w:rsidRDefault="00034CBC" w:rsidP="002F2050">
      <w:pPr>
        <w:spacing w:line="480" w:lineRule="auto"/>
        <w:rPr>
          <w:sz w:val="24"/>
          <w:szCs w:val="24"/>
        </w:rPr>
      </w:pPr>
      <w:r>
        <w:rPr>
          <w:sz w:val="24"/>
          <w:szCs w:val="24"/>
        </w:rPr>
        <w:t>1.</w:t>
      </w:r>
      <w:r w:rsidRPr="00034CBC">
        <w:t xml:space="preserve"> </w:t>
      </w:r>
      <w:r w:rsidRPr="00034CBC">
        <w:rPr>
          <w:sz w:val="24"/>
          <w:szCs w:val="24"/>
        </w:rPr>
        <w:t xml:space="preserve">Reduce your total notional </w:t>
      </w:r>
      <w:proofErr w:type="gramStart"/>
      <w:r w:rsidRPr="00034CBC">
        <w:rPr>
          <w:sz w:val="24"/>
          <w:szCs w:val="24"/>
        </w:rPr>
        <w:t>outstanding</w:t>
      </w:r>
      <w:r w:rsidR="002F2050">
        <w:rPr>
          <w:sz w:val="24"/>
          <w:szCs w:val="24"/>
        </w:rPr>
        <w:t xml:space="preserve">  2</w:t>
      </w:r>
      <w:proofErr w:type="gramEnd"/>
      <w:r w:rsidR="002F2050">
        <w:rPr>
          <w:sz w:val="24"/>
          <w:szCs w:val="24"/>
        </w:rPr>
        <w:t>.</w:t>
      </w:r>
      <w:r w:rsidR="002F2050" w:rsidRPr="002F2050">
        <w:t xml:space="preserve"> </w:t>
      </w:r>
      <w:r w:rsidR="002F2050" w:rsidRPr="002F2050">
        <w:rPr>
          <w:sz w:val="24"/>
          <w:szCs w:val="24"/>
        </w:rPr>
        <w:t>Minimize margin requirements</w:t>
      </w:r>
    </w:p>
    <w:p w14:paraId="3F9AD24C" w14:textId="07DC07DB" w:rsidR="002F2050" w:rsidRDefault="002F2050" w:rsidP="002F2050">
      <w:pPr>
        <w:spacing w:line="480" w:lineRule="auto"/>
        <w:rPr>
          <w:sz w:val="24"/>
          <w:szCs w:val="24"/>
        </w:rPr>
      </w:pPr>
      <w:r w:rsidRPr="002F2050">
        <w:rPr>
          <w:sz w:val="24"/>
          <w:szCs w:val="24"/>
        </w:rPr>
        <w:t>Minimizing exposure against each counterparty and optimizing net funding amounts can help lower bilateral margin requirements.</w:t>
      </w:r>
      <w:r w:rsidR="007C7EE7">
        <w:rPr>
          <w:sz w:val="24"/>
          <w:szCs w:val="24"/>
        </w:rPr>
        <w:t xml:space="preserve"> </w:t>
      </w:r>
    </w:p>
    <w:p w14:paraId="72C88D3E" w14:textId="77777777" w:rsidR="007C7EE7" w:rsidRPr="007C7EE7" w:rsidRDefault="007C7EE7" w:rsidP="007C7EE7">
      <w:pPr>
        <w:spacing w:line="480" w:lineRule="auto"/>
        <w:rPr>
          <w:sz w:val="24"/>
          <w:szCs w:val="24"/>
        </w:rPr>
      </w:pPr>
      <w:r w:rsidRPr="007C7EE7">
        <w:rPr>
          <w:sz w:val="24"/>
          <w:szCs w:val="24"/>
        </w:rPr>
        <w:t>Use voluntary clearing</w:t>
      </w:r>
    </w:p>
    <w:p w14:paraId="1F260B51" w14:textId="553D4AEA" w:rsidR="007C7EE7" w:rsidRDefault="007C7EE7" w:rsidP="007C7EE7">
      <w:pPr>
        <w:spacing w:line="480" w:lineRule="auto"/>
        <w:rPr>
          <w:sz w:val="24"/>
          <w:szCs w:val="24"/>
        </w:rPr>
      </w:pPr>
      <w:r w:rsidRPr="007C7EE7">
        <w:rPr>
          <w:sz w:val="24"/>
          <w:szCs w:val="24"/>
        </w:rPr>
        <w:t>Use CME Group cleared OTC products where possible to lower requirements from 10-day margin on uncleared bilateral exposures to the 5-day margin on cleared OTC.</w:t>
      </w:r>
    </w:p>
    <w:p w14:paraId="2B6FDBE9" w14:textId="3E009702" w:rsidR="001A675F" w:rsidRDefault="001A675F" w:rsidP="007C7EE7">
      <w:pPr>
        <w:spacing w:line="480" w:lineRule="auto"/>
        <w:rPr>
          <w:sz w:val="24"/>
          <w:szCs w:val="24"/>
        </w:rPr>
      </w:pPr>
      <w:r>
        <w:rPr>
          <w:sz w:val="24"/>
          <w:szCs w:val="24"/>
        </w:rPr>
        <w:t>For example:</w:t>
      </w:r>
      <w:bookmarkStart w:id="2" w:name="_GoBack"/>
      <w:bookmarkEnd w:id="2"/>
    </w:p>
    <w:p w14:paraId="39343948" w14:textId="77777777" w:rsidR="001A675F" w:rsidRPr="001A675F" w:rsidRDefault="001A675F" w:rsidP="001A675F">
      <w:pPr>
        <w:spacing w:line="480" w:lineRule="auto"/>
        <w:rPr>
          <w:sz w:val="24"/>
          <w:szCs w:val="24"/>
        </w:rPr>
      </w:pPr>
      <w:r w:rsidRPr="001A675F">
        <w:rPr>
          <w:sz w:val="24"/>
          <w:szCs w:val="24"/>
        </w:rPr>
        <w:t>How One Firm Added up to 89% in Capital Efficiencies</w:t>
      </w:r>
    </w:p>
    <w:p w14:paraId="23863FE5" w14:textId="77777777" w:rsidR="001A675F" w:rsidRPr="001A675F" w:rsidRDefault="001A675F" w:rsidP="001A675F">
      <w:pPr>
        <w:spacing w:line="480" w:lineRule="auto"/>
        <w:rPr>
          <w:sz w:val="24"/>
          <w:szCs w:val="24"/>
        </w:rPr>
      </w:pPr>
      <w:r w:rsidRPr="001A675F">
        <w:rPr>
          <w:sz w:val="24"/>
          <w:szCs w:val="24"/>
        </w:rPr>
        <w:t xml:space="preserve">Uncleared margin rules (UMR) are expected to directly impact </w:t>
      </w:r>
      <w:proofErr w:type="gramStart"/>
      <w:r w:rsidRPr="001A675F">
        <w:rPr>
          <w:sz w:val="24"/>
          <w:szCs w:val="24"/>
        </w:rPr>
        <w:t>a number of</w:t>
      </w:r>
      <w:proofErr w:type="gramEnd"/>
      <w:r w:rsidRPr="001A675F">
        <w:rPr>
          <w:sz w:val="24"/>
          <w:szCs w:val="24"/>
        </w:rPr>
        <w:t xml:space="preserve"> buy side firms over the course of 2019 and 2020 as phases 4-6 come into force.</w:t>
      </w:r>
    </w:p>
    <w:p w14:paraId="704E0BA1" w14:textId="77777777" w:rsidR="001A675F" w:rsidRPr="001A675F" w:rsidRDefault="001A675F" w:rsidP="001A675F">
      <w:pPr>
        <w:spacing w:line="480" w:lineRule="auto"/>
        <w:rPr>
          <w:sz w:val="24"/>
          <w:szCs w:val="24"/>
        </w:rPr>
      </w:pPr>
    </w:p>
    <w:p w14:paraId="7D211EB7" w14:textId="77777777" w:rsidR="001A675F" w:rsidRPr="001A675F" w:rsidRDefault="001A675F" w:rsidP="001A675F">
      <w:pPr>
        <w:spacing w:line="480" w:lineRule="auto"/>
        <w:rPr>
          <w:sz w:val="24"/>
          <w:szCs w:val="24"/>
        </w:rPr>
      </w:pPr>
      <w:r w:rsidRPr="001A675F">
        <w:rPr>
          <w:sz w:val="24"/>
          <w:szCs w:val="24"/>
        </w:rPr>
        <w:t>The Average Aggregate Notional Amount (“AANA”) is calculated to evaluate whether a given financial entity is above the relevant threshold for the impact of UMR. Regulatory regimes in both the U.S. and EU currently include the uncleared gross notional of both deliverable FX forwards and FX options.</w:t>
      </w:r>
    </w:p>
    <w:p w14:paraId="7AA43CCD" w14:textId="77777777" w:rsidR="001A675F" w:rsidRPr="001A675F" w:rsidRDefault="001A675F" w:rsidP="001A675F">
      <w:pPr>
        <w:spacing w:line="480" w:lineRule="auto"/>
        <w:rPr>
          <w:sz w:val="24"/>
          <w:szCs w:val="24"/>
        </w:rPr>
      </w:pPr>
    </w:p>
    <w:p w14:paraId="09BD7B16" w14:textId="77777777" w:rsidR="001A675F" w:rsidRPr="001A675F" w:rsidRDefault="001A675F" w:rsidP="001A675F">
      <w:pPr>
        <w:spacing w:line="480" w:lineRule="auto"/>
        <w:rPr>
          <w:sz w:val="24"/>
          <w:szCs w:val="24"/>
        </w:rPr>
      </w:pPr>
      <w:r w:rsidRPr="001A675F">
        <w:rPr>
          <w:sz w:val="24"/>
          <w:szCs w:val="24"/>
        </w:rPr>
        <w:t xml:space="preserve">For entities above the UMR threshold that are then subject to calculating the Initial Margin requirements it is worth noting that deliverable FX </w:t>
      </w:r>
      <w:proofErr w:type="spellStart"/>
      <w:r w:rsidRPr="001A675F">
        <w:rPr>
          <w:sz w:val="24"/>
          <w:szCs w:val="24"/>
        </w:rPr>
        <w:t>fowards</w:t>
      </w:r>
      <w:proofErr w:type="spellEnd"/>
      <w:r w:rsidRPr="001A675F">
        <w:rPr>
          <w:sz w:val="24"/>
          <w:szCs w:val="24"/>
        </w:rPr>
        <w:t xml:space="preserve"> are not included in this calculation. As such bilateral FX options are included in the calculation without typical delta hedges.</w:t>
      </w:r>
    </w:p>
    <w:p w14:paraId="4527C326" w14:textId="77777777" w:rsidR="001A675F" w:rsidRPr="001A675F" w:rsidRDefault="001A675F" w:rsidP="001A675F">
      <w:pPr>
        <w:spacing w:line="480" w:lineRule="auto"/>
        <w:rPr>
          <w:sz w:val="24"/>
          <w:szCs w:val="24"/>
        </w:rPr>
      </w:pPr>
    </w:p>
    <w:p w14:paraId="3748AB21" w14:textId="21765F93" w:rsidR="007C7EE7" w:rsidRDefault="001A675F" w:rsidP="001A675F">
      <w:pPr>
        <w:spacing w:line="480" w:lineRule="auto"/>
        <w:rPr>
          <w:sz w:val="24"/>
          <w:szCs w:val="24"/>
        </w:rPr>
      </w:pPr>
      <w:r w:rsidRPr="001A675F">
        <w:rPr>
          <w:sz w:val="24"/>
          <w:szCs w:val="24"/>
        </w:rPr>
        <w:t>The example below based on real client data helps to illustrate the netting and model benefits that exist in relation to Initial Margin funding that can be achieved by using OTC clearing and/or Exchange Traded Products. Furthermore, delta hedges can also be cleared to enhance the IM efficiencies of using OTC clearing or ETD.</w:t>
      </w:r>
    </w:p>
    <w:p w14:paraId="607DB31B" w14:textId="514CF9AF" w:rsidR="00732A56" w:rsidRDefault="00732A56" w:rsidP="00732A56">
      <w:pPr>
        <w:spacing w:line="480" w:lineRule="auto"/>
        <w:rPr>
          <w:sz w:val="24"/>
          <w:szCs w:val="24"/>
        </w:rPr>
      </w:pPr>
    </w:p>
    <w:p w14:paraId="1113977A" w14:textId="77777777" w:rsidR="00732A56" w:rsidRPr="00732A56" w:rsidRDefault="00732A56" w:rsidP="00732A56">
      <w:pPr>
        <w:spacing w:line="480" w:lineRule="auto"/>
        <w:rPr>
          <w:sz w:val="24"/>
          <w:szCs w:val="24"/>
        </w:rPr>
      </w:pPr>
    </w:p>
    <w:p w14:paraId="5F1D52BF" w14:textId="6903F500" w:rsidR="00764516" w:rsidRPr="009D65E8" w:rsidRDefault="003D2BEE" w:rsidP="009D65E8">
      <w:pPr>
        <w:pStyle w:val="ListParagraph"/>
        <w:numPr>
          <w:ilvl w:val="0"/>
          <w:numId w:val="5"/>
        </w:numPr>
        <w:spacing w:line="480" w:lineRule="auto"/>
        <w:rPr>
          <w:b/>
          <w:color w:val="2E74B5" w:themeColor="accent5" w:themeShade="BF"/>
          <w:sz w:val="24"/>
          <w:szCs w:val="24"/>
        </w:rPr>
      </w:pPr>
      <w:r>
        <w:rPr>
          <w:b/>
          <w:color w:val="2E74B5" w:themeColor="accent5" w:themeShade="BF"/>
          <w:sz w:val="24"/>
          <w:szCs w:val="24"/>
        </w:rPr>
        <w:t>Refer</w:t>
      </w:r>
      <w:r w:rsidR="00F97CD5">
        <w:rPr>
          <w:b/>
          <w:color w:val="2E74B5" w:themeColor="accent5" w:themeShade="BF"/>
          <w:sz w:val="24"/>
          <w:szCs w:val="24"/>
        </w:rPr>
        <w:t xml:space="preserve">ence </w:t>
      </w:r>
    </w:p>
    <w:p w14:paraId="490C4AA9" w14:textId="36B18982" w:rsidR="004F3340" w:rsidRPr="004F3340" w:rsidRDefault="004F3340" w:rsidP="004F3340">
      <w:pPr>
        <w:spacing w:line="480" w:lineRule="auto"/>
        <w:rPr>
          <w:sz w:val="24"/>
          <w:szCs w:val="24"/>
        </w:rPr>
      </w:pPr>
      <w:r w:rsidRPr="004F3340">
        <w:rPr>
          <w:sz w:val="24"/>
          <w:szCs w:val="24"/>
        </w:rPr>
        <w:t>[</w:t>
      </w:r>
      <w:r>
        <w:rPr>
          <w:sz w:val="24"/>
          <w:szCs w:val="24"/>
        </w:rPr>
        <w:t>1</w:t>
      </w:r>
      <w:r w:rsidRPr="004F3340">
        <w:rPr>
          <w:sz w:val="24"/>
          <w:szCs w:val="24"/>
        </w:rPr>
        <w:t>] ISDA. 2019. “SIMM Methodology, version 2.2.” White Paper. ISDA, July.</w:t>
      </w:r>
    </w:p>
    <w:p w14:paraId="3B01C991" w14:textId="79A5D5FF" w:rsidR="00D20AC0" w:rsidRDefault="00D20AC0" w:rsidP="00BA7ED1">
      <w:pPr>
        <w:spacing w:line="480" w:lineRule="auto"/>
        <w:rPr>
          <w:sz w:val="24"/>
          <w:szCs w:val="24"/>
        </w:rPr>
      </w:pPr>
      <w:r>
        <w:rPr>
          <w:sz w:val="24"/>
          <w:szCs w:val="24"/>
        </w:rPr>
        <w:t>[</w:t>
      </w:r>
      <w:r w:rsidR="004F3340">
        <w:rPr>
          <w:sz w:val="24"/>
          <w:szCs w:val="24"/>
        </w:rPr>
        <w:t>2</w:t>
      </w:r>
      <w:r>
        <w:rPr>
          <w:sz w:val="24"/>
          <w:szCs w:val="24"/>
        </w:rPr>
        <w:t xml:space="preserve">] </w:t>
      </w:r>
      <w:r w:rsidR="00A9010E">
        <w:rPr>
          <w:sz w:val="24"/>
          <w:szCs w:val="24"/>
        </w:rPr>
        <w:t>ISDA</w:t>
      </w:r>
      <w:r w:rsidR="00BA7ED1">
        <w:rPr>
          <w:sz w:val="24"/>
          <w:szCs w:val="24"/>
        </w:rPr>
        <w:t xml:space="preserve">. </w:t>
      </w:r>
      <w:r w:rsidR="00D072DD">
        <w:rPr>
          <w:sz w:val="24"/>
          <w:szCs w:val="24"/>
        </w:rPr>
        <w:t>201</w:t>
      </w:r>
      <w:r w:rsidR="004B45B4">
        <w:rPr>
          <w:sz w:val="24"/>
          <w:szCs w:val="24"/>
        </w:rPr>
        <w:t>8</w:t>
      </w:r>
      <w:r w:rsidR="00D072DD">
        <w:rPr>
          <w:sz w:val="24"/>
          <w:szCs w:val="24"/>
        </w:rPr>
        <w:t xml:space="preserve">. </w:t>
      </w:r>
      <w:r w:rsidR="00BA7ED1">
        <w:rPr>
          <w:sz w:val="24"/>
          <w:szCs w:val="24"/>
        </w:rPr>
        <w:t>“</w:t>
      </w:r>
      <w:r w:rsidR="00BA7ED1" w:rsidRPr="00BA7ED1">
        <w:rPr>
          <w:sz w:val="24"/>
          <w:szCs w:val="24"/>
        </w:rPr>
        <w:t>Initial Margin for Non-Centrally Cleared Derivatives</w:t>
      </w:r>
      <w:r w:rsidR="004B45B4">
        <w:rPr>
          <w:sz w:val="24"/>
          <w:szCs w:val="24"/>
        </w:rPr>
        <w:t xml:space="preserve">: </w:t>
      </w:r>
      <w:r w:rsidR="004B45B4" w:rsidRPr="004B45B4">
        <w:rPr>
          <w:sz w:val="24"/>
          <w:szCs w:val="24"/>
        </w:rPr>
        <w:t>Issues for 2019 and 2020</w:t>
      </w:r>
      <w:r w:rsidR="00A60C06">
        <w:rPr>
          <w:sz w:val="24"/>
          <w:szCs w:val="24"/>
        </w:rPr>
        <w:t>.</w:t>
      </w:r>
      <w:r w:rsidR="00BA3742">
        <w:rPr>
          <w:sz w:val="24"/>
          <w:szCs w:val="24"/>
        </w:rPr>
        <w:t>”</w:t>
      </w:r>
      <w:r w:rsidR="00A60C06">
        <w:rPr>
          <w:sz w:val="24"/>
          <w:szCs w:val="24"/>
        </w:rPr>
        <w:t xml:space="preserve"> White Paper.</w:t>
      </w:r>
      <w:r w:rsidR="00DE740E">
        <w:rPr>
          <w:sz w:val="24"/>
          <w:szCs w:val="24"/>
        </w:rPr>
        <w:t xml:space="preserve"> </w:t>
      </w:r>
      <w:r w:rsidR="00DA3759">
        <w:rPr>
          <w:sz w:val="24"/>
          <w:szCs w:val="24"/>
        </w:rPr>
        <w:t xml:space="preserve">ISDA-SIFMA, </w:t>
      </w:r>
      <w:r w:rsidR="00DE740E">
        <w:rPr>
          <w:sz w:val="24"/>
          <w:szCs w:val="24"/>
        </w:rPr>
        <w:t>July</w:t>
      </w:r>
      <w:r w:rsidR="00DA3759">
        <w:rPr>
          <w:sz w:val="24"/>
          <w:szCs w:val="24"/>
        </w:rPr>
        <w:t>.</w:t>
      </w:r>
    </w:p>
    <w:p w14:paraId="6D552C20" w14:textId="6A0F8B79" w:rsidR="002973C6" w:rsidRPr="000B24D7" w:rsidRDefault="002973C6" w:rsidP="00BA7ED1">
      <w:pPr>
        <w:spacing w:line="480" w:lineRule="auto"/>
        <w:rPr>
          <w:rFonts w:hint="eastAsia"/>
          <w:sz w:val="24"/>
          <w:szCs w:val="24"/>
        </w:rPr>
      </w:pPr>
      <w:r>
        <w:rPr>
          <w:sz w:val="24"/>
          <w:szCs w:val="24"/>
        </w:rPr>
        <w:t xml:space="preserve">[3] </w:t>
      </w:r>
      <w:r w:rsidR="00687F46" w:rsidRPr="00D20AC0">
        <w:rPr>
          <w:sz w:val="24"/>
          <w:szCs w:val="24"/>
        </w:rPr>
        <w:t>ISDA</w:t>
      </w:r>
      <w:r w:rsidR="00687F46">
        <w:rPr>
          <w:sz w:val="24"/>
          <w:szCs w:val="24"/>
        </w:rPr>
        <w:t>. 201</w:t>
      </w:r>
      <w:r w:rsidR="004F3340">
        <w:rPr>
          <w:sz w:val="24"/>
          <w:szCs w:val="24"/>
        </w:rPr>
        <w:t>8</w:t>
      </w:r>
      <w:r w:rsidR="00687F46">
        <w:rPr>
          <w:sz w:val="24"/>
          <w:szCs w:val="24"/>
        </w:rPr>
        <w:t>.</w:t>
      </w:r>
      <w:r w:rsidR="00687F46" w:rsidRPr="00D20AC0">
        <w:rPr>
          <w:sz w:val="24"/>
          <w:szCs w:val="24"/>
        </w:rPr>
        <w:t xml:space="preserve"> </w:t>
      </w:r>
      <w:r w:rsidR="00687F46">
        <w:rPr>
          <w:sz w:val="24"/>
          <w:szCs w:val="24"/>
        </w:rPr>
        <w:t>“</w:t>
      </w:r>
      <w:r w:rsidR="00687F46" w:rsidRPr="00687F46">
        <w:rPr>
          <w:sz w:val="24"/>
          <w:szCs w:val="24"/>
        </w:rPr>
        <w:t>Getting Ready for Initial Margin (IM) Regulatory Requirements</w:t>
      </w:r>
      <w:r w:rsidR="00687F46">
        <w:rPr>
          <w:sz w:val="24"/>
          <w:szCs w:val="24"/>
        </w:rPr>
        <w:t>.”</w:t>
      </w:r>
      <w:r w:rsidR="00687F46" w:rsidRPr="00BA7ED1">
        <w:rPr>
          <w:sz w:val="24"/>
          <w:szCs w:val="24"/>
        </w:rPr>
        <w:t xml:space="preserve"> </w:t>
      </w:r>
      <w:r w:rsidR="00687F46">
        <w:rPr>
          <w:sz w:val="24"/>
          <w:szCs w:val="24"/>
        </w:rPr>
        <w:t>White Paper. ISDA, July.</w:t>
      </w:r>
    </w:p>
    <w:sectPr w:rsidR="002973C6" w:rsidRPr="000B24D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032A1" w14:textId="77777777" w:rsidR="00145D29" w:rsidRDefault="00145D29" w:rsidP="00145D29">
      <w:pPr>
        <w:spacing w:after="0" w:line="240" w:lineRule="auto"/>
      </w:pPr>
      <w:r>
        <w:separator/>
      </w:r>
    </w:p>
  </w:endnote>
  <w:endnote w:type="continuationSeparator" w:id="0">
    <w:p w14:paraId="0E780523" w14:textId="77777777" w:rsidR="00145D29" w:rsidRDefault="00145D29" w:rsidP="00145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5B9AD" w14:textId="77777777" w:rsidR="00CF281E" w:rsidRDefault="00CF281E">
    <w:pPr>
      <w:pStyle w:val="Footer"/>
      <w:jc w:val="right"/>
    </w:pPr>
  </w:p>
  <w:sdt>
    <w:sdtPr>
      <w:id w:val="976885037"/>
      <w:docPartObj>
        <w:docPartGallery w:val="Page Numbers (Bottom of Page)"/>
        <w:docPartUnique/>
      </w:docPartObj>
    </w:sdtPr>
    <w:sdtEndPr>
      <w:rPr>
        <w:b/>
        <w:noProof/>
      </w:rPr>
    </w:sdtEndPr>
    <w:sdtContent>
      <w:p w14:paraId="760F55CC" w14:textId="53AABEE2" w:rsidR="00CF281E" w:rsidRPr="00DA2CE5" w:rsidRDefault="00CF281E" w:rsidP="00DA2CE5">
        <w:pPr>
          <w:pStyle w:val="Footer"/>
          <w:ind w:right="220"/>
          <w:jc w:val="right"/>
          <w:rPr>
            <w:b/>
          </w:rPr>
        </w:pPr>
        <w:r w:rsidRPr="00DA2CE5">
          <w:rPr>
            <w:b/>
          </w:rPr>
          <w:fldChar w:fldCharType="begin"/>
        </w:r>
        <w:r w:rsidRPr="00DA2CE5">
          <w:rPr>
            <w:b/>
          </w:rPr>
          <w:instrText xml:space="preserve"> PAGE   \* MERGEFORMAT </w:instrText>
        </w:r>
        <w:r w:rsidRPr="00DA2CE5">
          <w:rPr>
            <w:b/>
          </w:rPr>
          <w:fldChar w:fldCharType="separate"/>
        </w:r>
        <w:r w:rsidRPr="00DA2CE5">
          <w:rPr>
            <w:b/>
            <w:noProof/>
          </w:rPr>
          <w:t>2</w:t>
        </w:r>
        <w:r w:rsidRPr="00DA2CE5">
          <w:rPr>
            <w:b/>
            <w:noProof/>
          </w:rPr>
          <w:fldChar w:fldCharType="end"/>
        </w:r>
        <w:r w:rsidR="00DA2CE5">
          <w:rPr>
            <w:b/>
            <w:noProof/>
          </w:rPr>
          <w:t xml:space="preserve"> </w:t>
        </w:r>
      </w:p>
    </w:sdtContent>
  </w:sdt>
  <w:p w14:paraId="34A4CD38" w14:textId="77777777" w:rsidR="00145D29" w:rsidRDefault="00145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2E778" w14:textId="77777777" w:rsidR="00145D29" w:rsidRDefault="00145D29" w:rsidP="00145D29">
      <w:pPr>
        <w:spacing w:after="0" w:line="240" w:lineRule="auto"/>
      </w:pPr>
      <w:r>
        <w:separator/>
      </w:r>
    </w:p>
  </w:footnote>
  <w:footnote w:type="continuationSeparator" w:id="0">
    <w:p w14:paraId="783C3DCD" w14:textId="77777777" w:rsidR="00145D29" w:rsidRDefault="00145D29" w:rsidP="00145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A6D84"/>
    <w:multiLevelType w:val="hybridMultilevel"/>
    <w:tmpl w:val="ECBA57E8"/>
    <w:lvl w:ilvl="0" w:tplc="0CF45A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93E4B"/>
    <w:multiLevelType w:val="hybridMultilevel"/>
    <w:tmpl w:val="42C4B73A"/>
    <w:lvl w:ilvl="0" w:tplc="C57A5D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AD6FCA"/>
    <w:multiLevelType w:val="hybridMultilevel"/>
    <w:tmpl w:val="9B7E9988"/>
    <w:lvl w:ilvl="0" w:tplc="99723218">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D25605"/>
    <w:multiLevelType w:val="hybridMultilevel"/>
    <w:tmpl w:val="923690FA"/>
    <w:lvl w:ilvl="0" w:tplc="091486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A6A1C"/>
    <w:multiLevelType w:val="hybridMultilevel"/>
    <w:tmpl w:val="9FAE654C"/>
    <w:lvl w:ilvl="0" w:tplc="C34CE7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6F0"/>
    <w:rsid w:val="00010DFC"/>
    <w:rsid w:val="00034CBC"/>
    <w:rsid w:val="0004028C"/>
    <w:rsid w:val="000515D3"/>
    <w:rsid w:val="00061B71"/>
    <w:rsid w:val="0006420E"/>
    <w:rsid w:val="00095FFD"/>
    <w:rsid w:val="000A4008"/>
    <w:rsid w:val="000A69AC"/>
    <w:rsid w:val="000B0626"/>
    <w:rsid w:val="000B24D7"/>
    <w:rsid w:val="000D2F8D"/>
    <w:rsid w:val="000D30A5"/>
    <w:rsid w:val="000D7CD8"/>
    <w:rsid w:val="000E3079"/>
    <w:rsid w:val="000E4897"/>
    <w:rsid w:val="000E5B1B"/>
    <w:rsid w:val="00110B38"/>
    <w:rsid w:val="0012498A"/>
    <w:rsid w:val="001406C0"/>
    <w:rsid w:val="00145D29"/>
    <w:rsid w:val="00167B24"/>
    <w:rsid w:val="00187F49"/>
    <w:rsid w:val="001A675F"/>
    <w:rsid w:val="001B43EB"/>
    <w:rsid w:val="001E712F"/>
    <w:rsid w:val="002132C1"/>
    <w:rsid w:val="002240BA"/>
    <w:rsid w:val="002426FD"/>
    <w:rsid w:val="00254FF3"/>
    <w:rsid w:val="00261E2D"/>
    <w:rsid w:val="002621AD"/>
    <w:rsid w:val="00263F39"/>
    <w:rsid w:val="0028155D"/>
    <w:rsid w:val="00292680"/>
    <w:rsid w:val="002952CE"/>
    <w:rsid w:val="002973C6"/>
    <w:rsid w:val="002D5D79"/>
    <w:rsid w:val="002F2050"/>
    <w:rsid w:val="002F60B7"/>
    <w:rsid w:val="003226C8"/>
    <w:rsid w:val="0034178D"/>
    <w:rsid w:val="0034413B"/>
    <w:rsid w:val="0037661A"/>
    <w:rsid w:val="00381A75"/>
    <w:rsid w:val="00387D25"/>
    <w:rsid w:val="00397139"/>
    <w:rsid w:val="003D2BEE"/>
    <w:rsid w:val="003E2A1F"/>
    <w:rsid w:val="003F2613"/>
    <w:rsid w:val="003F7A94"/>
    <w:rsid w:val="00411B1F"/>
    <w:rsid w:val="004172DA"/>
    <w:rsid w:val="00426D94"/>
    <w:rsid w:val="00455441"/>
    <w:rsid w:val="00460319"/>
    <w:rsid w:val="00465950"/>
    <w:rsid w:val="0046595F"/>
    <w:rsid w:val="004738A7"/>
    <w:rsid w:val="00487E31"/>
    <w:rsid w:val="0049351B"/>
    <w:rsid w:val="004A2B3F"/>
    <w:rsid w:val="004B184A"/>
    <w:rsid w:val="004B45B4"/>
    <w:rsid w:val="004B7C63"/>
    <w:rsid w:val="004E79AC"/>
    <w:rsid w:val="004F30A1"/>
    <w:rsid w:val="004F3340"/>
    <w:rsid w:val="0050642F"/>
    <w:rsid w:val="00551E23"/>
    <w:rsid w:val="00556B04"/>
    <w:rsid w:val="005750DD"/>
    <w:rsid w:val="005C208C"/>
    <w:rsid w:val="005F1A0D"/>
    <w:rsid w:val="005F6EAA"/>
    <w:rsid w:val="005F7910"/>
    <w:rsid w:val="00602667"/>
    <w:rsid w:val="00620AB8"/>
    <w:rsid w:val="00627F80"/>
    <w:rsid w:val="0064693A"/>
    <w:rsid w:val="006575C8"/>
    <w:rsid w:val="006618E2"/>
    <w:rsid w:val="00687F46"/>
    <w:rsid w:val="00690412"/>
    <w:rsid w:val="006A238E"/>
    <w:rsid w:val="006B3A5B"/>
    <w:rsid w:val="006B6B15"/>
    <w:rsid w:val="006C0F1D"/>
    <w:rsid w:val="006D1FD0"/>
    <w:rsid w:val="006E0805"/>
    <w:rsid w:val="007030B0"/>
    <w:rsid w:val="00732A56"/>
    <w:rsid w:val="00750353"/>
    <w:rsid w:val="00752AB2"/>
    <w:rsid w:val="00754B4B"/>
    <w:rsid w:val="007612DF"/>
    <w:rsid w:val="00764516"/>
    <w:rsid w:val="007833CE"/>
    <w:rsid w:val="00786BAE"/>
    <w:rsid w:val="007A1B52"/>
    <w:rsid w:val="007B5F86"/>
    <w:rsid w:val="007C7EE7"/>
    <w:rsid w:val="007D7FCB"/>
    <w:rsid w:val="007F089A"/>
    <w:rsid w:val="007F6953"/>
    <w:rsid w:val="00805F10"/>
    <w:rsid w:val="008276F0"/>
    <w:rsid w:val="008567D1"/>
    <w:rsid w:val="00883B90"/>
    <w:rsid w:val="00885410"/>
    <w:rsid w:val="008B51C8"/>
    <w:rsid w:val="008B7472"/>
    <w:rsid w:val="008F418F"/>
    <w:rsid w:val="008F4F61"/>
    <w:rsid w:val="00926E4F"/>
    <w:rsid w:val="00934D88"/>
    <w:rsid w:val="00996EAE"/>
    <w:rsid w:val="009B0283"/>
    <w:rsid w:val="009B1319"/>
    <w:rsid w:val="009C75EF"/>
    <w:rsid w:val="009D65E8"/>
    <w:rsid w:val="009E5D2B"/>
    <w:rsid w:val="009F7CCD"/>
    <w:rsid w:val="00A060CA"/>
    <w:rsid w:val="00A06D16"/>
    <w:rsid w:val="00A46E7C"/>
    <w:rsid w:val="00A472FC"/>
    <w:rsid w:val="00A547D7"/>
    <w:rsid w:val="00A54BCD"/>
    <w:rsid w:val="00A55CF2"/>
    <w:rsid w:val="00A60C06"/>
    <w:rsid w:val="00A9010E"/>
    <w:rsid w:val="00AA0562"/>
    <w:rsid w:val="00AC6B5E"/>
    <w:rsid w:val="00AE1658"/>
    <w:rsid w:val="00AF0CA1"/>
    <w:rsid w:val="00AF391A"/>
    <w:rsid w:val="00B43262"/>
    <w:rsid w:val="00B54F97"/>
    <w:rsid w:val="00B568DF"/>
    <w:rsid w:val="00B928F3"/>
    <w:rsid w:val="00B9777E"/>
    <w:rsid w:val="00BA3742"/>
    <w:rsid w:val="00BA7970"/>
    <w:rsid w:val="00BA7ED1"/>
    <w:rsid w:val="00BC4395"/>
    <w:rsid w:val="00BC5ED0"/>
    <w:rsid w:val="00BD6EC4"/>
    <w:rsid w:val="00BE2D07"/>
    <w:rsid w:val="00BE7E6A"/>
    <w:rsid w:val="00BF2EFF"/>
    <w:rsid w:val="00BF5A1A"/>
    <w:rsid w:val="00C0688E"/>
    <w:rsid w:val="00C4754A"/>
    <w:rsid w:val="00C67591"/>
    <w:rsid w:val="00C8350B"/>
    <w:rsid w:val="00C918D5"/>
    <w:rsid w:val="00CB07CD"/>
    <w:rsid w:val="00CD2E99"/>
    <w:rsid w:val="00CE185C"/>
    <w:rsid w:val="00CF281E"/>
    <w:rsid w:val="00D072DD"/>
    <w:rsid w:val="00D20AC0"/>
    <w:rsid w:val="00D24F14"/>
    <w:rsid w:val="00D25D9C"/>
    <w:rsid w:val="00D556E1"/>
    <w:rsid w:val="00D5588C"/>
    <w:rsid w:val="00D8135D"/>
    <w:rsid w:val="00D8684E"/>
    <w:rsid w:val="00D90D57"/>
    <w:rsid w:val="00DA2CE5"/>
    <w:rsid w:val="00DA3759"/>
    <w:rsid w:val="00DC44F9"/>
    <w:rsid w:val="00DD3DB1"/>
    <w:rsid w:val="00DE740E"/>
    <w:rsid w:val="00DF0F57"/>
    <w:rsid w:val="00DF7636"/>
    <w:rsid w:val="00E04393"/>
    <w:rsid w:val="00E12F08"/>
    <w:rsid w:val="00E24D89"/>
    <w:rsid w:val="00E26A18"/>
    <w:rsid w:val="00E35448"/>
    <w:rsid w:val="00E52ADC"/>
    <w:rsid w:val="00E54FE3"/>
    <w:rsid w:val="00E57347"/>
    <w:rsid w:val="00E63413"/>
    <w:rsid w:val="00E70ECD"/>
    <w:rsid w:val="00E95235"/>
    <w:rsid w:val="00E95517"/>
    <w:rsid w:val="00EA5C03"/>
    <w:rsid w:val="00EB7B10"/>
    <w:rsid w:val="00EC002B"/>
    <w:rsid w:val="00EC0644"/>
    <w:rsid w:val="00F14243"/>
    <w:rsid w:val="00F215CD"/>
    <w:rsid w:val="00F375FC"/>
    <w:rsid w:val="00F4571B"/>
    <w:rsid w:val="00F65556"/>
    <w:rsid w:val="00F97CD5"/>
    <w:rsid w:val="00FA743A"/>
    <w:rsid w:val="00FB14E2"/>
    <w:rsid w:val="00FD142A"/>
    <w:rsid w:val="00FD7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BAD7"/>
  <w15:chartTrackingRefBased/>
  <w15:docId w15:val="{8E066E89-EBBD-455A-9BA5-1789015D9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CA1"/>
    <w:pPr>
      <w:ind w:left="720"/>
      <w:contextualSpacing/>
    </w:pPr>
  </w:style>
  <w:style w:type="paragraph" w:styleId="Header">
    <w:name w:val="header"/>
    <w:basedOn w:val="Normal"/>
    <w:link w:val="HeaderChar"/>
    <w:uiPriority w:val="99"/>
    <w:unhideWhenUsed/>
    <w:rsid w:val="00145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D29"/>
  </w:style>
  <w:style w:type="paragraph" w:styleId="Footer">
    <w:name w:val="footer"/>
    <w:basedOn w:val="Normal"/>
    <w:link w:val="FooterChar"/>
    <w:uiPriority w:val="99"/>
    <w:unhideWhenUsed/>
    <w:rsid w:val="00145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7774">
      <w:bodyDiv w:val="1"/>
      <w:marLeft w:val="0"/>
      <w:marRight w:val="0"/>
      <w:marTop w:val="0"/>
      <w:marBottom w:val="0"/>
      <w:divBdr>
        <w:top w:val="none" w:sz="0" w:space="0" w:color="auto"/>
        <w:left w:val="none" w:sz="0" w:space="0" w:color="auto"/>
        <w:bottom w:val="none" w:sz="0" w:space="0" w:color="auto"/>
        <w:right w:val="none" w:sz="0" w:space="0" w:color="auto"/>
      </w:divBdr>
      <w:divsChild>
        <w:div w:id="2011641421">
          <w:marLeft w:val="0"/>
          <w:marRight w:val="0"/>
          <w:marTop w:val="0"/>
          <w:marBottom w:val="0"/>
          <w:divBdr>
            <w:top w:val="none" w:sz="0" w:space="0" w:color="auto"/>
            <w:left w:val="none" w:sz="0" w:space="0" w:color="auto"/>
            <w:bottom w:val="none" w:sz="0" w:space="0" w:color="auto"/>
            <w:right w:val="none" w:sz="0" w:space="0" w:color="auto"/>
          </w:divBdr>
        </w:div>
        <w:div w:id="2142112283">
          <w:marLeft w:val="0"/>
          <w:marRight w:val="0"/>
          <w:marTop w:val="360"/>
          <w:marBottom w:val="0"/>
          <w:divBdr>
            <w:top w:val="none" w:sz="0" w:space="0" w:color="auto"/>
            <w:left w:val="none" w:sz="0" w:space="0" w:color="auto"/>
            <w:bottom w:val="none" w:sz="0" w:space="0" w:color="auto"/>
            <w:right w:val="none" w:sz="0" w:space="0" w:color="auto"/>
          </w:divBdr>
          <w:divsChild>
            <w:div w:id="1064178402">
              <w:marLeft w:val="0"/>
              <w:marRight w:val="0"/>
              <w:marTop w:val="0"/>
              <w:marBottom w:val="0"/>
              <w:divBdr>
                <w:top w:val="none" w:sz="0" w:space="0" w:color="auto"/>
                <w:left w:val="none" w:sz="0" w:space="0" w:color="auto"/>
                <w:bottom w:val="none" w:sz="0" w:space="0" w:color="auto"/>
                <w:right w:val="none" w:sz="0" w:space="0" w:color="auto"/>
              </w:divBdr>
            </w:div>
          </w:divsChild>
        </w:div>
        <w:div w:id="1039091346">
          <w:marLeft w:val="0"/>
          <w:marRight w:val="0"/>
          <w:marTop w:val="360"/>
          <w:marBottom w:val="0"/>
          <w:divBdr>
            <w:top w:val="none" w:sz="0" w:space="0" w:color="auto"/>
            <w:left w:val="none" w:sz="0" w:space="0" w:color="auto"/>
            <w:bottom w:val="none" w:sz="0" w:space="0" w:color="auto"/>
            <w:right w:val="none" w:sz="0" w:space="0" w:color="auto"/>
          </w:divBdr>
        </w:div>
        <w:div w:id="716323450">
          <w:marLeft w:val="0"/>
          <w:marRight w:val="0"/>
          <w:marTop w:val="600"/>
          <w:marBottom w:val="0"/>
          <w:divBdr>
            <w:top w:val="none" w:sz="0" w:space="0" w:color="auto"/>
            <w:left w:val="none" w:sz="0" w:space="0" w:color="auto"/>
            <w:bottom w:val="none" w:sz="0" w:space="0" w:color="auto"/>
            <w:right w:val="none" w:sz="0" w:space="0" w:color="auto"/>
          </w:divBdr>
          <w:divsChild>
            <w:div w:id="1770809092">
              <w:marLeft w:val="0"/>
              <w:marRight w:val="0"/>
              <w:marTop w:val="0"/>
              <w:marBottom w:val="0"/>
              <w:divBdr>
                <w:top w:val="none" w:sz="0" w:space="0" w:color="auto"/>
                <w:left w:val="none" w:sz="0" w:space="0" w:color="auto"/>
                <w:bottom w:val="none" w:sz="0" w:space="0" w:color="auto"/>
                <w:right w:val="none" w:sz="0" w:space="0" w:color="auto"/>
              </w:divBdr>
            </w:div>
          </w:divsChild>
        </w:div>
        <w:div w:id="1932080749">
          <w:marLeft w:val="0"/>
          <w:marRight w:val="0"/>
          <w:marTop w:val="360"/>
          <w:marBottom w:val="0"/>
          <w:divBdr>
            <w:top w:val="none" w:sz="0" w:space="0" w:color="auto"/>
            <w:left w:val="none" w:sz="0" w:space="0" w:color="auto"/>
            <w:bottom w:val="none" w:sz="0" w:space="0" w:color="auto"/>
            <w:right w:val="none" w:sz="0" w:space="0" w:color="auto"/>
          </w:divBdr>
        </w:div>
      </w:divsChild>
    </w:div>
    <w:div w:id="34937574">
      <w:bodyDiv w:val="1"/>
      <w:marLeft w:val="0"/>
      <w:marRight w:val="0"/>
      <w:marTop w:val="0"/>
      <w:marBottom w:val="0"/>
      <w:divBdr>
        <w:top w:val="none" w:sz="0" w:space="0" w:color="auto"/>
        <w:left w:val="none" w:sz="0" w:space="0" w:color="auto"/>
        <w:bottom w:val="none" w:sz="0" w:space="0" w:color="auto"/>
        <w:right w:val="none" w:sz="0" w:space="0" w:color="auto"/>
      </w:divBdr>
    </w:div>
    <w:div w:id="672881473">
      <w:bodyDiv w:val="1"/>
      <w:marLeft w:val="0"/>
      <w:marRight w:val="0"/>
      <w:marTop w:val="0"/>
      <w:marBottom w:val="0"/>
      <w:divBdr>
        <w:top w:val="none" w:sz="0" w:space="0" w:color="auto"/>
        <w:left w:val="none" w:sz="0" w:space="0" w:color="auto"/>
        <w:bottom w:val="none" w:sz="0" w:space="0" w:color="auto"/>
        <w:right w:val="none" w:sz="0" w:space="0" w:color="auto"/>
      </w:divBdr>
      <w:divsChild>
        <w:div w:id="937446334">
          <w:marLeft w:val="0"/>
          <w:marRight w:val="0"/>
          <w:marTop w:val="600"/>
          <w:marBottom w:val="0"/>
          <w:divBdr>
            <w:top w:val="none" w:sz="0" w:space="0" w:color="auto"/>
            <w:left w:val="none" w:sz="0" w:space="0" w:color="auto"/>
            <w:bottom w:val="none" w:sz="0" w:space="0" w:color="auto"/>
            <w:right w:val="none" w:sz="0" w:space="0" w:color="auto"/>
          </w:divBdr>
          <w:divsChild>
            <w:div w:id="17126611">
              <w:marLeft w:val="0"/>
              <w:marRight w:val="0"/>
              <w:marTop w:val="0"/>
              <w:marBottom w:val="0"/>
              <w:divBdr>
                <w:top w:val="none" w:sz="0" w:space="0" w:color="auto"/>
                <w:left w:val="none" w:sz="0" w:space="0" w:color="auto"/>
                <w:bottom w:val="none" w:sz="0" w:space="0" w:color="auto"/>
                <w:right w:val="none" w:sz="0" w:space="0" w:color="auto"/>
              </w:divBdr>
            </w:div>
          </w:divsChild>
        </w:div>
        <w:div w:id="1528059484">
          <w:marLeft w:val="0"/>
          <w:marRight w:val="0"/>
          <w:marTop w:val="360"/>
          <w:marBottom w:val="0"/>
          <w:divBdr>
            <w:top w:val="none" w:sz="0" w:space="0" w:color="auto"/>
            <w:left w:val="none" w:sz="0" w:space="0" w:color="auto"/>
            <w:bottom w:val="none" w:sz="0" w:space="0" w:color="auto"/>
            <w:right w:val="none" w:sz="0" w:space="0" w:color="auto"/>
          </w:divBdr>
        </w:div>
      </w:divsChild>
    </w:div>
    <w:div w:id="1108963433">
      <w:bodyDiv w:val="1"/>
      <w:marLeft w:val="0"/>
      <w:marRight w:val="0"/>
      <w:marTop w:val="0"/>
      <w:marBottom w:val="0"/>
      <w:divBdr>
        <w:top w:val="none" w:sz="0" w:space="0" w:color="auto"/>
        <w:left w:val="none" w:sz="0" w:space="0" w:color="auto"/>
        <w:bottom w:val="none" w:sz="0" w:space="0" w:color="auto"/>
        <w:right w:val="none" w:sz="0" w:space="0" w:color="auto"/>
      </w:divBdr>
    </w:div>
    <w:div w:id="1141851880">
      <w:bodyDiv w:val="1"/>
      <w:marLeft w:val="0"/>
      <w:marRight w:val="0"/>
      <w:marTop w:val="0"/>
      <w:marBottom w:val="0"/>
      <w:divBdr>
        <w:top w:val="none" w:sz="0" w:space="0" w:color="auto"/>
        <w:left w:val="none" w:sz="0" w:space="0" w:color="auto"/>
        <w:bottom w:val="none" w:sz="0" w:space="0" w:color="auto"/>
        <w:right w:val="none" w:sz="0" w:space="0" w:color="auto"/>
      </w:divBdr>
    </w:div>
    <w:div w:id="1518541991">
      <w:bodyDiv w:val="1"/>
      <w:marLeft w:val="0"/>
      <w:marRight w:val="0"/>
      <w:marTop w:val="0"/>
      <w:marBottom w:val="0"/>
      <w:divBdr>
        <w:top w:val="none" w:sz="0" w:space="0" w:color="auto"/>
        <w:left w:val="none" w:sz="0" w:space="0" w:color="auto"/>
        <w:bottom w:val="none" w:sz="0" w:space="0" w:color="auto"/>
        <w:right w:val="none" w:sz="0" w:space="0" w:color="auto"/>
      </w:divBdr>
    </w:div>
    <w:div w:id="1733388738">
      <w:bodyDiv w:val="1"/>
      <w:marLeft w:val="0"/>
      <w:marRight w:val="0"/>
      <w:marTop w:val="0"/>
      <w:marBottom w:val="0"/>
      <w:divBdr>
        <w:top w:val="none" w:sz="0" w:space="0" w:color="auto"/>
        <w:left w:val="none" w:sz="0" w:space="0" w:color="auto"/>
        <w:bottom w:val="none" w:sz="0" w:space="0" w:color="auto"/>
        <w:right w:val="none" w:sz="0" w:space="0" w:color="auto"/>
      </w:divBdr>
    </w:div>
    <w:div w:id="2023777436">
      <w:bodyDiv w:val="1"/>
      <w:marLeft w:val="0"/>
      <w:marRight w:val="0"/>
      <w:marTop w:val="0"/>
      <w:marBottom w:val="0"/>
      <w:divBdr>
        <w:top w:val="none" w:sz="0" w:space="0" w:color="auto"/>
        <w:left w:val="none" w:sz="0" w:space="0" w:color="auto"/>
        <w:bottom w:val="none" w:sz="0" w:space="0" w:color="auto"/>
        <w:right w:val="none" w:sz="0" w:space="0" w:color="auto"/>
      </w:divBdr>
      <w:divsChild>
        <w:div w:id="2021201854">
          <w:marLeft w:val="0"/>
          <w:marRight w:val="0"/>
          <w:marTop w:val="0"/>
          <w:marBottom w:val="0"/>
          <w:divBdr>
            <w:top w:val="none" w:sz="0" w:space="0" w:color="auto"/>
            <w:left w:val="none" w:sz="0" w:space="0" w:color="auto"/>
            <w:bottom w:val="none" w:sz="0" w:space="0" w:color="auto"/>
            <w:right w:val="none" w:sz="0" w:space="0" w:color="auto"/>
          </w:divBdr>
          <w:divsChild>
            <w:div w:id="1487814880">
              <w:marLeft w:val="0"/>
              <w:marRight w:val="0"/>
              <w:marTop w:val="0"/>
              <w:marBottom w:val="0"/>
              <w:divBdr>
                <w:top w:val="none" w:sz="0" w:space="0" w:color="auto"/>
                <w:left w:val="none" w:sz="0" w:space="0" w:color="auto"/>
                <w:bottom w:val="none" w:sz="0" w:space="0" w:color="auto"/>
                <w:right w:val="none" w:sz="0" w:space="0" w:color="auto"/>
              </w:divBdr>
              <w:divsChild>
                <w:div w:id="18345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6901">
          <w:marLeft w:val="0"/>
          <w:marRight w:val="0"/>
          <w:marTop w:val="240"/>
          <w:marBottom w:val="0"/>
          <w:divBdr>
            <w:top w:val="none" w:sz="0" w:space="0" w:color="auto"/>
            <w:left w:val="none" w:sz="0" w:space="0" w:color="auto"/>
            <w:bottom w:val="none" w:sz="0" w:space="0" w:color="auto"/>
            <w:right w:val="none" w:sz="0" w:space="0" w:color="auto"/>
          </w:divBdr>
          <w:divsChild>
            <w:div w:id="2100251013">
              <w:marLeft w:val="0"/>
              <w:marRight w:val="0"/>
              <w:marTop w:val="0"/>
              <w:marBottom w:val="0"/>
              <w:divBdr>
                <w:top w:val="none" w:sz="0" w:space="0" w:color="auto"/>
                <w:left w:val="none" w:sz="0" w:space="0" w:color="auto"/>
                <w:bottom w:val="none" w:sz="0" w:space="0" w:color="auto"/>
                <w:right w:val="none" w:sz="0" w:space="0" w:color="auto"/>
              </w:divBdr>
              <w:divsChild>
                <w:div w:id="1311784407">
                  <w:marLeft w:val="0"/>
                  <w:marRight w:val="0"/>
                  <w:marTop w:val="0"/>
                  <w:marBottom w:val="0"/>
                  <w:divBdr>
                    <w:top w:val="none" w:sz="0" w:space="0" w:color="auto"/>
                    <w:left w:val="none" w:sz="0" w:space="0" w:color="auto"/>
                    <w:bottom w:val="none" w:sz="0" w:space="0" w:color="auto"/>
                    <w:right w:val="none" w:sz="0" w:space="0" w:color="auto"/>
                  </w:divBdr>
                  <w:divsChild>
                    <w:div w:id="1038894390">
                      <w:marLeft w:val="0"/>
                      <w:marRight w:val="0"/>
                      <w:marTop w:val="0"/>
                      <w:marBottom w:val="0"/>
                      <w:divBdr>
                        <w:top w:val="none" w:sz="0" w:space="0" w:color="auto"/>
                        <w:left w:val="none" w:sz="0" w:space="0" w:color="auto"/>
                        <w:bottom w:val="none" w:sz="0" w:space="0" w:color="auto"/>
                        <w:right w:val="none" w:sz="0" w:space="0" w:color="auto"/>
                      </w:divBdr>
                      <w:divsChild>
                        <w:div w:id="767123694">
                          <w:marLeft w:val="0"/>
                          <w:marRight w:val="0"/>
                          <w:marTop w:val="0"/>
                          <w:marBottom w:val="0"/>
                          <w:divBdr>
                            <w:top w:val="none" w:sz="0" w:space="0" w:color="auto"/>
                            <w:left w:val="none" w:sz="0" w:space="0" w:color="auto"/>
                            <w:bottom w:val="none" w:sz="0" w:space="0" w:color="auto"/>
                            <w:right w:val="none" w:sz="0" w:space="0" w:color="auto"/>
                          </w:divBdr>
                          <w:divsChild>
                            <w:div w:id="16323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66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3346</TotalTime>
  <Pages>12</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yuezhou you</dc:creator>
  <cp:keywords/>
  <dc:description/>
  <cp:lastModifiedBy>yuezhou you</cp:lastModifiedBy>
  <cp:revision>203</cp:revision>
  <dcterms:created xsi:type="dcterms:W3CDTF">2019-10-22T14:53:00Z</dcterms:created>
  <dcterms:modified xsi:type="dcterms:W3CDTF">2019-10-25T05:23:00Z</dcterms:modified>
</cp:coreProperties>
</file>