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122C" w14:textId="60656D88" w:rsidR="00E71747" w:rsidRPr="00A2397C" w:rsidRDefault="00E71747" w:rsidP="00A2397C">
      <w:pPr>
        <w:spacing w:after="120" w:line="400" w:lineRule="exact"/>
        <w:rPr>
          <w:rFonts w:ascii="微軟正黑體" w:eastAsia="微軟正黑體" w:hAnsi="微軟正黑體" w:hint="eastAsia"/>
          <w:sz w:val="22"/>
        </w:rPr>
      </w:pPr>
      <w:r w:rsidRPr="00A2397C">
        <w:rPr>
          <w:rFonts w:ascii="微軟正黑體" w:eastAsia="微軟正黑體" w:hAnsi="微軟正黑體" w:hint="eastAsia"/>
          <w:sz w:val="22"/>
        </w:rPr>
        <w:t>洗髮精購買考慮因素</w:t>
      </w:r>
      <w:r w:rsidR="00C3281E" w:rsidRPr="00A2397C">
        <w:rPr>
          <w:rFonts w:ascii="微軟正黑體" w:eastAsia="微軟正黑體" w:hAnsi="微軟正黑體" w:hint="eastAsia"/>
          <w:sz w:val="22"/>
        </w:rPr>
        <w:t>評價量表</w:t>
      </w:r>
      <w:proofErr w:type="gramStart"/>
      <w:r w:rsidRPr="00A2397C">
        <w:rPr>
          <w:rFonts w:ascii="微軟正黑體" w:eastAsia="微軟正黑體" w:hAnsi="微軟正黑體" w:hint="eastAsia"/>
          <w:sz w:val="22"/>
        </w:rPr>
        <w:t>｜</w:t>
      </w:r>
      <w:proofErr w:type="gramEnd"/>
    </w:p>
    <w:tbl>
      <w:tblPr>
        <w:tblW w:w="5001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8"/>
        <w:gridCol w:w="1136"/>
        <w:gridCol w:w="849"/>
        <w:gridCol w:w="1119"/>
        <w:gridCol w:w="818"/>
        <w:gridCol w:w="818"/>
        <w:gridCol w:w="816"/>
        <w:gridCol w:w="960"/>
        <w:gridCol w:w="676"/>
        <w:gridCol w:w="816"/>
        <w:gridCol w:w="820"/>
        <w:gridCol w:w="502"/>
      </w:tblGrid>
      <w:tr w:rsidR="00E71747" w:rsidRPr="00E71747" w14:paraId="6CFC934C" w14:textId="77777777" w:rsidTr="00E71747">
        <w:trPr>
          <w:trHeight w:val="439"/>
        </w:trPr>
        <w:tc>
          <w:tcPr>
            <w:tcW w:w="540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</w:tcBorders>
            <w:shd w:val="clear" w:color="000000" w:fill="595959"/>
            <w:vAlign w:val="center"/>
            <w:hideMark/>
          </w:tcPr>
          <w:p w14:paraId="7719FB9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使用品牌</w:t>
            </w:r>
          </w:p>
        </w:tc>
        <w:tc>
          <w:tcPr>
            <w:tcW w:w="543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595959"/>
            <w:vAlign w:val="center"/>
            <w:hideMark/>
          </w:tcPr>
          <w:p w14:paraId="3AD67F3E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海</w:t>
            </w:r>
            <w:proofErr w:type="gramStart"/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倫仙度絲</w:t>
            </w:r>
            <w:proofErr w:type="gramEnd"/>
          </w:p>
        </w:tc>
        <w:tc>
          <w:tcPr>
            <w:tcW w:w="406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595959"/>
            <w:vAlign w:val="center"/>
            <w:hideMark/>
          </w:tcPr>
          <w:p w14:paraId="51DC32D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飛柔</w:t>
            </w:r>
          </w:p>
        </w:tc>
        <w:tc>
          <w:tcPr>
            <w:tcW w:w="535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595959"/>
            <w:vAlign w:val="center"/>
            <w:hideMark/>
          </w:tcPr>
          <w:p w14:paraId="0796EFE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mod's hair</w:t>
            </w:r>
          </w:p>
        </w:tc>
        <w:tc>
          <w:tcPr>
            <w:tcW w:w="391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595959"/>
            <w:vAlign w:val="center"/>
            <w:hideMark/>
          </w:tcPr>
          <w:p w14:paraId="447DE7D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麗</w:t>
            </w:r>
            <w:proofErr w:type="gramStart"/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仕</w:t>
            </w:r>
            <w:proofErr w:type="gramEnd"/>
          </w:p>
        </w:tc>
        <w:tc>
          <w:tcPr>
            <w:tcW w:w="391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595959"/>
            <w:vAlign w:val="center"/>
            <w:hideMark/>
          </w:tcPr>
          <w:p w14:paraId="2D3470D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多芬</w:t>
            </w:r>
          </w:p>
        </w:tc>
        <w:tc>
          <w:tcPr>
            <w:tcW w:w="390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595959"/>
            <w:vAlign w:val="center"/>
            <w:hideMark/>
          </w:tcPr>
          <w:p w14:paraId="4FDA798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其他</w:t>
            </w:r>
          </w:p>
        </w:tc>
        <w:tc>
          <w:tcPr>
            <w:tcW w:w="459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595959"/>
            <w:vAlign w:val="center"/>
            <w:hideMark/>
          </w:tcPr>
          <w:p w14:paraId="0B74B5BE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總和</w:t>
            </w:r>
          </w:p>
        </w:tc>
        <w:tc>
          <w:tcPr>
            <w:tcW w:w="323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595959"/>
            <w:vAlign w:val="center"/>
            <w:hideMark/>
          </w:tcPr>
          <w:p w14:paraId="176CE60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排名</w:t>
            </w:r>
          </w:p>
        </w:tc>
        <w:tc>
          <w:tcPr>
            <w:tcW w:w="390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595959"/>
            <w:vAlign w:val="center"/>
            <w:hideMark/>
          </w:tcPr>
          <w:p w14:paraId="47C0A61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F</w:t>
            </w:r>
          </w:p>
        </w:tc>
        <w:tc>
          <w:tcPr>
            <w:tcW w:w="392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000000" w:fill="595959"/>
            <w:vAlign w:val="center"/>
            <w:hideMark/>
          </w:tcPr>
          <w:p w14:paraId="44B1294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顯著性</w:t>
            </w:r>
          </w:p>
        </w:tc>
        <w:tc>
          <w:tcPr>
            <w:tcW w:w="240" w:type="pct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595959"/>
            <w:vAlign w:val="center"/>
            <w:hideMark/>
          </w:tcPr>
          <w:p w14:paraId="5B8A8AD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&lt;α</w:t>
            </w:r>
          </w:p>
        </w:tc>
      </w:tr>
      <w:tr w:rsidR="00E71747" w:rsidRPr="00E71747" w14:paraId="3CF51C07" w14:textId="77777777" w:rsidTr="00E71747">
        <w:trPr>
          <w:trHeight w:val="439"/>
        </w:trPr>
        <w:tc>
          <w:tcPr>
            <w:tcW w:w="540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BB1D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柔順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2A7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5C5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3.64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31E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4.68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F0D0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1E7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4.35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168F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4.22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916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4.26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406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AD8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3.49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9BC0E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.006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72803EC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</w:tr>
      <w:tr w:rsidR="00E71747" w:rsidRPr="00E71747" w14:paraId="4AE9DFDD" w14:textId="77777777" w:rsidTr="00E71747">
        <w:trPr>
          <w:trHeight w:val="439"/>
        </w:trPr>
        <w:tc>
          <w:tcPr>
            <w:tcW w:w="540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11A2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整體效果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5FDD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75A7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3.43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BC9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3D1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201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4.15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863C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4.11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7975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4.06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5AF3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0675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2.96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9469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.015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3F556AA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</w:tr>
      <w:tr w:rsidR="00E71747" w:rsidRPr="00E71747" w14:paraId="232AB800" w14:textId="77777777" w:rsidTr="00E71747">
        <w:trPr>
          <w:trHeight w:val="439"/>
        </w:trPr>
        <w:tc>
          <w:tcPr>
            <w:tcW w:w="540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DEE8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保濕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4E20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DB5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3.64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812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4.64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ADDD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3.40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095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746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3.92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B2BF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4.00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1E58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EC36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3.75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41EE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.003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7A3A21A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</w:tr>
      <w:tr w:rsidR="00E71747" w:rsidRPr="00E71747" w14:paraId="27E3194F" w14:textId="77777777" w:rsidTr="00E71747">
        <w:trPr>
          <w:trHeight w:val="439"/>
        </w:trPr>
        <w:tc>
          <w:tcPr>
            <w:tcW w:w="540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E19CD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止癢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B7AF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A184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3.46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F40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4.27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70E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3.40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4F3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3.90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EB2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5BA5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3.94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9810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7CE0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2.03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785E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.080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1B690B4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4D64F2DD" w14:textId="77777777" w:rsidTr="00E71747">
        <w:trPr>
          <w:trHeight w:val="439"/>
        </w:trPr>
        <w:tc>
          <w:tcPr>
            <w:tcW w:w="540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EB61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防止分岔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EB7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52C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3.57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05D8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CC5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3.10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C570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3.95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3D2E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3.89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ED19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3.88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85D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E2F2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2.46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AF2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.037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8D70EF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</w:tr>
      <w:tr w:rsidR="00E71747" w:rsidRPr="00E71747" w14:paraId="5DCF313E" w14:textId="77777777" w:rsidTr="00E71747">
        <w:trPr>
          <w:trHeight w:val="439"/>
        </w:trPr>
        <w:tc>
          <w:tcPr>
            <w:tcW w:w="540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5F4C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去頭皮屑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C771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B6C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3.64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A8B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E45C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3.40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C03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6DB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3.81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1C1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3.87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5559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0E3A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1.74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9C8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.132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78D350C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368D3554" w14:textId="77777777" w:rsidTr="00E71747">
        <w:trPr>
          <w:trHeight w:val="439"/>
        </w:trPr>
        <w:tc>
          <w:tcPr>
            <w:tcW w:w="540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10C0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香味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A06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3.77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1F91E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3.36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EE26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3.95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0F9A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3.50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C91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3.65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0605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3.94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62B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3.77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C50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B2A8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1.02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BA70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.407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6D4A36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4E833654" w14:textId="77777777" w:rsidTr="00E71747">
        <w:trPr>
          <w:trHeight w:val="439"/>
        </w:trPr>
        <w:tc>
          <w:tcPr>
            <w:tcW w:w="540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3B6F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護髮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F580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1021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3.29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499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3.77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CFA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3.10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943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3.25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495B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3.33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781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3.40</w:t>
            </w: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C699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ABDA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0.87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E78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.505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49D3698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650733EB" w14:textId="77777777" w:rsidTr="00E71747">
        <w:trPr>
          <w:trHeight w:val="439"/>
        </w:trPr>
        <w:tc>
          <w:tcPr>
            <w:tcW w:w="540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AC824C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樣本數</w:t>
            </w:r>
          </w:p>
        </w:tc>
        <w:tc>
          <w:tcPr>
            <w:tcW w:w="543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B37041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406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58A3AEA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535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A6F480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391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A2A2F5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91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F66384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390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F89CD5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459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49667E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323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091BF93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90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134314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92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A52840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" w:type="pct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A9EB15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193C0C1" w14:textId="2DD7B601" w:rsidR="00E71747" w:rsidRPr="00A2397C" w:rsidRDefault="00E71747">
      <w:pPr>
        <w:rPr>
          <w:rFonts w:hint="eastAsia"/>
          <w:sz w:val="22"/>
        </w:rPr>
      </w:pPr>
    </w:p>
    <w:p w14:paraId="476E14FC" w14:textId="10D177C3" w:rsidR="00E71747" w:rsidRPr="00A2397C" w:rsidRDefault="00C3281E" w:rsidP="00A2397C">
      <w:pPr>
        <w:widowControl/>
        <w:spacing w:line="400" w:lineRule="exact"/>
        <w:rPr>
          <w:rFonts w:ascii="微軟正黑體" w:eastAsia="微軟正黑體" w:hAnsi="微軟正黑體" w:hint="eastAsia"/>
          <w:sz w:val="22"/>
        </w:rPr>
      </w:pPr>
      <w:r w:rsidRPr="00A2397C">
        <w:rPr>
          <w:rFonts w:ascii="微軟正黑體" w:eastAsia="微軟正黑體" w:hAnsi="微軟正黑體" w:hint="eastAsia"/>
          <w:sz w:val="22"/>
        </w:rPr>
        <w:t>根據調查結果，洗髮精購買考慮因素的重要性前三為柔順、整體效果、保濕。而已品牌分組後，柔順、整體效果、保濕、防止分岔在不同</w:t>
      </w:r>
      <w:proofErr w:type="gramStart"/>
      <w:r w:rsidRPr="00A2397C">
        <w:rPr>
          <w:rFonts w:ascii="微軟正黑體" w:eastAsia="微軟正黑體" w:hAnsi="微軟正黑體" w:hint="eastAsia"/>
          <w:sz w:val="22"/>
        </w:rPr>
        <w:t>品牌間的重要</w:t>
      </w:r>
      <w:proofErr w:type="gramEnd"/>
      <w:r w:rsidRPr="00A2397C">
        <w:rPr>
          <w:rFonts w:ascii="微軟正黑體" w:eastAsia="微軟正黑體" w:hAnsi="微軟正黑體" w:hint="eastAsia"/>
          <w:sz w:val="22"/>
        </w:rPr>
        <w:t>程度有顯著差異（α＜0.5），其中海</w:t>
      </w:r>
      <w:proofErr w:type="gramStart"/>
      <w:r w:rsidRPr="00A2397C">
        <w:rPr>
          <w:rFonts w:ascii="微軟正黑體" w:eastAsia="微軟正黑體" w:hAnsi="微軟正黑體" w:hint="eastAsia"/>
          <w:sz w:val="22"/>
        </w:rPr>
        <w:t>倫仙度絲</w:t>
      </w:r>
      <w:proofErr w:type="gramEnd"/>
      <w:r w:rsidRPr="00A2397C">
        <w:rPr>
          <w:rFonts w:ascii="微軟正黑體" w:eastAsia="微軟正黑體" w:hAnsi="微軟正黑體" w:hint="eastAsia"/>
          <w:sz w:val="22"/>
        </w:rPr>
        <w:t>、m</w:t>
      </w:r>
      <w:r w:rsidRPr="00A2397C">
        <w:rPr>
          <w:rFonts w:ascii="微軟正黑體" w:eastAsia="微軟正黑體" w:hAnsi="微軟正黑體"/>
          <w:sz w:val="22"/>
        </w:rPr>
        <w:t>od</w:t>
      </w:r>
      <w:proofErr w:type="gramStart"/>
      <w:r w:rsidRPr="00A2397C">
        <w:rPr>
          <w:rFonts w:ascii="微軟正黑體" w:eastAsia="微軟正黑體" w:hAnsi="微軟正黑體"/>
          <w:sz w:val="22"/>
        </w:rPr>
        <w:t>’</w:t>
      </w:r>
      <w:proofErr w:type="gramEnd"/>
      <w:r w:rsidRPr="00A2397C">
        <w:rPr>
          <w:rFonts w:ascii="微軟正黑體" w:eastAsia="微軟正黑體" w:hAnsi="微軟正黑體"/>
          <w:sz w:val="22"/>
        </w:rPr>
        <w:t>s hair</w:t>
      </w:r>
      <w:r w:rsidRPr="00A2397C">
        <w:rPr>
          <w:rFonts w:ascii="微軟正黑體" w:eastAsia="微軟正黑體" w:hAnsi="微軟正黑體" w:hint="eastAsia"/>
          <w:sz w:val="22"/>
        </w:rPr>
        <w:t>、多芬的品牌使用者，對這四</w:t>
      </w:r>
      <w:proofErr w:type="gramStart"/>
      <w:r w:rsidRPr="00A2397C">
        <w:rPr>
          <w:rFonts w:ascii="微軟正黑體" w:eastAsia="微軟正黑體" w:hAnsi="微軟正黑體" w:hint="eastAsia"/>
          <w:sz w:val="22"/>
        </w:rPr>
        <w:t>個</w:t>
      </w:r>
      <w:proofErr w:type="gramEnd"/>
      <w:r w:rsidRPr="00A2397C">
        <w:rPr>
          <w:rFonts w:ascii="微軟正黑體" w:eastAsia="微軟正黑體" w:hAnsi="微軟正黑體" w:hint="eastAsia"/>
          <w:sz w:val="22"/>
        </w:rPr>
        <w:t>因素的注重程度普遍較高。</w:t>
      </w:r>
    </w:p>
    <w:p w14:paraId="6D09D33F" w14:textId="79B9E0D3" w:rsidR="00E71747" w:rsidRPr="00A2397C" w:rsidRDefault="00E71747" w:rsidP="00A2397C">
      <w:pPr>
        <w:spacing w:after="120" w:line="400" w:lineRule="exact"/>
        <w:rPr>
          <w:rFonts w:ascii="微軟正黑體" w:eastAsia="微軟正黑體" w:hAnsi="微軟正黑體" w:hint="eastAsia"/>
          <w:sz w:val="22"/>
        </w:rPr>
      </w:pPr>
      <w:r w:rsidRPr="00A2397C">
        <w:rPr>
          <w:sz w:val="22"/>
        </w:rPr>
        <w:br w:type="page"/>
      </w:r>
      <w:r w:rsidR="00C3281E" w:rsidRPr="00A2397C">
        <w:rPr>
          <w:rFonts w:ascii="微軟正黑體" w:eastAsia="微軟正黑體" w:hAnsi="微軟正黑體" w:hint="eastAsia"/>
          <w:sz w:val="22"/>
        </w:rPr>
        <w:lastRenderedPageBreak/>
        <w:t>拍賣網站</w:t>
      </w:r>
      <w:r w:rsidR="00C3281E" w:rsidRPr="00A2397C">
        <w:rPr>
          <w:rFonts w:ascii="微軟正黑體" w:eastAsia="微軟正黑體" w:hAnsi="微軟正黑體" w:hint="eastAsia"/>
          <w:sz w:val="22"/>
        </w:rPr>
        <w:t>考慮因素評價量表</w:t>
      </w:r>
      <w:proofErr w:type="gramStart"/>
      <w:r w:rsidR="00C3281E" w:rsidRPr="00A2397C">
        <w:rPr>
          <w:rFonts w:ascii="微軟正黑體" w:eastAsia="微軟正黑體" w:hAnsi="微軟正黑體" w:hint="eastAsia"/>
          <w:sz w:val="22"/>
        </w:rPr>
        <w:t>｜</w:t>
      </w:r>
      <w:proofErr w:type="gramEnd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7"/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897"/>
      </w:tblGrid>
      <w:tr w:rsidR="00E71747" w:rsidRPr="00E71747" w14:paraId="1FD01A3B" w14:textId="77777777" w:rsidTr="00E71747">
        <w:trPr>
          <w:trHeight w:val="439"/>
        </w:trPr>
        <w:tc>
          <w:tcPr>
            <w:tcW w:w="635" w:type="pct"/>
            <w:tcBorders>
              <w:top w:val="single" w:sz="4" w:space="0" w:color="595959"/>
              <w:left w:val="single" w:sz="4" w:space="0" w:color="595959"/>
              <w:bottom w:val="single" w:sz="4" w:space="0" w:color="auto"/>
              <w:right w:val="nil"/>
            </w:tcBorders>
            <w:shd w:val="clear" w:color="000000" w:fill="595959"/>
            <w:vAlign w:val="center"/>
            <w:hideMark/>
          </w:tcPr>
          <w:p w14:paraId="026185E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交易金額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auto"/>
              <w:right w:val="nil"/>
            </w:tcBorders>
            <w:shd w:val="clear" w:color="000000" w:fill="595959"/>
            <w:vAlign w:val="center"/>
            <w:hideMark/>
          </w:tcPr>
          <w:p w14:paraId="725A5AA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1~200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auto"/>
              <w:right w:val="nil"/>
            </w:tcBorders>
            <w:shd w:val="clear" w:color="000000" w:fill="595959"/>
            <w:vAlign w:val="center"/>
            <w:hideMark/>
          </w:tcPr>
          <w:p w14:paraId="0F55EA2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201~500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auto"/>
              <w:right w:val="nil"/>
            </w:tcBorders>
            <w:shd w:val="clear" w:color="000000" w:fill="595959"/>
            <w:vAlign w:val="center"/>
            <w:hideMark/>
          </w:tcPr>
          <w:p w14:paraId="6E03DCC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501~1000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auto"/>
              <w:right w:val="nil"/>
            </w:tcBorders>
            <w:shd w:val="clear" w:color="000000" w:fill="595959"/>
            <w:vAlign w:val="center"/>
            <w:hideMark/>
          </w:tcPr>
          <w:p w14:paraId="253AF5D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1000以上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auto"/>
              <w:right w:val="nil"/>
            </w:tcBorders>
            <w:shd w:val="clear" w:color="000000" w:fill="595959"/>
            <w:vAlign w:val="center"/>
            <w:hideMark/>
          </w:tcPr>
          <w:p w14:paraId="61F5669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總和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auto"/>
              <w:right w:val="nil"/>
            </w:tcBorders>
            <w:shd w:val="clear" w:color="000000" w:fill="595959"/>
            <w:vAlign w:val="center"/>
            <w:hideMark/>
          </w:tcPr>
          <w:p w14:paraId="1E6E490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排名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auto"/>
              <w:right w:val="nil"/>
            </w:tcBorders>
            <w:shd w:val="clear" w:color="000000" w:fill="595959"/>
            <w:vAlign w:val="center"/>
            <w:hideMark/>
          </w:tcPr>
          <w:p w14:paraId="07F4BA5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F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auto"/>
              <w:right w:val="nil"/>
            </w:tcBorders>
            <w:shd w:val="clear" w:color="000000" w:fill="595959"/>
            <w:vAlign w:val="center"/>
            <w:hideMark/>
          </w:tcPr>
          <w:p w14:paraId="529E17F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顯著性</w:t>
            </w:r>
          </w:p>
        </w:tc>
        <w:tc>
          <w:tcPr>
            <w:tcW w:w="429" w:type="pct"/>
            <w:tcBorders>
              <w:top w:val="single" w:sz="4" w:space="0" w:color="595959"/>
              <w:left w:val="nil"/>
              <w:bottom w:val="single" w:sz="4" w:space="0" w:color="auto"/>
              <w:right w:val="single" w:sz="4" w:space="0" w:color="595959"/>
            </w:tcBorders>
            <w:shd w:val="clear" w:color="000000" w:fill="595959"/>
            <w:vAlign w:val="center"/>
            <w:hideMark/>
          </w:tcPr>
          <w:p w14:paraId="160A2F9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&lt;α</w:t>
            </w:r>
          </w:p>
        </w:tc>
      </w:tr>
      <w:tr w:rsidR="00E71747" w:rsidRPr="00E71747" w14:paraId="7A50A62A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B1EA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交易安全性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CE1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479E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4.69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2F6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4.92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1BF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4.63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2D09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4.69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9D08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0CAE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1.239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5BF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.303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4746986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6676748A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38CC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商品品質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4B8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4.47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00BE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4.63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636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4.67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FFD6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2F3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8BEB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9CCA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.371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DB9E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.774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F1291F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17E44D95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1BAB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商品資訊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87A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4.47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1E4D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D76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89FA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4.63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2831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C01F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531D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.181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99E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.909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50F52B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256C828C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11B9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商品多樣性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BDD6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4.60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5E3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4.40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D1FB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4.75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E6F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D8B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B8F3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112D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1.343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B580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.268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78CF3A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7B9B6C8A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8FAC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網站賦予保證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91D1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3.93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378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4.40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4073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4.75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6B8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E97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4.37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8ED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C8E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2.201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87AE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.096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4A7813C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5B74F358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FF3A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網站信譽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26F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32B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4.40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F425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FDAD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4E6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4.36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820B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B731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1.819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B05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.152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225CC16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54868437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8702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交易便利性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270D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EB8B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4.46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07C6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4.42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138E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4.13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2079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4.29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ABCE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732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3.178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6C64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.030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1EF267D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</w:tr>
      <w:tr w:rsidR="00E71747" w:rsidRPr="00E71747" w14:paraId="01A7E301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B02AE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過程簡易性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298B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681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4.31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84DF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4.50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D02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4.13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3BD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4.27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83CE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58B0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1.613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E05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.195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36D417F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62176052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C5E6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使用介面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E625E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0AA6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4.23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5B8B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4.17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B032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4.25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54A2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4.14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C47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BF4F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.998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0D64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.399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4D69776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2CB2E2A6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70DD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客戶服務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9F79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846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B15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4.33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6765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185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4.09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0482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BC5F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.584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ACD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.627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D915D3D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0F6B4F55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DCCF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收費與否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D8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3.20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B96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3.66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034D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3.67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8A07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1705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3.59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A0E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F90B7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1.202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8B4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.316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14800C7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2B93750C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F2D6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網站知名度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5A68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3.47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1EBA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3.54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AFF8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3.75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8FF9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3.63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235D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3.57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93F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358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.325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5A7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.807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52E80EFA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E71747" w:rsidRPr="00E71747" w14:paraId="3989FB4F" w14:textId="77777777" w:rsidTr="00E71747">
        <w:trPr>
          <w:trHeight w:val="439"/>
        </w:trPr>
        <w:tc>
          <w:tcPr>
            <w:tcW w:w="635" w:type="pct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1A3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網站促銷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5792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2.87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6BD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3.09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AA48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3.58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6497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3.88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7C8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3.21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D315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F98B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3.575</w:t>
            </w:r>
          </w:p>
        </w:tc>
        <w:tc>
          <w:tcPr>
            <w:tcW w:w="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749C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.018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64660991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*</w:t>
            </w:r>
          </w:p>
        </w:tc>
      </w:tr>
      <w:tr w:rsidR="00E71747" w:rsidRPr="00E71747" w14:paraId="243A1E8B" w14:textId="77777777" w:rsidTr="00E71747">
        <w:trPr>
          <w:trHeight w:val="439"/>
        </w:trPr>
        <w:tc>
          <w:tcPr>
            <w:tcW w:w="635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D7AD44C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樣本數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C2F5633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6F0AE6A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103E6AF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59A02F5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4070558F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308F1FA6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DBDEED4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2" w:type="pct"/>
            <w:tcBorders>
              <w:top w:val="single" w:sz="4" w:space="0" w:color="595959"/>
              <w:left w:val="nil"/>
              <w:bottom w:val="single" w:sz="4" w:space="0" w:color="595959"/>
              <w:right w:val="nil"/>
            </w:tcBorders>
            <w:shd w:val="clear" w:color="auto" w:fill="auto"/>
            <w:noWrap/>
            <w:vAlign w:val="center"/>
            <w:hideMark/>
          </w:tcPr>
          <w:p w14:paraId="7A803ED0" w14:textId="77777777" w:rsidR="00E71747" w:rsidRPr="00E71747" w:rsidRDefault="00E71747" w:rsidP="00E71747">
            <w:pPr>
              <w:widowControl/>
              <w:jc w:val="center"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" w:type="pct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14:paraId="24F69EE3" w14:textId="77777777" w:rsidR="00E71747" w:rsidRPr="00E71747" w:rsidRDefault="00E71747" w:rsidP="00E71747">
            <w:pPr>
              <w:widowControl/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</w:pPr>
            <w:r w:rsidRPr="00E71747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D831247" w14:textId="55E968E0" w:rsidR="00E71747" w:rsidRPr="00A2397C" w:rsidRDefault="00E71747" w:rsidP="00A2397C">
      <w:pPr>
        <w:spacing w:line="400" w:lineRule="exact"/>
        <w:rPr>
          <w:sz w:val="22"/>
        </w:rPr>
      </w:pPr>
    </w:p>
    <w:p w14:paraId="766930BD" w14:textId="69408E15" w:rsidR="00C3281E" w:rsidRPr="00A2397C" w:rsidRDefault="00C3281E" w:rsidP="00A2397C">
      <w:pPr>
        <w:widowControl/>
        <w:spacing w:line="400" w:lineRule="exact"/>
        <w:rPr>
          <w:rFonts w:ascii="微軟正黑體" w:eastAsia="微軟正黑體" w:hAnsi="微軟正黑體" w:cs="新細明體" w:hint="eastAsia"/>
          <w:color w:val="000000"/>
          <w:kern w:val="0"/>
          <w:sz w:val="22"/>
        </w:rPr>
      </w:pPr>
      <w:r w:rsidRPr="00A2397C">
        <w:rPr>
          <w:rFonts w:ascii="微軟正黑體" w:eastAsia="微軟正黑體" w:hAnsi="微軟正黑體" w:hint="eastAsia"/>
          <w:sz w:val="22"/>
        </w:rPr>
        <w:t>根據調查結果，</w:t>
      </w:r>
      <w:r w:rsidRPr="00A2397C">
        <w:rPr>
          <w:rFonts w:ascii="微軟正黑體" w:eastAsia="微軟正黑體" w:hAnsi="微軟正黑體" w:hint="eastAsia"/>
          <w:sz w:val="22"/>
        </w:rPr>
        <w:t>選擇拍賣網站之</w:t>
      </w:r>
      <w:r w:rsidRPr="00A2397C">
        <w:rPr>
          <w:rFonts w:ascii="微軟正黑體" w:eastAsia="微軟正黑體" w:hAnsi="微軟正黑體" w:hint="eastAsia"/>
          <w:sz w:val="22"/>
        </w:rPr>
        <w:t>考慮因素的重要性前</w:t>
      </w:r>
      <w:r w:rsidRPr="00A2397C">
        <w:rPr>
          <w:rFonts w:ascii="微軟正黑體" w:eastAsia="微軟正黑體" w:hAnsi="微軟正黑體" w:hint="eastAsia"/>
          <w:sz w:val="22"/>
        </w:rPr>
        <w:t>四</w:t>
      </w:r>
      <w:r w:rsidRPr="00A2397C">
        <w:rPr>
          <w:rFonts w:ascii="微軟正黑體" w:eastAsia="微軟正黑體" w:hAnsi="微軟正黑體" w:hint="eastAsia"/>
          <w:sz w:val="22"/>
        </w:rPr>
        <w:t>為</w:t>
      </w:r>
      <w:r w:rsidRPr="00E71747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交易安全性</w:t>
      </w:r>
      <w:r w:rsidRPr="00A2397C">
        <w:rPr>
          <w:rFonts w:ascii="微軟正黑體" w:eastAsia="微軟正黑體" w:hAnsi="微軟正黑體" w:hint="eastAsia"/>
          <w:sz w:val="22"/>
        </w:rPr>
        <w:t>、</w:t>
      </w:r>
      <w:r w:rsidRPr="00E71747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商品品質</w:t>
      </w:r>
      <w:r w:rsidRPr="00A2397C">
        <w:rPr>
          <w:rFonts w:ascii="微軟正黑體" w:eastAsia="微軟正黑體" w:hAnsi="微軟正黑體" w:hint="eastAsia"/>
          <w:sz w:val="22"/>
        </w:rPr>
        <w:t>、</w:t>
      </w:r>
      <w:r w:rsidRPr="00E71747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商品資訊</w:t>
      </w:r>
      <w:r w:rsidRPr="00A2397C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、</w:t>
      </w:r>
      <w:r w:rsidRPr="00E71747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商品多樣性</w:t>
      </w:r>
      <w:r w:rsidRPr="00A2397C">
        <w:rPr>
          <w:rFonts w:ascii="微軟正黑體" w:eastAsia="微軟正黑體" w:hAnsi="微軟正黑體" w:hint="eastAsia"/>
          <w:sz w:val="22"/>
        </w:rPr>
        <w:t>。而</w:t>
      </w:r>
      <w:r w:rsidRPr="00A2397C">
        <w:rPr>
          <w:rFonts w:ascii="微軟正黑體" w:eastAsia="微軟正黑體" w:hAnsi="微軟正黑體" w:hint="eastAsia"/>
          <w:sz w:val="22"/>
        </w:rPr>
        <w:t>依交易金額</w:t>
      </w:r>
      <w:r w:rsidRPr="00A2397C">
        <w:rPr>
          <w:rFonts w:ascii="微軟正黑體" w:eastAsia="微軟正黑體" w:hAnsi="微軟正黑體" w:hint="eastAsia"/>
          <w:sz w:val="22"/>
        </w:rPr>
        <w:t>分組後，</w:t>
      </w:r>
      <w:r w:rsidRPr="00E71747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交易便利性</w:t>
      </w:r>
      <w:r w:rsidRPr="00A2397C">
        <w:rPr>
          <w:rFonts w:ascii="微軟正黑體" w:eastAsia="微軟正黑體" w:hAnsi="微軟正黑體" w:hint="eastAsia"/>
          <w:sz w:val="22"/>
        </w:rPr>
        <w:t>、</w:t>
      </w:r>
      <w:r w:rsidRPr="00E71747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網站促銷</w:t>
      </w:r>
      <w:r w:rsidRPr="00A2397C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的重要程度</w:t>
      </w:r>
      <w:r w:rsidRPr="00A2397C">
        <w:rPr>
          <w:rFonts w:ascii="微軟正黑體" w:eastAsia="微軟正黑體" w:hAnsi="微軟正黑體" w:hint="eastAsia"/>
          <w:sz w:val="22"/>
        </w:rPr>
        <w:t>會隨著平均交易金額</w:t>
      </w:r>
      <w:r w:rsidRPr="00A2397C">
        <w:rPr>
          <w:rFonts w:ascii="微軟正黑體" w:eastAsia="微軟正黑體" w:hAnsi="微軟正黑體" w:hint="eastAsia"/>
          <w:sz w:val="22"/>
        </w:rPr>
        <w:t>有顯著差異（α＜0.5），其中</w:t>
      </w:r>
      <w:r w:rsidRPr="00A2397C">
        <w:rPr>
          <w:rFonts w:ascii="微軟正黑體" w:eastAsia="微軟正黑體" w:hAnsi="微軟正黑體" w:hint="eastAsia"/>
          <w:sz w:val="22"/>
        </w:rPr>
        <w:t>花費2</w:t>
      </w:r>
      <w:r w:rsidRPr="00A2397C">
        <w:rPr>
          <w:rFonts w:ascii="微軟正黑體" w:eastAsia="微軟正黑體" w:hAnsi="微軟正黑體"/>
          <w:sz w:val="22"/>
        </w:rPr>
        <w:t>01-500</w:t>
      </w:r>
      <w:r w:rsidR="00A2397C" w:rsidRPr="00A2397C">
        <w:rPr>
          <w:rFonts w:ascii="微軟正黑體" w:eastAsia="微軟正黑體" w:hAnsi="微軟正黑體" w:hint="eastAsia"/>
          <w:sz w:val="22"/>
        </w:rPr>
        <w:t>、5</w:t>
      </w:r>
      <w:r w:rsidR="00A2397C" w:rsidRPr="00A2397C">
        <w:rPr>
          <w:rFonts w:ascii="微軟正黑體" w:eastAsia="微軟正黑體" w:hAnsi="微軟正黑體"/>
          <w:sz w:val="22"/>
        </w:rPr>
        <w:t>01-100</w:t>
      </w:r>
      <w:r w:rsidR="00A2397C" w:rsidRPr="00A2397C">
        <w:rPr>
          <w:rFonts w:ascii="微軟正黑體" w:eastAsia="微軟正黑體" w:hAnsi="微軟正黑體" w:hint="eastAsia"/>
          <w:sz w:val="22"/>
        </w:rPr>
        <w:t>金額之客群對交易便利性</w:t>
      </w:r>
      <w:r w:rsidRPr="00A2397C">
        <w:rPr>
          <w:rFonts w:ascii="微軟正黑體" w:eastAsia="微軟正黑體" w:hAnsi="微軟正黑體" w:hint="eastAsia"/>
          <w:sz w:val="22"/>
        </w:rPr>
        <w:t>的注重程度較高</w:t>
      </w:r>
      <w:r w:rsidR="00A2397C" w:rsidRPr="00A2397C">
        <w:rPr>
          <w:rFonts w:ascii="微軟正黑體" w:eastAsia="微軟正黑體" w:hAnsi="微軟正黑體" w:hint="eastAsia"/>
          <w:sz w:val="22"/>
        </w:rPr>
        <w:t>；花費1</w:t>
      </w:r>
      <w:r w:rsidR="00A2397C" w:rsidRPr="00A2397C">
        <w:rPr>
          <w:rFonts w:ascii="微軟正黑體" w:eastAsia="微軟正黑體" w:hAnsi="微軟正黑體"/>
          <w:sz w:val="22"/>
        </w:rPr>
        <w:t>000</w:t>
      </w:r>
      <w:r w:rsidR="00A2397C" w:rsidRPr="00A2397C">
        <w:rPr>
          <w:rFonts w:ascii="微軟正黑體" w:eastAsia="微軟正黑體" w:hAnsi="微軟正黑體" w:hint="eastAsia"/>
          <w:sz w:val="22"/>
        </w:rPr>
        <w:t>以上金額之客群對網站促銷的注重程度較高</w:t>
      </w:r>
      <w:r w:rsidRPr="00A2397C">
        <w:rPr>
          <w:rFonts w:ascii="微軟正黑體" w:eastAsia="微軟正黑體" w:hAnsi="微軟正黑體" w:hint="eastAsia"/>
          <w:sz w:val="22"/>
        </w:rPr>
        <w:t>。</w:t>
      </w:r>
    </w:p>
    <w:sectPr w:rsidR="00C3281E" w:rsidRPr="00A2397C" w:rsidSect="00E717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47"/>
    <w:rsid w:val="00A2397C"/>
    <w:rsid w:val="00C3281E"/>
    <w:rsid w:val="00E022C5"/>
    <w:rsid w:val="00E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6951"/>
  <w15:chartTrackingRefBased/>
  <w15:docId w15:val="{40735747-4325-4707-9A04-EDAB7EEC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1</cp:revision>
  <dcterms:created xsi:type="dcterms:W3CDTF">2024-05-06T06:08:00Z</dcterms:created>
  <dcterms:modified xsi:type="dcterms:W3CDTF">2024-05-06T07:03:00Z</dcterms:modified>
</cp:coreProperties>
</file>