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324C4" w14:textId="77777777" w:rsidR="00E56736" w:rsidRDefault="00E56736" w:rsidP="00E56736">
      <w:pPr>
        <w:contextualSpacing w:val="0"/>
        <w:rPr>
          <w:sz w:val="16"/>
          <w:szCs w:val="16"/>
        </w:rPr>
      </w:pPr>
    </w:p>
    <w:p w14:paraId="01664F4B" w14:textId="3D5D9EF7" w:rsidR="00E56736" w:rsidRDefault="00E56736" w:rsidP="00E56736">
      <w:pPr>
        <w:spacing w:after="240" w:line="288" w:lineRule="auto"/>
        <w:ind w:firstLine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4608DB">
        <w:rPr>
          <w:sz w:val="24"/>
          <w:szCs w:val="24"/>
          <w:u w:val="single"/>
        </w:rPr>
        <w:t>Change of Control</w:t>
      </w:r>
      <w:bookmarkStart w:id="0" w:name="_GoBack"/>
      <w:bookmarkEnd w:id="0"/>
      <w:r>
        <w:rPr>
          <w:sz w:val="24"/>
          <w:szCs w:val="24"/>
        </w:rPr>
        <w:t>” means Other Connection Taxes that are imposed on or measured by net income (however denominated) or that are franchise Taxes or branch profits Taxes.</w:t>
      </w:r>
    </w:p>
    <w:p w14:paraId="4CFCACCA" w14:textId="77777777" w:rsidR="00E56736" w:rsidRDefault="00E56736" w:rsidP="00E56736">
      <w:pPr>
        <w:spacing w:after="240" w:line="288" w:lineRule="auto"/>
        <w:ind w:firstLine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  <w:u w:val="single"/>
        </w:rPr>
        <w:t>Contractual Obligation</w:t>
      </w:r>
      <w:r>
        <w:rPr>
          <w:sz w:val="24"/>
          <w:szCs w:val="24"/>
        </w:rPr>
        <w:t>” means, as to any Person, any provision of any security issued by such Person or of any agreement, instrument or other undertaking to which such Person is a party or by which it or any of its property is bound.</w:t>
      </w:r>
    </w:p>
    <w:p w14:paraId="147D923C" w14:textId="77777777" w:rsidR="00E56736" w:rsidRDefault="00E56736" w:rsidP="00E56736">
      <w:pPr>
        <w:spacing w:after="240" w:line="288" w:lineRule="auto"/>
        <w:ind w:firstLine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  <w:u w:val="single"/>
        </w:rPr>
        <w:t>Control</w:t>
      </w:r>
      <w:r>
        <w:rPr>
          <w:sz w:val="24"/>
          <w:szCs w:val="24"/>
        </w:rPr>
        <w:t>” means the possession, directly or indirectly, of the power to direct or cause the direction of the management or policies of a Person, whether through the ability to exercise voting power, by contract or otherwise. “</w:t>
      </w:r>
      <w:r>
        <w:rPr>
          <w:sz w:val="24"/>
          <w:szCs w:val="24"/>
          <w:u w:val="single"/>
        </w:rPr>
        <w:t>Controlling</w:t>
      </w:r>
      <w:r>
        <w:rPr>
          <w:sz w:val="24"/>
          <w:szCs w:val="24"/>
        </w:rPr>
        <w:t>” and “</w:t>
      </w:r>
      <w:r>
        <w:rPr>
          <w:sz w:val="24"/>
          <w:szCs w:val="24"/>
          <w:u w:val="single"/>
        </w:rPr>
        <w:t>Controlled</w:t>
      </w:r>
      <w:r>
        <w:rPr>
          <w:sz w:val="24"/>
          <w:szCs w:val="24"/>
        </w:rPr>
        <w:t>” have meanings correlative thereto.</w:t>
      </w:r>
    </w:p>
    <w:p w14:paraId="305FC65D" w14:textId="77777777" w:rsidR="00E56736" w:rsidRDefault="00E56736" w:rsidP="00E56736">
      <w:pPr>
        <w:spacing w:after="240" w:line="288" w:lineRule="auto"/>
        <w:ind w:firstLine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  <w:u w:val="single"/>
        </w:rPr>
        <w:t>Credit Agreement</w:t>
      </w:r>
      <w:r>
        <w:rPr>
          <w:sz w:val="24"/>
          <w:szCs w:val="24"/>
        </w:rPr>
        <w:t>” means this Agreement, including the Schedules and Exhibits attached hereto.</w:t>
      </w:r>
    </w:p>
    <w:p w14:paraId="6549AAF6" w14:textId="77777777" w:rsidR="00BF4D6E" w:rsidRDefault="004608DB"/>
    <w:sectPr w:rsidR="00BF4D6E" w:rsidSect="007F0F2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36"/>
    <w:rsid w:val="003175EE"/>
    <w:rsid w:val="004608DB"/>
    <w:rsid w:val="007F0F24"/>
    <w:rsid w:val="00A472E3"/>
    <w:rsid w:val="00E5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28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56736"/>
    <w:pPr>
      <w:widowControl w:val="0"/>
      <w:pBdr>
        <w:top w:val="nil"/>
        <w:left w:val="nil"/>
        <w:bottom w:val="nil"/>
        <w:right w:val="nil"/>
        <w:between w:val="nil"/>
      </w:pBdr>
      <w:contextualSpacing/>
    </w:pPr>
    <w:rPr>
      <w:rFonts w:ascii="Arial" w:eastAsia="Arial" w:hAnsi="Arial" w:cs="Arial"/>
      <w:color w:val="000000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slan1</dc:creator>
  <cp:keywords/>
  <dc:description/>
  <cp:lastModifiedBy>slan1</cp:lastModifiedBy>
  <cp:revision>2</cp:revision>
  <dcterms:created xsi:type="dcterms:W3CDTF">2018-02-15T19:24:00Z</dcterms:created>
  <dcterms:modified xsi:type="dcterms:W3CDTF">2018-02-15T19:25:00Z</dcterms:modified>
</cp:coreProperties>
</file>