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D1A7C0" w14:textId="77777777" w:rsidR="004740A8" w:rsidRDefault="004740A8">
      <w:pPr>
        <w:pBdr>
          <w:top w:val="nil"/>
          <w:left w:val="nil"/>
          <w:bottom w:val="nil"/>
          <w:right w:val="nil"/>
          <w:between w:val="nil"/>
        </w:pBdr>
        <w:contextualSpacing w:val="0"/>
        <w:rPr>
          <w:color w:val="000000"/>
        </w:rPr>
      </w:pPr>
    </w:p>
    <w:p w14:paraId="231D4280" w14:textId="77777777" w:rsidR="004740A8" w:rsidRDefault="007C0112">
      <w:pPr>
        <w:pBdr>
          <w:top w:val="nil"/>
          <w:left w:val="nil"/>
          <w:bottom w:val="nil"/>
          <w:right w:val="nil"/>
          <w:between w:val="nil"/>
        </w:pBdr>
        <w:contextualSpacing w:val="0"/>
        <w:jc w:val="right"/>
        <w:rPr>
          <w:rFonts w:ascii="Times New Roman" w:eastAsia="Times New Roman" w:hAnsi="Times New Roman" w:cs="Times New Roman"/>
          <w:b/>
          <w:sz w:val="20"/>
          <w:szCs w:val="20"/>
        </w:rPr>
      </w:pPr>
      <w:r>
        <w:rPr>
          <w:rFonts w:ascii="Times New Roman" w:eastAsia="Times New Roman" w:hAnsi="Times New Roman" w:cs="Times New Roman"/>
          <w:b/>
          <w:sz w:val="20"/>
          <w:szCs w:val="20"/>
        </w:rPr>
        <w:t>Exhibit 4.3</w:t>
      </w:r>
      <w:bookmarkStart w:id="0" w:name="gjdgxs" w:colFirst="0" w:colLast="0"/>
      <w:bookmarkEnd w:id="0"/>
    </w:p>
    <w:p w14:paraId="348CE27F" w14:textId="77777777" w:rsidR="004740A8" w:rsidRDefault="007C0112">
      <w:pPr>
        <w:pBdr>
          <w:top w:val="nil"/>
          <w:left w:val="nil"/>
          <w:bottom w:val="nil"/>
          <w:right w:val="nil"/>
          <w:between w:val="nil"/>
        </w:pBdr>
        <w:contextualSpacing w:val="0"/>
        <w:jc w:val="center"/>
        <w:rPr>
          <w:rFonts w:ascii="Times New Roman" w:eastAsia="Times New Roman" w:hAnsi="Times New Roman" w:cs="Times New Roman"/>
          <w:b/>
        </w:rPr>
      </w:pPr>
      <w:r>
        <w:rPr>
          <w:rFonts w:ascii="Times New Roman" w:eastAsia="Times New Roman" w:hAnsi="Times New Roman" w:cs="Times New Roman"/>
          <w:b/>
        </w:rPr>
        <w:t> </w:t>
      </w:r>
    </w:p>
    <w:p w14:paraId="1BD9EC3E" w14:textId="77777777" w:rsidR="004740A8" w:rsidRDefault="007C0112">
      <w:pPr>
        <w:pBdr>
          <w:top w:val="nil"/>
          <w:left w:val="nil"/>
          <w:bottom w:val="nil"/>
          <w:right w:val="nil"/>
          <w:between w:val="nil"/>
        </w:pBdr>
        <w:contextualSpacing w:val="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WILDHORSE RESOURCE DEVELOPMENT CORPORATION</w:t>
      </w:r>
    </w:p>
    <w:p w14:paraId="1248D2A7" w14:textId="77777777" w:rsidR="004740A8" w:rsidRDefault="007C0112">
      <w:pPr>
        <w:pBdr>
          <w:top w:val="nil"/>
          <w:left w:val="nil"/>
          <w:bottom w:val="nil"/>
          <w:right w:val="nil"/>
          <w:between w:val="nil"/>
        </w:pBdr>
        <w:contextualSpacing w:val="0"/>
        <w:jc w:val="center"/>
        <w:rPr>
          <w:rFonts w:ascii="Times New Roman" w:eastAsia="Times New Roman" w:hAnsi="Times New Roman" w:cs="Times New Roman"/>
        </w:rPr>
      </w:pPr>
      <w:r>
        <w:rPr>
          <w:rFonts w:ascii="Times New Roman" w:eastAsia="Times New Roman" w:hAnsi="Times New Roman" w:cs="Times New Roman"/>
        </w:rPr>
        <w:t> </w:t>
      </w:r>
    </w:p>
    <w:p w14:paraId="0EC61921" w14:textId="77777777" w:rsidR="004740A8" w:rsidRDefault="007C0112">
      <w:pPr>
        <w:pBdr>
          <w:top w:val="nil"/>
          <w:left w:val="nil"/>
          <w:bottom w:val="nil"/>
          <w:right w:val="nil"/>
          <w:between w:val="nil"/>
        </w:pBdr>
        <w:contextualSpacing w:val="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REGISTRATION RIGHTS AGREEMENT</w:t>
      </w:r>
    </w:p>
    <w:p w14:paraId="60BEACE6"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0DFBF050" w14:textId="77777777" w:rsidR="004740A8" w:rsidRDefault="007C0112">
      <w:pPr>
        <w:pBdr>
          <w:top w:val="nil"/>
          <w:left w:val="nil"/>
          <w:bottom w:val="nil"/>
          <w:right w:val="nil"/>
          <w:between w:val="nil"/>
        </w:pBd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This REGISTRATION RIGHTS AGREEMENT is dated as of April 20, 2018 (the “</w:t>
      </w:r>
      <w:r>
        <w:rPr>
          <w:rFonts w:ascii="Times New Roman" w:eastAsia="Times New Roman" w:hAnsi="Times New Roman" w:cs="Times New Roman"/>
          <w:sz w:val="20"/>
          <w:szCs w:val="20"/>
          <w:u w:val="single"/>
        </w:rPr>
        <w:t>Agreement</w:t>
      </w:r>
      <w:r>
        <w:rPr>
          <w:rFonts w:ascii="Times New Roman" w:eastAsia="Times New Roman" w:hAnsi="Times New Roman" w:cs="Times New Roman"/>
          <w:sz w:val="20"/>
          <w:szCs w:val="20"/>
        </w:rPr>
        <w:t>”), by and among WILDHORSE RESOURCE DEVELOPMENT CORPORATION, a Delaware corporation (the “</w:t>
      </w:r>
      <w:r>
        <w:rPr>
          <w:rFonts w:ascii="Times New Roman" w:eastAsia="Times New Roman" w:hAnsi="Times New Roman" w:cs="Times New Roman"/>
          <w:sz w:val="20"/>
          <w:szCs w:val="20"/>
          <w:u w:val="single"/>
        </w:rPr>
        <w:t>Company</w:t>
      </w:r>
      <w:r>
        <w:rPr>
          <w:rFonts w:ascii="Times New Roman" w:eastAsia="Times New Roman" w:hAnsi="Times New Roman" w:cs="Times New Roman"/>
          <w:sz w:val="20"/>
          <w:szCs w:val="20"/>
        </w:rPr>
        <w:t>”), the subsidiaries of the Company named in Schedule I hereto (each individually, a “</w:t>
      </w:r>
      <w:r>
        <w:rPr>
          <w:rFonts w:ascii="Times New Roman" w:eastAsia="Times New Roman" w:hAnsi="Times New Roman" w:cs="Times New Roman"/>
          <w:sz w:val="20"/>
          <w:szCs w:val="20"/>
          <w:u w:val="single"/>
        </w:rPr>
        <w:t>Guarantor</w:t>
      </w:r>
      <w:r>
        <w:rPr>
          <w:rFonts w:ascii="Times New Roman" w:eastAsia="Times New Roman" w:hAnsi="Times New Roman" w:cs="Times New Roman"/>
          <w:sz w:val="20"/>
          <w:szCs w:val="20"/>
        </w:rPr>
        <w:t>” and collectively, the “</w:t>
      </w:r>
      <w:r>
        <w:rPr>
          <w:rFonts w:ascii="Times New Roman" w:eastAsia="Times New Roman" w:hAnsi="Times New Roman" w:cs="Times New Roman"/>
          <w:sz w:val="20"/>
          <w:szCs w:val="20"/>
          <w:u w:val="single"/>
        </w:rPr>
        <w:t>Guarantors</w:t>
      </w:r>
      <w:r>
        <w:rPr>
          <w:rFonts w:ascii="Times New Roman" w:eastAsia="Times New Roman" w:hAnsi="Times New Roman" w:cs="Times New Roman"/>
          <w:sz w:val="20"/>
          <w:szCs w:val="20"/>
        </w:rPr>
        <w:t>”), and the Initial Purchaser</w:t>
      </w:r>
      <w:r>
        <w:rPr>
          <w:rFonts w:ascii="Times New Roman" w:eastAsia="Times New Roman" w:hAnsi="Times New Roman" w:cs="Times New Roman"/>
          <w:sz w:val="20"/>
          <w:szCs w:val="20"/>
        </w:rPr>
        <w:t xml:space="preserve"> listed in the Purchase Agreement (defined below) (the “</w:t>
      </w:r>
      <w:r>
        <w:rPr>
          <w:rFonts w:ascii="Times New Roman" w:eastAsia="Times New Roman" w:hAnsi="Times New Roman" w:cs="Times New Roman"/>
          <w:sz w:val="20"/>
          <w:szCs w:val="20"/>
          <w:u w:val="single"/>
        </w:rPr>
        <w:t>Initial Purchaser</w:t>
      </w:r>
      <w:r>
        <w:rPr>
          <w:rFonts w:ascii="Times New Roman" w:eastAsia="Times New Roman" w:hAnsi="Times New Roman" w:cs="Times New Roman"/>
          <w:sz w:val="20"/>
          <w:szCs w:val="20"/>
        </w:rPr>
        <w:t>”).</w:t>
      </w:r>
    </w:p>
    <w:p w14:paraId="153EF11A"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2AB4233A" w14:textId="77777777" w:rsidR="004740A8" w:rsidRDefault="007C0112">
      <w:pPr>
        <w:pBdr>
          <w:top w:val="nil"/>
          <w:left w:val="nil"/>
          <w:bottom w:val="nil"/>
          <w:right w:val="nil"/>
          <w:between w:val="nil"/>
        </w:pBd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The Company, the Guarantors and the Initial Purchaser are parties to the Purchase Agreement dated April 18, 2018 (the “</w:t>
      </w:r>
      <w:r>
        <w:rPr>
          <w:rFonts w:ascii="Times New Roman" w:eastAsia="Times New Roman" w:hAnsi="Times New Roman" w:cs="Times New Roman"/>
          <w:sz w:val="20"/>
          <w:szCs w:val="20"/>
          <w:u w:val="single"/>
        </w:rPr>
        <w:t>Purchase Agreement</w:t>
      </w:r>
      <w:r>
        <w:rPr>
          <w:rFonts w:ascii="Times New Roman" w:eastAsia="Times New Roman" w:hAnsi="Times New Roman" w:cs="Times New Roman"/>
          <w:sz w:val="20"/>
          <w:szCs w:val="20"/>
        </w:rPr>
        <w:t>”), which provides for the sale by the C</w:t>
      </w:r>
      <w:r>
        <w:rPr>
          <w:rFonts w:ascii="Times New Roman" w:eastAsia="Times New Roman" w:hAnsi="Times New Roman" w:cs="Times New Roman"/>
          <w:sz w:val="20"/>
          <w:szCs w:val="20"/>
        </w:rPr>
        <w:t>ompany to the Initial Purchaser of $200,000,000 aggregate principal amount of the Company’s 6.875% Senior Notes due 2025 (including the unconditional guarantees thereof on an unsecured senior basis as to principal, premium, if any, and interest by the Guar</w:t>
      </w:r>
      <w:r>
        <w:rPr>
          <w:rFonts w:ascii="Times New Roman" w:eastAsia="Times New Roman" w:hAnsi="Times New Roman" w:cs="Times New Roman"/>
          <w:sz w:val="20"/>
          <w:szCs w:val="20"/>
        </w:rPr>
        <w:t>antors, the “</w:t>
      </w:r>
      <w:r>
        <w:rPr>
          <w:rFonts w:ascii="Times New Roman" w:eastAsia="Times New Roman" w:hAnsi="Times New Roman" w:cs="Times New Roman"/>
          <w:sz w:val="20"/>
          <w:szCs w:val="20"/>
          <w:u w:val="single"/>
        </w:rPr>
        <w:t>New Securities</w:t>
      </w:r>
      <w:r>
        <w:rPr>
          <w:rFonts w:ascii="Times New Roman" w:eastAsia="Times New Roman" w:hAnsi="Times New Roman" w:cs="Times New Roman"/>
          <w:sz w:val="20"/>
          <w:szCs w:val="20"/>
        </w:rPr>
        <w:t>”).</w:t>
      </w:r>
    </w:p>
    <w:p w14:paraId="5BB82510"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4272AB1B" w14:textId="77777777" w:rsidR="004740A8" w:rsidRDefault="007C0112">
      <w:pPr>
        <w:pBdr>
          <w:top w:val="nil"/>
          <w:left w:val="nil"/>
          <w:bottom w:val="nil"/>
          <w:right w:val="nil"/>
          <w:between w:val="nil"/>
        </w:pBd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The New Securities constitute “Additional Notes” (as such term is defined in the Indenture (defined below)) under the Indenture and will be issued pursuant to and in compliance with Sections 2.02, 2.13 and 4.09 thereof. The</w:t>
      </w:r>
      <w:r>
        <w:rPr>
          <w:rFonts w:ascii="Times New Roman" w:eastAsia="Times New Roman" w:hAnsi="Times New Roman" w:cs="Times New Roman"/>
          <w:sz w:val="20"/>
          <w:szCs w:val="20"/>
        </w:rPr>
        <w:t xml:space="preserve"> Company has previously issued $500,000,000 aggregate principal amount of 6.875% Senior Notes due 2025 (together with the related guarantees, the “</w:t>
      </w:r>
      <w:r>
        <w:rPr>
          <w:rFonts w:ascii="Times New Roman" w:eastAsia="Times New Roman" w:hAnsi="Times New Roman" w:cs="Times New Roman"/>
          <w:sz w:val="20"/>
          <w:szCs w:val="20"/>
          <w:u w:val="single"/>
        </w:rPr>
        <w:t>Initial Securities</w:t>
      </w:r>
      <w:r>
        <w:rPr>
          <w:rFonts w:ascii="Times New Roman" w:eastAsia="Times New Roman" w:hAnsi="Times New Roman" w:cs="Times New Roman"/>
          <w:sz w:val="20"/>
          <w:szCs w:val="20"/>
        </w:rPr>
        <w:t>”) under the Indenture. On November 20, 2017, substantially all of the then outstanding Ini</w:t>
      </w:r>
      <w:r>
        <w:rPr>
          <w:rFonts w:ascii="Times New Roman" w:eastAsia="Times New Roman" w:hAnsi="Times New Roman" w:cs="Times New Roman"/>
          <w:sz w:val="20"/>
          <w:szCs w:val="20"/>
        </w:rPr>
        <w:t>tial Securities, which were unregistered, were exchanged for an equivalent principal amount of 6.875% Senior Notes due 2025, which were registered under the Securities Act (as defined below) (the “</w:t>
      </w:r>
      <w:r>
        <w:rPr>
          <w:rFonts w:ascii="Times New Roman" w:eastAsia="Times New Roman" w:hAnsi="Times New Roman" w:cs="Times New Roman"/>
          <w:sz w:val="20"/>
          <w:szCs w:val="20"/>
          <w:u w:val="single"/>
        </w:rPr>
        <w:t>Registered Initial Securities</w:t>
      </w:r>
      <w:r>
        <w:rPr>
          <w:rFonts w:ascii="Times New Roman" w:eastAsia="Times New Roman" w:hAnsi="Times New Roman" w:cs="Times New Roman"/>
          <w:sz w:val="20"/>
          <w:szCs w:val="20"/>
        </w:rPr>
        <w:t>”) pursuant to an exchange off</w:t>
      </w:r>
      <w:r>
        <w:rPr>
          <w:rFonts w:ascii="Times New Roman" w:eastAsia="Times New Roman" w:hAnsi="Times New Roman" w:cs="Times New Roman"/>
          <w:sz w:val="20"/>
          <w:szCs w:val="20"/>
        </w:rPr>
        <w:t>er. Except as otherwise disclosed in the General Disclosure Package or the Offering Memorandum (as such terms are defined in the Purchase Agreement), the New Securities will have terms identical to the Initial Securities and will be treated as a single ser</w:t>
      </w:r>
      <w:r>
        <w:rPr>
          <w:rFonts w:ascii="Times New Roman" w:eastAsia="Times New Roman" w:hAnsi="Times New Roman" w:cs="Times New Roman"/>
          <w:sz w:val="20"/>
          <w:szCs w:val="20"/>
        </w:rPr>
        <w:t>ies of debt securities for all purposes under the Indenture.</w:t>
      </w:r>
    </w:p>
    <w:p w14:paraId="441B11E9"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5D8AEF16" w14:textId="77777777" w:rsidR="004740A8" w:rsidRDefault="007C0112">
      <w:pPr>
        <w:pBdr>
          <w:top w:val="nil"/>
          <w:left w:val="nil"/>
          <w:bottom w:val="nil"/>
          <w:right w:val="nil"/>
          <w:between w:val="nil"/>
        </w:pBd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As an inducement to the Initial Purchaser to enter into the Purchase Agreement, the Company has agreed to provide to the Initial Purchaser and its direct and indirect transferees the registrati</w:t>
      </w:r>
      <w:r>
        <w:rPr>
          <w:rFonts w:ascii="Times New Roman" w:eastAsia="Times New Roman" w:hAnsi="Times New Roman" w:cs="Times New Roman"/>
          <w:sz w:val="20"/>
          <w:szCs w:val="20"/>
        </w:rPr>
        <w:t>on rights set forth in this Agreement. The execution and delivery of this Agreement is a condition to the Initial Purchaser’s obligations under the Purchase Agreement.</w:t>
      </w:r>
    </w:p>
    <w:p w14:paraId="3602F7DC"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2AEB76BC" w14:textId="77777777" w:rsidR="004740A8" w:rsidRDefault="007C0112">
      <w:pPr>
        <w:pBdr>
          <w:top w:val="nil"/>
          <w:left w:val="nil"/>
          <w:bottom w:val="nil"/>
          <w:right w:val="nil"/>
          <w:between w:val="nil"/>
        </w:pBd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In consideration of the foregoing, the parties hereto agree as follows:</w:t>
      </w:r>
    </w:p>
    <w:p w14:paraId="2636CC89"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1F516D20" w14:textId="77777777" w:rsidR="004740A8" w:rsidRDefault="007C0112">
      <w:pPr>
        <w:pBdr>
          <w:top w:val="nil"/>
          <w:left w:val="nil"/>
          <w:bottom w:val="nil"/>
          <w:right w:val="nil"/>
          <w:between w:val="nil"/>
        </w:pBd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1.                                      </w:t>
      </w:r>
      <w:r>
        <w:rPr>
          <w:rFonts w:ascii="Times New Roman" w:eastAsia="Times New Roman" w:hAnsi="Times New Roman" w:cs="Times New Roman"/>
          <w:sz w:val="20"/>
          <w:szCs w:val="20"/>
          <w:u w:val="single"/>
        </w:rPr>
        <w:t>Definitions</w:t>
      </w:r>
      <w:r>
        <w:rPr>
          <w:rFonts w:ascii="Times New Roman" w:eastAsia="Times New Roman" w:hAnsi="Times New Roman" w:cs="Times New Roman"/>
          <w:sz w:val="20"/>
          <w:szCs w:val="20"/>
        </w:rPr>
        <w:t>. As used in this Agreement, the following terms shall have the following meanings:</w:t>
      </w:r>
    </w:p>
    <w:p w14:paraId="11D437CC"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156D586A" w14:textId="77777777" w:rsidR="004740A8" w:rsidRDefault="007C0112">
      <w:pPr>
        <w:pBdr>
          <w:top w:val="nil"/>
          <w:left w:val="nil"/>
          <w:bottom w:val="nil"/>
          <w:right w:val="nil"/>
          <w:between w:val="nil"/>
        </w:pBd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i/>
          <w:sz w:val="20"/>
          <w:szCs w:val="20"/>
        </w:rPr>
        <w:t>Additional Guarantor</w:t>
      </w:r>
      <w:r>
        <w:rPr>
          <w:rFonts w:ascii="Times New Roman" w:eastAsia="Times New Roman" w:hAnsi="Times New Roman" w:cs="Times New Roman"/>
          <w:sz w:val="20"/>
          <w:szCs w:val="20"/>
        </w:rPr>
        <w:t>” shall mean any subsidiary of the Company that executes a Subsidiary Guarantee under the Indentur</w:t>
      </w:r>
      <w:r>
        <w:rPr>
          <w:rFonts w:ascii="Times New Roman" w:eastAsia="Times New Roman" w:hAnsi="Times New Roman" w:cs="Times New Roman"/>
          <w:sz w:val="20"/>
          <w:szCs w:val="20"/>
        </w:rPr>
        <w:t>e after the date of this Agreement.</w:t>
      </w:r>
    </w:p>
    <w:p w14:paraId="1EE5A30A"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6AAC89E0" w14:textId="77777777" w:rsidR="004740A8" w:rsidRDefault="007C0112">
      <w:pPr>
        <w:pBdr>
          <w:top w:val="nil"/>
          <w:left w:val="nil"/>
          <w:bottom w:val="nil"/>
          <w:right w:val="nil"/>
          <w:between w:val="nil"/>
        </w:pBd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i/>
          <w:sz w:val="20"/>
          <w:szCs w:val="20"/>
        </w:rPr>
        <w:t>Agreement</w:t>
      </w:r>
      <w:r>
        <w:rPr>
          <w:rFonts w:ascii="Times New Roman" w:eastAsia="Times New Roman" w:hAnsi="Times New Roman" w:cs="Times New Roman"/>
          <w:sz w:val="20"/>
          <w:szCs w:val="20"/>
        </w:rPr>
        <w:t>” shall have the meaning set forth in the preamble.</w:t>
      </w:r>
    </w:p>
    <w:p w14:paraId="78324F02"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3D0DEA80" w14:textId="77777777" w:rsidR="004740A8" w:rsidRDefault="007C0112">
      <w:pPr>
        <w:pBdr>
          <w:top w:val="nil"/>
          <w:left w:val="nil"/>
          <w:bottom w:val="nil"/>
          <w:right w:val="nil"/>
          <w:between w:val="nil"/>
        </w:pBd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i/>
          <w:sz w:val="20"/>
          <w:szCs w:val="20"/>
        </w:rPr>
        <w:t>Blackout Period</w:t>
      </w:r>
      <w:r>
        <w:rPr>
          <w:rFonts w:ascii="Times New Roman" w:eastAsia="Times New Roman" w:hAnsi="Times New Roman" w:cs="Times New Roman"/>
          <w:sz w:val="20"/>
          <w:szCs w:val="20"/>
        </w:rPr>
        <w:t xml:space="preserve">” shall have the meaning set forth in </w:t>
      </w:r>
      <w:r>
        <w:rPr>
          <w:rFonts w:ascii="Times New Roman" w:eastAsia="Times New Roman" w:hAnsi="Times New Roman" w:cs="Times New Roman"/>
          <w:sz w:val="20"/>
          <w:szCs w:val="20"/>
          <w:u w:val="single"/>
        </w:rPr>
        <w:t>Section 2(c)</w:t>
      </w:r>
      <w:r>
        <w:rPr>
          <w:rFonts w:ascii="Times New Roman" w:eastAsia="Times New Roman" w:hAnsi="Times New Roman" w:cs="Times New Roman"/>
          <w:sz w:val="20"/>
          <w:szCs w:val="20"/>
        </w:rPr>
        <w:t> hereof.</w:t>
      </w:r>
    </w:p>
    <w:p w14:paraId="59EA0432"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01AFC7E3" w14:textId="77777777" w:rsidR="004740A8" w:rsidRDefault="004740A8">
      <w:pPr>
        <w:pBdr>
          <w:top w:val="nil"/>
          <w:left w:val="nil"/>
          <w:bottom w:val="nil"/>
          <w:right w:val="nil"/>
          <w:between w:val="nil"/>
        </w:pBdr>
        <w:contextualSpacing w:val="0"/>
        <w:rPr>
          <w:rFonts w:ascii="Times New Roman" w:eastAsia="Times New Roman" w:hAnsi="Times New Roman" w:cs="Times New Roman"/>
        </w:rPr>
      </w:pPr>
    </w:p>
    <w:p w14:paraId="4F93FB26" w14:textId="77777777" w:rsidR="004740A8" w:rsidRDefault="004740A8">
      <w:pPr>
        <w:pBdr>
          <w:top w:val="nil"/>
          <w:left w:val="nil"/>
          <w:bottom w:val="nil"/>
          <w:right w:val="nil"/>
          <w:between w:val="nil"/>
        </w:pBdr>
        <w:contextualSpacing w:val="0"/>
        <w:rPr>
          <w:rFonts w:ascii="Times New Roman" w:eastAsia="Times New Roman" w:hAnsi="Times New Roman" w:cs="Times New Roman"/>
        </w:rPr>
      </w:pPr>
    </w:p>
    <w:p w14:paraId="7B16B6AC" w14:textId="77777777" w:rsidR="004740A8" w:rsidRDefault="004740A8">
      <w:pPr>
        <w:pBdr>
          <w:top w:val="nil"/>
          <w:left w:val="nil"/>
          <w:bottom w:val="nil"/>
          <w:right w:val="nil"/>
          <w:between w:val="nil"/>
        </w:pBdr>
        <w:contextualSpacing w:val="0"/>
        <w:rPr>
          <w:rFonts w:ascii="Times New Roman" w:eastAsia="Times New Roman" w:hAnsi="Times New Roman" w:cs="Times New Roman"/>
        </w:rPr>
      </w:pPr>
    </w:p>
    <w:p w14:paraId="316ADB79"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6B727584" w14:textId="77777777" w:rsidR="004740A8" w:rsidRDefault="007C0112">
      <w:pPr>
        <w:pBdr>
          <w:top w:val="nil"/>
          <w:left w:val="nil"/>
          <w:bottom w:val="nil"/>
          <w:right w:val="nil"/>
          <w:between w:val="nil"/>
        </w:pBd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i/>
          <w:sz w:val="20"/>
          <w:szCs w:val="20"/>
        </w:rPr>
        <w:t>Business Day</w:t>
      </w:r>
      <w:r>
        <w:rPr>
          <w:rFonts w:ascii="Times New Roman" w:eastAsia="Times New Roman" w:hAnsi="Times New Roman" w:cs="Times New Roman"/>
          <w:sz w:val="20"/>
          <w:szCs w:val="20"/>
        </w:rPr>
        <w:t>” shall mean any day that is not a Saturday, Sunday or other day on which commercial banks in New York City are authorized or required by law to remain closed.</w:t>
      </w:r>
    </w:p>
    <w:p w14:paraId="21132A83"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7752AA3F" w14:textId="77777777" w:rsidR="004740A8" w:rsidRDefault="007C0112">
      <w:pPr>
        <w:pBdr>
          <w:top w:val="nil"/>
          <w:left w:val="nil"/>
          <w:bottom w:val="nil"/>
          <w:right w:val="nil"/>
          <w:between w:val="nil"/>
        </w:pBd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i/>
          <w:sz w:val="20"/>
          <w:szCs w:val="20"/>
        </w:rPr>
        <w:t>Closing Date</w:t>
      </w:r>
      <w:r>
        <w:rPr>
          <w:rFonts w:ascii="Times New Roman" w:eastAsia="Times New Roman" w:hAnsi="Times New Roman" w:cs="Times New Roman"/>
          <w:sz w:val="20"/>
          <w:szCs w:val="20"/>
        </w:rPr>
        <w:t>” shall mean the Closing Date as defined in the Purchase Agreement.</w:t>
      </w:r>
    </w:p>
    <w:p w14:paraId="395A17BE"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lastRenderedPageBreak/>
        <w:t> </w:t>
      </w:r>
    </w:p>
    <w:p w14:paraId="504D9A61" w14:textId="77777777" w:rsidR="004740A8" w:rsidRDefault="007C0112">
      <w:pPr>
        <w:pBdr>
          <w:top w:val="nil"/>
          <w:left w:val="nil"/>
          <w:bottom w:val="nil"/>
          <w:right w:val="nil"/>
          <w:between w:val="nil"/>
        </w:pBd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i/>
          <w:sz w:val="20"/>
          <w:szCs w:val="20"/>
        </w:rPr>
        <w:t>Company</w:t>
      </w:r>
      <w:r>
        <w:rPr>
          <w:rFonts w:ascii="Times New Roman" w:eastAsia="Times New Roman" w:hAnsi="Times New Roman" w:cs="Times New Roman"/>
          <w:sz w:val="20"/>
          <w:szCs w:val="20"/>
        </w:rPr>
        <w:t>” s</w:t>
      </w:r>
      <w:r>
        <w:rPr>
          <w:rFonts w:ascii="Times New Roman" w:eastAsia="Times New Roman" w:hAnsi="Times New Roman" w:cs="Times New Roman"/>
          <w:sz w:val="20"/>
          <w:szCs w:val="20"/>
        </w:rPr>
        <w:t>hall have the meaning set forth in the preamble.</w:t>
      </w:r>
    </w:p>
    <w:p w14:paraId="4C286A95"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458DACD2" w14:textId="77777777" w:rsidR="004740A8" w:rsidRDefault="007C0112">
      <w:pPr>
        <w:pBdr>
          <w:top w:val="nil"/>
          <w:left w:val="nil"/>
          <w:bottom w:val="nil"/>
          <w:right w:val="nil"/>
          <w:between w:val="nil"/>
        </w:pBd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i/>
          <w:sz w:val="20"/>
          <w:szCs w:val="20"/>
        </w:rPr>
        <w:t>Consummate</w:t>
      </w:r>
      <w:r>
        <w:rPr>
          <w:rFonts w:ascii="Times New Roman" w:eastAsia="Times New Roman" w:hAnsi="Times New Roman" w:cs="Times New Roman"/>
          <w:sz w:val="20"/>
          <w:szCs w:val="20"/>
        </w:rPr>
        <w:t>” shall mean the occurrence of (i) the filing and effectiveness under the Securities Act of the Exchange Offer Registration Statement relating to the Exchange Securities to be issued in the Exch</w:t>
      </w:r>
      <w:r>
        <w:rPr>
          <w:rFonts w:ascii="Times New Roman" w:eastAsia="Times New Roman" w:hAnsi="Times New Roman" w:cs="Times New Roman"/>
          <w:sz w:val="20"/>
          <w:szCs w:val="20"/>
        </w:rPr>
        <w:t xml:space="preserve">ange Offer, (ii) the maintenance of such Exchange Offer Registration Statement continuously effective and the keeping of the Exchange Offer open for a period not less than the minimum period required pursuant to </w:t>
      </w:r>
      <w:r>
        <w:rPr>
          <w:rFonts w:ascii="Times New Roman" w:eastAsia="Times New Roman" w:hAnsi="Times New Roman" w:cs="Times New Roman"/>
          <w:sz w:val="20"/>
          <w:szCs w:val="20"/>
          <w:u w:val="single"/>
        </w:rPr>
        <w:t>Section 2(a)</w:t>
      </w:r>
      <w:r>
        <w:rPr>
          <w:rFonts w:ascii="Times New Roman" w:eastAsia="Times New Roman" w:hAnsi="Times New Roman" w:cs="Times New Roman"/>
          <w:sz w:val="20"/>
          <w:szCs w:val="20"/>
        </w:rPr>
        <w:t xml:space="preserve"> hereof, and (iii) the delivery </w:t>
      </w:r>
      <w:r>
        <w:rPr>
          <w:rFonts w:ascii="Times New Roman" w:eastAsia="Times New Roman" w:hAnsi="Times New Roman" w:cs="Times New Roman"/>
          <w:sz w:val="20"/>
          <w:szCs w:val="20"/>
        </w:rPr>
        <w:t>by the Company to the Trustee under the Indenture of Exchange Securities in the same aggregate principal amount as the aggregate principal amount of Registrable Securities that were properly tendered by Holders thereof pursuant to the Exchange Offer.</w:t>
      </w:r>
    </w:p>
    <w:p w14:paraId="672BD432"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17786F30" w14:textId="77777777" w:rsidR="004740A8" w:rsidRDefault="007C0112">
      <w:pPr>
        <w:pBdr>
          <w:top w:val="nil"/>
          <w:left w:val="nil"/>
          <w:bottom w:val="nil"/>
          <w:right w:val="nil"/>
          <w:between w:val="nil"/>
        </w:pBd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i/>
          <w:sz w:val="20"/>
          <w:szCs w:val="20"/>
        </w:rPr>
        <w:t>Exchange Act</w:t>
      </w:r>
      <w:r>
        <w:rPr>
          <w:rFonts w:ascii="Times New Roman" w:eastAsia="Times New Roman" w:hAnsi="Times New Roman" w:cs="Times New Roman"/>
          <w:sz w:val="20"/>
          <w:szCs w:val="20"/>
        </w:rPr>
        <w:t>” shall mean the Securities Exchange Act of 1934, as amended.</w:t>
      </w:r>
    </w:p>
    <w:p w14:paraId="024E42EF"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0F6A6AAC" w14:textId="77777777" w:rsidR="004740A8" w:rsidRDefault="007C0112">
      <w:pPr>
        <w:pBdr>
          <w:top w:val="nil"/>
          <w:left w:val="nil"/>
          <w:bottom w:val="nil"/>
          <w:right w:val="nil"/>
          <w:between w:val="nil"/>
        </w:pBd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i/>
          <w:sz w:val="20"/>
          <w:szCs w:val="20"/>
        </w:rPr>
        <w:t>Exchange Dates</w:t>
      </w:r>
      <w:r>
        <w:rPr>
          <w:rFonts w:ascii="Times New Roman" w:eastAsia="Times New Roman" w:hAnsi="Times New Roman" w:cs="Times New Roman"/>
          <w:sz w:val="20"/>
          <w:szCs w:val="20"/>
        </w:rPr>
        <w:t xml:space="preserve">” shall have the meaning set forth in </w:t>
      </w:r>
      <w:r>
        <w:rPr>
          <w:rFonts w:ascii="Times New Roman" w:eastAsia="Times New Roman" w:hAnsi="Times New Roman" w:cs="Times New Roman"/>
          <w:sz w:val="20"/>
          <w:szCs w:val="20"/>
          <w:u w:val="single"/>
        </w:rPr>
        <w:t>Section 2(a)(ii)</w:t>
      </w:r>
      <w:r>
        <w:rPr>
          <w:rFonts w:ascii="Times New Roman" w:eastAsia="Times New Roman" w:hAnsi="Times New Roman" w:cs="Times New Roman"/>
          <w:sz w:val="20"/>
          <w:szCs w:val="20"/>
        </w:rPr>
        <w:t> hereof.</w:t>
      </w:r>
    </w:p>
    <w:p w14:paraId="008B0389"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701347FA" w14:textId="77777777" w:rsidR="004740A8" w:rsidRDefault="007C0112">
      <w:pPr>
        <w:pBdr>
          <w:top w:val="nil"/>
          <w:left w:val="nil"/>
          <w:bottom w:val="nil"/>
          <w:right w:val="nil"/>
          <w:between w:val="nil"/>
        </w:pBd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i/>
          <w:sz w:val="20"/>
          <w:szCs w:val="20"/>
        </w:rPr>
        <w:t>Exchange Offer</w:t>
      </w:r>
      <w:r>
        <w:rPr>
          <w:rFonts w:ascii="Times New Roman" w:eastAsia="Times New Roman" w:hAnsi="Times New Roman" w:cs="Times New Roman"/>
          <w:sz w:val="20"/>
          <w:szCs w:val="20"/>
        </w:rPr>
        <w:t>” shall mean the exchange offer by the Company and the Guarantors of Exchange Securit</w:t>
      </w:r>
      <w:r>
        <w:rPr>
          <w:rFonts w:ascii="Times New Roman" w:eastAsia="Times New Roman" w:hAnsi="Times New Roman" w:cs="Times New Roman"/>
          <w:sz w:val="20"/>
          <w:szCs w:val="20"/>
        </w:rPr>
        <w:t xml:space="preserve">ies for Registrable Securities pursuant to </w:t>
      </w:r>
      <w:r>
        <w:rPr>
          <w:rFonts w:ascii="Times New Roman" w:eastAsia="Times New Roman" w:hAnsi="Times New Roman" w:cs="Times New Roman"/>
          <w:sz w:val="20"/>
          <w:szCs w:val="20"/>
          <w:u w:val="single"/>
        </w:rPr>
        <w:t>Section 2(a)</w:t>
      </w:r>
      <w:r>
        <w:rPr>
          <w:rFonts w:ascii="Times New Roman" w:eastAsia="Times New Roman" w:hAnsi="Times New Roman" w:cs="Times New Roman"/>
          <w:sz w:val="20"/>
          <w:szCs w:val="20"/>
        </w:rPr>
        <w:t> hereof.</w:t>
      </w:r>
    </w:p>
    <w:p w14:paraId="2EBD3E47"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2D0B03EF" w14:textId="77777777" w:rsidR="004740A8" w:rsidRDefault="007C0112">
      <w:pPr>
        <w:pBdr>
          <w:top w:val="nil"/>
          <w:left w:val="nil"/>
          <w:bottom w:val="nil"/>
          <w:right w:val="nil"/>
          <w:between w:val="nil"/>
        </w:pBd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i/>
          <w:sz w:val="20"/>
          <w:szCs w:val="20"/>
        </w:rPr>
        <w:t>Exchange Offer Registration</w:t>
      </w:r>
      <w:r>
        <w:rPr>
          <w:rFonts w:ascii="Times New Roman" w:eastAsia="Times New Roman" w:hAnsi="Times New Roman" w:cs="Times New Roman"/>
          <w:sz w:val="20"/>
          <w:szCs w:val="20"/>
        </w:rPr>
        <w:t xml:space="preserve">” shall mean a registration under the Securities Act effected pursuant to </w:t>
      </w:r>
      <w:r>
        <w:rPr>
          <w:rFonts w:ascii="Times New Roman" w:eastAsia="Times New Roman" w:hAnsi="Times New Roman" w:cs="Times New Roman"/>
          <w:sz w:val="20"/>
          <w:szCs w:val="20"/>
          <w:u w:val="single"/>
        </w:rPr>
        <w:t>Section 2(a)</w:t>
      </w:r>
      <w:r>
        <w:rPr>
          <w:rFonts w:ascii="Times New Roman" w:eastAsia="Times New Roman" w:hAnsi="Times New Roman" w:cs="Times New Roman"/>
          <w:sz w:val="20"/>
          <w:szCs w:val="20"/>
        </w:rPr>
        <w:t> hereof.</w:t>
      </w:r>
    </w:p>
    <w:p w14:paraId="1AA2AF02"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6E20A8A1" w14:textId="77777777" w:rsidR="004740A8" w:rsidRDefault="007C0112">
      <w:pPr>
        <w:pBdr>
          <w:top w:val="nil"/>
          <w:left w:val="nil"/>
          <w:bottom w:val="nil"/>
          <w:right w:val="nil"/>
          <w:between w:val="nil"/>
        </w:pBd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i/>
          <w:sz w:val="20"/>
          <w:szCs w:val="20"/>
        </w:rPr>
        <w:t>Exchange Offer Registration Statement</w:t>
      </w:r>
      <w:r>
        <w:rPr>
          <w:rFonts w:ascii="Times New Roman" w:eastAsia="Times New Roman" w:hAnsi="Times New Roman" w:cs="Times New Roman"/>
          <w:sz w:val="20"/>
          <w:szCs w:val="20"/>
        </w:rPr>
        <w:t>” shall mean an exchange offer registration statement on Form S-4 (or, if applicable, on another appropriate form) and all amendments and supplements to such registration statement, in each case including the Prospectus contained therein, all exhibits ther</w:t>
      </w:r>
      <w:r>
        <w:rPr>
          <w:rFonts w:ascii="Times New Roman" w:eastAsia="Times New Roman" w:hAnsi="Times New Roman" w:cs="Times New Roman"/>
          <w:sz w:val="20"/>
          <w:szCs w:val="20"/>
        </w:rPr>
        <w:t>eto and any document incorporated by reference therein.</w:t>
      </w:r>
    </w:p>
    <w:p w14:paraId="75F21E93"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648BD16E" w14:textId="77777777" w:rsidR="004740A8" w:rsidRDefault="007C0112">
      <w:pPr>
        <w:pBdr>
          <w:top w:val="nil"/>
          <w:left w:val="nil"/>
          <w:bottom w:val="nil"/>
          <w:right w:val="nil"/>
          <w:between w:val="nil"/>
        </w:pBd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i/>
          <w:sz w:val="20"/>
          <w:szCs w:val="20"/>
        </w:rPr>
        <w:t>Exchange Offer Registration Statement Suspension Period</w:t>
      </w:r>
      <w:r>
        <w:rPr>
          <w:rFonts w:ascii="Times New Roman" w:eastAsia="Times New Roman" w:hAnsi="Times New Roman" w:cs="Times New Roman"/>
          <w:sz w:val="20"/>
          <w:szCs w:val="20"/>
        </w:rPr>
        <w:t xml:space="preserve">” shall have the meaning set forth in </w:t>
      </w:r>
      <w:r>
        <w:rPr>
          <w:rFonts w:ascii="Times New Roman" w:eastAsia="Times New Roman" w:hAnsi="Times New Roman" w:cs="Times New Roman"/>
          <w:sz w:val="20"/>
          <w:szCs w:val="20"/>
          <w:u w:val="single"/>
        </w:rPr>
        <w:t>Section 2(a)</w:t>
      </w:r>
      <w:r>
        <w:rPr>
          <w:rFonts w:ascii="Times New Roman" w:eastAsia="Times New Roman" w:hAnsi="Times New Roman" w:cs="Times New Roman"/>
          <w:sz w:val="20"/>
          <w:szCs w:val="20"/>
        </w:rPr>
        <w:t> hereof.</w:t>
      </w:r>
    </w:p>
    <w:p w14:paraId="62EE55AE"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6C59E38D" w14:textId="77777777" w:rsidR="004740A8" w:rsidRDefault="007C0112">
      <w:pPr>
        <w:pBdr>
          <w:top w:val="nil"/>
          <w:left w:val="nil"/>
          <w:bottom w:val="nil"/>
          <w:right w:val="nil"/>
          <w:between w:val="nil"/>
        </w:pBd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i/>
          <w:sz w:val="20"/>
          <w:szCs w:val="20"/>
        </w:rPr>
        <w:t>Exchange Securities</w:t>
      </w:r>
      <w:r>
        <w:rPr>
          <w:rFonts w:ascii="Times New Roman" w:eastAsia="Times New Roman" w:hAnsi="Times New Roman" w:cs="Times New Roman"/>
          <w:sz w:val="20"/>
          <w:szCs w:val="20"/>
        </w:rPr>
        <w:t>” shall mean senior notes issued by the Company and guarantee</w:t>
      </w:r>
      <w:r>
        <w:rPr>
          <w:rFonts w:ascii="Times New Roman" w:eastAsia="Times New Roman" w:hAnsi="Times New Roman" w:cs="Times New Roman"/>
          <w:sz w:val="20"/>
          <w:szCs w:val="20"/>
        </w:rPr>
        <w:t>d by the Guarantors under the Indenture containing terms substantially identical to the New Securities (except that the Exchange Securities will not be subject to restrictions on transfer or to any increase in annual interest rate for failure to comply wit</w:t>
      </w:r>
      <w:r>
        <w:rPr>
          <w:rFonts w:ascii="Times New Roman" w:eastAsia="Times New Roman" w:hAnsi="Times New Roman" w:cs="Times New Roman"/>
          <w:sz w:val="20"/>
          <w:szCs w:val="20"/>
        </w:rPr>
        <w:t>h this Agreement), and to be offered to Holders of New Securities in exchange for New Securities pursuant to the Exchange Offer.</w:t>
      </w:r>
    </w:p>
    <w:p w14:paraId="4F7B9547"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531AA4C6" w14:textId="77777777" w:rsidR="004740A8" w:rsidRDefault="007C0112">
      <w:pPr>
        <w:pBdr>
          <w:top w:val="nil"/>
          <w:left w:val="nil"/>
          <w:bottom w:val="nil"/>
          <w:right w:val="nil"/>
          <w:between w:val="nil"/>
        </w:pBd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i/>
          <w:sz w:val="20"/>
          <w:szCs w:val="20"/>
        </w:rPr>
        <w:t>Free Writing Prospectus</w:t>
      </w:r>
      <w:r>
        <w:rPr>
          <w:rFonts w:ascii="Times New Roman" w:eastAsia="Times New Roman" w:hAnsi="Times New Roman" w:cs="Times New Roman"/>
          <w:sz w:val="20"/>
          <w:szCs w:val="20"/>
        </w:rPr>
        <w:t>” means each free writing prospectus (as defined in Rule 405 under the Securities Act) prepared by or</w:t>
      </w:r>
      <w:r>
        <w:rPr>
          <w:rFonts w:ascii="Times New Roman" w:eastAsia="Times New Roman" w:hAnsi="Times New Roman" w:cs="Times New Roman"/>
          <w:sz w:val="20"/>
          <w:szCs w:val="20"/>
        </w:rPr>
        <w:t xml:space="preserve"> on behalf of the Company or used or referred to by the Company in connection with the sale of the New Securities or Exchange Securities.</w:t>
      </w:r>
    </w:p>
    <w:p w14:paraId="403033EB"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14449F1B" w14:textId="77777777" w:rsidR="004740A8" w:rsidRDefault="007C0112">
      <w:pPr>
        <w:pBdr>
          <w:top w:val="nil"/>
          <w:left w:val="nil"/>
          <w:bottom w:val="nil"/>
          <w:right w:val="nil"/>
          <w:between w:val="nil"/>
        </w:pBd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i/>
          <w:sz w:val="20"/>
          <w:szCs w:val="20"/>
        </w:rPr>
        <w:t>Guarantors</w:t>
      </w:r>
      <w:r>
        <w:rPr>
          <w:rFonts w:ascii="Times New Roman" w:eastAsia="Times New Roman" w:hAnsi="Times New Roman" w:cs="Times New Roman"/>
          <w:sz w:val="20"/>
          <w:szCs w:val="20"/>
        </w:rPr>
        <w:t xml:space="preserve">” shall have the meaning set forth in the preamble and shall also include any Guarantor’s successors and </w:t>
      </w:r>
      <w:r>
        <w:rPr>
          <w:rFonts w:ascii="Times New Roman" w:eastAsia="Times New Roman" w:hAnsi="Times New Roman" w:cs="Times New Roman"/>
          <w:sz w:val="20"/>
          <w:szCs w:val="20"/>
        </w:rPr>
        <w:t>any Additional Guarantors.</w:t>
      </w:r>
    </w:p>
    <w:p w14:paraId="27989565"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23A7FB37" w14:textId="77777777" w:rsidR="004740A8" w:rsidRDefault="004740A8" w:rsidP="007C0112">
      <w:pPr>
        <w:pBdr>
          <w:top w:val="nil"/>
          <w:left w:val="nil"/>
          <w:bottom w:val="nil"/>
          <w:right w:val="nil"/>
          <w:between w:val="nil"/>
        </w:pBdr>
        <w:contextualSpacing w:val="0"/>
        <w:rPr>
          <w:rFonts w:ascii="Times New Roman" w:eastAsia="Times New Roman" w:hAnsi="Times New Roman" w:cs="Times New Roman" w:hint="eastAsia"/>
          <w:sz w:val="20"/>
          <w:szCs w:val="20"/>
          <w:lang w:eastAsia="zh-CN"/>
        </w:rPr>
      </w:pPr>
      <w:bookmarkStart w:id="1" w:name="30j0zll" w:colFirst="0" w:colLast="0"/>
      <w:bookmarkEnd w:id="1"/>
    </w:p>
    <w:p w14:paraId="7E5D374E" w14:textId="77777777" w:rsidR="004740A8" w:rsidRDefault="004740A8">
      <w:pPr>
        <w:pBdr>
          <w:top w:val="nil"/>
          <w:left w:val="nil"/>
          <w:bottom w:val="nil"/>
          <w:right w:val="nil"/>
          <w:between w:val="nil"/>
        </w:pBdr>
        <w:contextualSpacing w:val="0"/>
        <w:rPr>
          <w:rFonts w:ascii="Times New Roman" w:eastAsia="Times New Roman" w:hAnsi="Times New Roman" w:cs="Times New Roman"/>
          <w:sz w:val="20"/>
          <w:szCs w:val="20"/>
        </w:rPr>
      </w:pPr>
    </w:p>
    <w:p w14:paraId="591FB2BB"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30189277" w14:textId="77777777" w:rsidR="004740A8" w:rsidRDefault="007C0112">
      <w:pPr>
        <w:pBdr>
          <w:top w:val="nil"/>
          <w:left w:val="nil"/>
          <w:bottom w:val="nil"/>
          <w:right w:val="nil"/>
          <w:between w:val="nil"/>
        </w:pBd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i/>
          <w:sz w:val="20"/>
          <w:szCs w:val="20"/>
        </w:rPr>
        <w:t>Holders</w:t>
      </w:r>
      <w:r>
        <w:rPr>
          <w:rFonts w:ascii="Times New Roman" w:eastAsia="Times New Roman" w:hAnsi="Times New Roman" w:cs="Times New Roman"/>
          <w:sz w:val="20"/>
          <w:szCs w:val="20"/>
        </w:rPr>
        <w:t xml:space="preserve">” shall mean the Initial Purchaser, for so long as it owns any Registrable Securities, and each of its successors, assigns and direct and indirect transferees who become owners of Registrable Securities under the Indenture; provided that for purposes of </w:t>
      </w:r>
      <w:r>
        <w:rPr>
          <w:rFonts w:ascii="Times New Roman" w:eastAsia="Times New Roman" w:hAnsi="Times New Roman" w:cs="Times New Roman"/>
          <w:sz w:val="20"/>
          <w:szCs w:val="20"/>
          <w:u w:val="single"/>
        </w:rPr>
        <w:t>Se</w:t>
      </w:r>
      <w:r>
        <w:rPr>
          <w:rFonts w:ascii="Times New Roman" w:eastAsia="Times New Roman" w:hAnsi="Times New Roman" w:cs="Times New Roman"/>
          <w:sz w:val="20"/>
          <w:szCs w:val="20"/>
          <w:u w:val="single"/>
        </w:rPr>
        <w:t>ctions 4</w:t>
      </w:r>
      <w:r>
        <w:rPr>
          <w:rFonts w:ascii="Times New Roman" w:eastAsia="Times New Roman" w:hAnsi="Times New Roman" w:cs="Times New Roman"/>
          <w:sz w:val="20"/>
          <w:szCs w:val="20"/>
        </w:rPr>
        <w:t xml:space="preserve"> and </w:t>
      </w:r>
      <w:r>
        <w:rPr>
          <w:rFonts w:ascii="Times New Roman" w:eastAsia="Times New Roman" w:hAnsi="Times New Roman" w:cs="Times New Roman"/>
          <w:sz w:val="20"/>
          <w:szCs w:val="20"/>
          <w:u w:val="single"/>
        </w:rPr>
        <w:t>5</w:t>
      </w:r>
      <w:r>
        <w:rPr>
          <w:rFonts w:ascii="Times New Roman" w:eastAsia="Times New Roman" w:hAnsi="Times New Roman" w:cs="Times New Roman"/>
          <w:sz w:val="20"/>
          <w:szCs w:val="20"/>
        </w:rPr>
        <w:t xml:space="preserve"> of this Agreement, the term “Holders” shall include Participating Broker-Dealers.</w:t>
      </w:r>
    </w:p>
    <w:p w14:paraId="39B7B39A"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5771E2A7" w14:textId="77777777" w:rsidR="004740A8" w:rsidRDefault="007C0112">
      <w:pPr>
        <w:pBdr>
          <w:top w:val="nil"/>
          <w:left w:val="nil"/>
          <w:bottom w:val="nil"/>
          <w:right w:val="nil"/>
          <w:between w:val="nil"/>
        </w:pBd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i/>
          <w:sz w:val="20"/>
          <w:szCs w:val="20"/>
        </w:rPr>
        <w:t>Indemnified Person</w:t>
      </w:r>
      <w:r>
        <w:rPr>
          <w:rFonts w:ascii="Times New Roman" w:eastAsia="Times New Roman" w:hAnsi="Times New Roman" w:cs="Times New Roman"/>
          <w:sz w:val="20"/>
          <w:szCs w:val="20"/>
        </w:rPr>
        <w:t xml:space="preserve">” shall have the meaning set forth in </w:t>
      </w:r>
      <w:r>
        <w:rPr>
          <w:rFonts w:ascii="Times New Roman" w:eastAsia="Times New Roman" w:hAnsi="Times New Roman" w:cs="Times New Roman"/>
          <w:sz w:val="20"/>
          <w:szCs w:val="20"/>
          <w:u w:val="single"/>
        </w:rPr>
        <w:t>Section 5(c)</w:t>
      </w:r>
      <w:r>
        <w:rPr>
          <w:rFonts w:ascii="Times New Roman" w:eastAsia="Times New Roman" w:hAnsi="Times New Roman" w:cs="Times New Roman"/>
          <w:sz w:val="20"/>
          <w:szCs w:val="20"/>
        </w:rPr>
        <w:t> hereof.</w:t>
      </w:r>
    </w:p>
    <w:p w14:paraId="4710F3FD"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706D0A26" w14:textId="77777777" w:rsidR="004740A8" w:rsidRDefault="007C0112">
      <w:pPr>
        <w:pBdr>
          <w:top w:val="nil"/>
          <w:left w:val="nil"/>
          <w:bottom w:val="nil"/>
          <w:right w:val="nil"/>
          <w:between w:val="nil"/>
        </w:pBd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i/>
          <w:sz w:val="20"/>
          <w:szCs w:val="20"/>
        </w:rPr>
        <w:t>Indemnifying Person</w:t>
      </w:r>
      <w:r>
        <w:rPr>
          <w:rFonts w:ascii="Times New Roman" w:eastAsia="Times New Roman" w:hAnsi="Times New Roman" w:cs="Times New Roman"/>
          <w:sz w:val="20"/>
          <w:szCs w:val="20"/>
        </w:rPr>
        <w:t xml:space="preserve">” shall have the meaning set forth in </w:t>
      </w:r>
      <w:r>
        <w:rPr>
          <w:rFonts w:ascii="Times New Roman" w:eastAsia="Times New Roman" w:hAnsi="Times New Roman" w:cs="Times New Roman"/>
          <w:sz w:val="20"/>
          <w:szCs w:val="20"/>
          <w:u w:val="single"/>
        </w:rPr>
        <w:t>Section 5(c)</w:t>
      </w:r>
      <w:r>
        <w:rPr>
          <w:rFonts w:ascii="Times New Roman" w:eastAsia="Times New Roman" w:hAnsi="Times New Roman" w:cs="Times New Roman"/>
          <w:sz w:val="20"/>
          <w:szCs w:val="20"/>
        </w:rPr>
        <w:t> hereof</w:t>
      </w:r>
      <w:r>
        <w:rPr>
          <w:rFonts w:ascii="Times New Roman" w:eastAsia="Times New Roman" w:hAnsi="Times New Roman" w:cs="Times New Roman"/>
          <w:sz w:val="20"/>
          <w:szCs w:val="20"/>
        </w:rPr>
        <w:t>.</w:t>
      </w:r>
    </w:p>
    <w:p w14:paraId="222B3A75"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6F6E6EA5" w14:textId="77777777" w:rsidR="004740A8" w:rsidRDefault="007C0112">
      <w:pPr>
        <w:pBdr>
          <w:top w:val="nil"/>
          <w:left w:val="nil"/>
          <w:bottom w:val="nil"/>
          <w:right w:val="nil"/>
          <w:between w:val="nil"/>
        </w:pBd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w:t>
      </w:r>
      <w:r>
        <w:rPr>
          <w:rFonts w:ascii="Times New Roman" w:eastAsia="Times New Roman" w:hAnsi="Times New Roman" w:cs="Times New Roman"/>
          <w:i/>
          <w:sz w:val="20"/>
          <w:szCs w:val="20"/>
        </w:rPr>
        <w:t>Indenture</w:t>
      </w:r>
      <w:r>
        <w:rPr>
          <w:rFonts w:ascii="Times New Roman" w:eastAsia="Times New Roman" w:hAnsi="Times New Roman" w:cs="Times New Roman"/>
          <w:sz w:val="20"/>
          <w:szCs w:val="20"/>
        </w:rPr>
        <w:t>” shall mean the Indenture relating to the Securities dated as of February 1, 2017, among the Company, the Guarantors and U.S. Bank National Association, as trustee, as supplemented by that certain First Supplemental Indenture, dated as of Ju</w:t>
      </w:r>
      <w:r>
        <w:rPr>
          <w:rFonts w:ascii="Times New Roman" w:eastAsia="Times New Roman" w:hAnsi="Times New Roman" w:cs="Times New Roman"/>
          <w:sz w:val="20"/>
          <w:szCs w:val="20"/>
        </w:rPr>
        <w:t>ne 30, 2017, and Second Supplemental Indenture, dated January 8, 2018, and as the same may be amended or supplemented from time to time in accordance with the terms thereof.</w:t>
      </w:r>
    </w:p>
    <w:p w14:paraId="7A97AF77"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28336E6E" w14:textId="77777777" w:rsidR="004740A8" w:rsidRDefault="007C0112">
      <w:pPr>
        <w:pBdr>
          <w:top w:val="nil"/>
          <w:left w:val="nil"/>
          <w:bottom w:val="nil"/>
          <w:right w:val="nil"/>
          <w:between w:val="nil"/>
        </w:pBd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i/>
          <w:sz w:val="20"/>
          <w:szCs w:val="20"/>
        </w:rPr>
        <w:t>Initial Purchaser</w:t>
      </w:r>
      <w:r>
        <w:rPr>
          <w:rFonts w:ascii="Times New Roman" w:eastAsia="Times New Roman" w:hAnsi="Times New Roman" w:cs="Times New Roman"/>
          <w:sz w:val="20"/>
          <w:szCs w:val="20"/>
        </w:rPr>
        <w:t>” shall have the meaning set forth in the preamble.</w:t>
      </w:r>
    </w:p>
    <w:p w14:paraId="582031B9"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66207626" w14:textId="77777777" w:rsidR="004740A8" w:rsidRDefault="007C0112">
      <w:pPr>
        <w:pBdr>
          <w:top w:val="nil"/>
          <w:left w:val="nil"/>
          <w:bottom w:val="nil"/>
          <w:right w:val="nil"/>
          <w:between w:val="nil"/>
        </w:pBd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i/>
          <w:sz w:val="20"/>
          <w:szCs w:val="20"/>
        </w:rPr>
        <w:t>Initial Securities</w:t>
      </w:r>
      <w:r>
        <w:rPr>
          <w:rFonts w:ascii="Times New Roman" w:eastAsia="Times New Roman" w:hAnsi="Times New Roman" w:cs="Times New Roman"/>
          <w:sz w:val="20"/>
          <w:szCs w:val="20"/>
        </w:rPr>
        <w:t>” shall have the meaning set forth in the preamble.</w:t>
      </w:r>
    </w:p>
    <w:p w14:paraId="066177E2"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6440D80A" w14:textId="77777777" w:rsidR="004740A8" w:rsidRDefault="007C0112">
      <w:pPr>
        <w:pBdr>
          <w:top w:val="nil"/>
          <w:left w:val="nil"/>
          <w:bottom w:val="nil"/>
          <w:right w:val="nil"/>
          <w:between w:val="nil"/>
        </w:pBd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i/>
          <w:sz w:val="20"/>
          <w:szCs w:val="20"/>
        </w:rPr>
        <w:t>Inspector</w:t>
      </w:r>
      <w:r>
        <w:rPr>
          <w:rFonts w:ascii="Times New Roman" w:eastAsia="Times New Roman" w:hAnsi="Times New Roman" w:cs="Times New Roman"/>
          <w:sz w:val="20"/>
          <w:szCs w:val="20"/>
        </w:rPr>
        <w:t xml:space="preserve">” shall have the meaning set forth in </w:t>
      </w:r>
      <w:r>
        <w:rPr>
          <w:rFonts w:ascii="Times New Roman" w:eastAsia="Times New Roman" w:hAnsi="Times New Roman" w:cs="Times New Roman"/>
          <w:sz w:val="20"/>
          <w:szCs w:val="20"/>
          <w:u w:val="single"/>
        </w:rPr>
        <w:t>Section 3(m)</w:t>
      </w:r>
      <w:r>
        <w:rPr>
          <w:rFonts w:ascii="Times New Roman" w:eastAsia="Times New Roman" w:hAnsi="Times New Roman" w:cs="Times New Roman"/>
          <w:sz w:val="20"/>
          <w:szCs w:val="20"/>
        </w:rPr>
        <w:t> hereof.</w:t>
      </w:r>
    </w:p>
    <w:p w14:paraId="26ACE7A7"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523FBA59" w14:textId="77777777" w:rsidR="004740A8" w:rsidRDefault="007C0112">
      <w:pPr>
        <w:pBdr>
          <w:top w:val="nil"/>
          <w:left w:val="nil"/>
          <w:bottom w:val="nil"/>
          <w:right w:val="nil"/>
          <w:between w:val="nil"/>
        </w:pBd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i/>
          <w:sz w:val="20"/>
          <w:szCs w:val="20"/>
        </w:rPr>
        <w:t>Issuer Information</w:t>
      </w:r>
      <w:r>
        <w:rPr>
          <w:rFonts w:ascii="Times New Roman" w:eastAsia="Times New Roman" w:hAnsi="Times New Roman" w:cs="Times New Roman"/>
          <w:sz w:val="20"/>
          <w:szCs w:val="20"/>
        </w:rPr>
        <w:t xml:space="preserve">” shall have the meaning set forth in </w:t>
      </w:r>
      <w:r>
        <w:rPr>
          <w:rFonts w:ascii="Times New Roman" w:eastAsia="Times New Roman" w:hAnsi="Times New Roman" w:cs="Times New Roman"/>
          <w:sz w:val="20"/>
          <w:szCs w:val="20"/>
          <w:u w:val="single"/>
        </w:rPr>
        <w:t>Section 5(a)</w:t>
      </w:r>
      <w:r>
        <w:rPr>
          <w:rFonts w:ascii="Times New Roman" w:eastAsia="Times New Roman" w:hAnsi="Times New Roman" w:cs="Times New Roman"/>
          <w:sz w:val="20"/>
          <w:szCs w:val="20"/>
        </w:rPr>
        <w:t> hereof.</w:t>
      </w:r>
    </w:p>
    <w:p w14:paraId="71DCC983"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3E2B96FC" w14:textId="77777777" w:rsidR="004740A8" w:rsidRDefault="007C0112">
      <w:pPr>
        <w:pBdr>
          <w:top w:val="nil"/>
          <w:left w:val="nil"/>
          <w:bottom w:val="nil"/>
          <w:right w:val="nil"/>
          <w:between w:val="nil"/>
        </w:pBd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i/>
          <w:sz w:val="20"/>
          <w:szCs w:val="20"/>
        </w:rPr>
        <w:t>Majority Holders</w:t>
      </w:r>
      <w:r>
        <w:rPr>
          <w:rFonts w:ascii="Times New Roman" w:eastAsia="Times New Roman" w:hAnsi="Times New Roman" w:cs="Times New Roman"/>
          <w:sz w:val="20"/>
          <w:szCs w:val="20"/>
        </w:rPr>
        <w:t>” shall mean the Holders of a majority of the aggregate principal amount of outstanding Registrable Securities; provided that whenever the consent or approval of Holders of a specified percentage of Registrable Securities is required hereunder, Registrable</w:t>
      </w:r>
      <w:r>
        <w:rPr>
          <w:rFonts w:ascii="Times New Roman" w:eastAsia="Times New Roman" w:hAnsi="Times New Roman" w:cs="Times New Roman"/>
          <w:sz w:val="20"/>
          <w:szCs w:val="20"/>
        </w:rPr>
        <w:t xml:space="preserve"> Securities owned directly or indirectly by the Company or any of its affiliates shall not be counted in determining whether such consent or approval was given by the Holders of such required percentage or amount; and provided, further, that if the Company</w:t>
      </w:r>
      <w:r>
        <w:rPr>
          <w:rFonts w:ascii="Times New Roman" w:eastAsia="Times New Roman" w:hAnsi="Times New Roman" w:cs="Times New Roman"/>
          <w:sz w:val="20"/>
          <w:szCs w:val="20"/>
        </w:rPr>
        <w:t xml:space="preserve"> shall issue any additional Securities under the Indenture prior to the consummation of the Exchange Offer, or, if applicable, the effectiveness of any Shelf Registration Statement, such additional Securities and Registrable Securities to which this Agreem</w:t>
      </w:r>
      <w:r>
        <w:rPr>
          <w:rFonts w:ascii="Times New Roman" w:eastAsia="Times New Roman" w:hAnsi="Times New Roman" w:cs="Times New Roman"/>
          <w:sz w:val="20"/>
          <w:szCs w:val="20"/>
        </w:rPr>
        <w:t>ent relates shall be treated together as one class for purposes of determining whether the consent or approval of Holders of a specified percentage of Registrable Securities has been obtained.</w:t>
      </w:r>
    </w:p>
    <w:p w14:paraId="294C06B5"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64AA1A54" w14:textId="77777777" w:rsidR="004740A8" w:rsidRDefault="007C0112">
      <w:pPr>
        <w:pBdr>
          <w:top w:val="nil"/>
          <w:left w:val="nil"/>
          <w:bottom w:val="nil"/>
          <w:right w:val="nil"/>
          <w:between w:val="nil"/>
        </w:pBd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i/>
          <w:sz w:val="20"/>
          <w:szCs w:val="20"/>
        </w:rPr>
        <w:t>New Securities</w:t>
      </w:r>
      <w:r>
        <w:rPr>
          <w:rFonts w:ascii="Times New Roman" w:eastAsia="Times New Roman" w:hAnsi="Times New Roman" w:cs="Times New Roman"/>
          <w:sz w:val="20"/>
          <w:szCs w:val="20"/>
        </w:rPr>
        <w:t>” shall have the meaning set forth in the prea</w:t>
      </w:r>
      <w:r>
        <w:rPr>
          <w:rFonts w:ascii="Times New Roman" w:eastAsia="Times New Roman" w:hAnsi="Times New Roman" w:cs="Times New Roman"/>
          <w:sz w:val="20"/>
          <w:szCs w:val="20"/>
        </w:rPr>
        <w:t>mble.</w:t>
      </w:r>
    </w:p>
    <w:p w14:paraId="6CC0FAC7"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4261A492" w14:textId="77777777" w:rsidR="004740A8" w:rsidRDefault="007C0112">
      <w:pPr>
        <w:pBdr>
          <w:top w:val="nil"/>
          <w:left w:val="nil"/>
          <w:bottom w:val="nil"/>
          <w:right w:val="nil"/>
          <w:between w:val="nil"/>
        </w:pBd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i/>
          <w:sz w:val="20"/>
          <w:szCs w:val="20"/>
        </w:rPr>
        <w:t>Participating Broker-Dealers</w:t>
      </w:r>
      <w:r>
        <w:rPr>
          <w:rFonts w:ascii="Times New Roman" w:eastAsia="Times New Roman" w:hAnsi="Times New Roman" w:cs="Times New Roman"/>
          <w:sz w:val="20"/>
          <w:szCs w:val="20"/>
        </w:rPr>
        <w:t xml:space="preserve">” shall have the meaning set forth in </w:t>
      </w:r>
      <w:r>
        <w:rPr>
          <w:rFonts w:ascii="Times New Roman" w:eastAsia="Times New Roman" w:hAnsi="Times New Roman" w:cs="Times New Roman"/>
          <w:sz w:val="20"/>
          <w:szCs w:val="20"/>
          <w:u w:val="single"/>
        </w:rPr>
        <w:t>Section 4(a)</w:t>
      </w:r>
      <w:r>
        <w:rPr>
          <w:rFonts w:ascii="Times New Roman" w:eastAsia="Times New Roman" w:hAnsi="Times New Roman" w:cs="Times New Roman"/>
          <w:sz w:val="20"/>
          <w:szCs w:val="20"/>
        </w:rPr>
        <w:t> hereof.</w:t>
      </w:r>
    </w:p>
    <w:p w14:paraId="36F34DAE"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2EF7E17B" w14:textId="77777777" w:rsidR="004740A8" w:rsidRDefault="007C0112">
      <w:pPr>
        <w:pBdr>
          <w:top w:val="nil"/>
          <w:left w:val="nil"/>
          <w:bottom w:val="nil"/>
          <w:right w:val="nil"/>
          <w:between w:val="nil"/>
        </w:pBd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i/>
          <w:sz w:val="20"/>
          <w:szCs w:val="20"/>
        </w:rPr>
        <w:t>Person</w:t>
      </w:r>
      <w:r>
        <w:rPr>
          <w:rFonts w:ascii="Times New Roman" w:eastAsia="Times New Roman" w:hAnsi="Times New Roman" w:cs="Times New Roman"/>
          <w:sz w:val="20"/>
          <w:szCs w:val="20"/>
        </w:rPr>
        <w:t>” shall mean an individual, partnership, limited liability company, corporation, trust or unincorporated organization, or a government or agency or pol</w:t>
      </w:r>
      <w:r>
        <w:rPr>
          <w:rFonts w:ascii="Times New Roman" w:eastAsia="Times New Roman" w:hAnsi="Times New Roman" w:cs="Times New Roman"/>
          <w:sz w:val="20"/>
          <w:szCs w:val="20"/>
        </w:rPr>
        <w:t>itical subdivision thereof.</w:t>
      </w:r>
    </w:p>
    <w:p w14:paraId="7691FA48"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593B8AC0" w14:textId="77777777" w:rsidR="004740A8" w:rsidRPr="007C0112" w:rsidRDefault="007C0112" w:rsidP="007C0112">
      <w:pPr>
        <w:pBdr>
          <w:top w:val="nil"/>
          <w:left w:val="nil"/>
          <w:bottom w:val="nil"/>
          <w:right w:val="nil"/>
          <w:between w:val="nil"/>
        </w:pBdr>
        <w:ind w:firstLine="720"/>
        <w:contextualSpacing w:val="0"/>
        <w:rPr>
          <w:rFonts w:ascii="Times New Roman" w:eastAsia="Times New Roman" w:hAnsi="Times New Roman" w:cs="Times New Roman"/>
        </w:rPr>
      </w:pPr>
      <w:r>
        <w:rPr>
          <w:rFonts w:ascii="Times New Roman" w:eastAsia="Times New Roman" w:hAnsi="Times New Roman" w:cs="Times New Roman"/>
          <w:sz w:val="20"/>
          <w:szCs w:val="20"/>
        </w:rPr>
        <w:t>“</w:t>
      </w:r>
      <w:r>
        <w:rPr>
          <w:rFonts w:ascii="Times New Roman" w:eastAsia="Times New Roman" w:hAnsi="Times New Roman" w:cs="Times New Roman"/>
          <w:i/>
          <w:sz w:val="20"/>
          <w:szCs w:val="20"/>
        </w:rPr>
        <w:t>Prospectus</w:t>
      </w:r>
      <w:r>
        <w:rPr>
          <w:rFonts w:ascii="Times New Roman" w:eastAsia="Times New Roman" w:hAnsi="Times New Roman" w:cs="Times New Roman"/>
          <w:sz w:val="20"/>
          <w:szCs w:val="20"/>
        </w:rPr>
        <w:t xml:space="preserve">” shall mean the prospectus included in, or, pursuant to the rules and regulations of the Securities Act, deemed a part of, a Registration Statement, including any preliminary prospectus, and any such prospectus as </w:t>
      </w:r>
      <w:r>
        <w:rPr>
          <w:rFonts w:ascii="Times New Roman" w:eastAsia="Times New Roman" w:hAnsi="Times New Roman" w:cs="Times New Roman"/>
          <w:sz w:val="20"/>
          <w:szCs w:val="20"/>
        </w:rPr>
        <w:t>amended or supplemented by any prospectus supplement, including a prospectus supplement with respect to the terms of the offering of any portion of the Registrable Securities covered by a Shelf Registration Statement, and by all other</w:t>
      </w:r>
      <w:r>
        <w:rPr>
          <w:rFonts w:ascii="Times New Roman" w:eastAsia="Times New Roman" w:hAnsi="Times New Roman" w:cs="Times New Roman" w:hint="eastAsia"/>
          <w:lang w:eastAsia="zh-CN"/>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z w:val="20"/>
          <w:szCs w:val="20"/>
        </w:rPr>
        <w:t>mendments and supplements to such prospectus, and in each case including any document incorporated by reference therein.</w:t>
      </w:r>
    </w:p>
    <w:p w14:paraId="5C46C57C"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221308CE" w14:textId="77777777" w:rsidR="004740A8" w:rsidRDefault="007C0112">
      <w:pPr>
        <w:pBdr>
          <w:top w:val="nil"/>
          <w:left w:val="nil"/>
          <w:bottom w:val="nil"/>
          <w:right w:val="nil"/>
          <w:between w:val="nil"/>
        </w:pBd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i/>
          <w:sz w:val="20"/>
          <w:szCs w:val="20"/>
        </w:rPr>
        <w:t>Purchase Agreement</w:t>
      </w:r>
      <w:r>
        <w:rPr>
          <w:rFonts w:ascii="Times New Roman" w:eastAsia="Times New Roman" w:hAnsi="Times New Roman" w:cs="Times New Roman"/>
          <w:sz w:val="20"/>
          <w:szCs w:val="20"/>
        </w:rPr>
        <w:t>” shall have the meaning set forth in the preamble.</w:t>
      </w:r>
    </w:p>
    <w:p w14:paraId="4F4589BF"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39C24618" w14:textId="77777777" w:rsidR="004740A8" w:rsidRDefault="007C0112">
      <w:pPr>
        <w:pBdr>
          <w:top w:val="nil"/>
          <w:left w:val="nil"/>
          <w:bottom w:val="nil"/>
          <w:right w:val="nil"/>
          <w:between w:val="nil"/>
        </w:pBd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i/>
          <w:sz w:val="20"/>
          <w:szCs w:val="20"/>
        </w:rPr>
        <w:t>Registered Initial Securities</w:t>
      </w:r>
      <w:r>
        <w:rPr>
          <w:rFonts w:ascii="Times New Roman" w:eastAsia="Times New Roman" w:hAnsi="Times New Roman" w:cs="Times New Roman"/>
          <w:sz w:val="20"/>
          <w:szCs w:val="20"/>
        </w:rPr>
        <w:t xml:space="preserve">” shall have the meaning set </w:t>
      </w:r>
      <w:r>
        <w:rPr>
          <w:rFonts w:ascii="Times New Roman" w:eastAsia="Times New Roman" w:hAnsi="Times New Roman" w:cs="Times New Roman"/>
          <w:sz w:val="20"/>
          <w:szCs w:val="20"/>
        </w:rPr>
        <w:t>forth in the preamble.</w:t>
      </w:r>
    </w:p>
    <w:p w14:paraId="6D07DB29"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616FA8EE" w14:textId="77777777" w:rsidR="004740A8" w:rsidRDefault="007C0112">
      <w:pPr>
        <w:pBdr>
          <w:top w:val="nil"/>
          <w:left w:val="nil"/>
          <w:bottom w:val="nil"/>
          <w:right w:val="nil"/>
          <w:between w:val="nil"/>
        </w:pBd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i/>
          <w:sz w:val="20"/>
          <w:szCs w:val="20"/>
        </w:rPr>
        <w:t>Registrable Securities</w:t>
      </w:r>
      <w:r>
        <w:rPr>
          <w:rFonts w:ascii="Times New Roman" w:eastAsia="Times New Roman" w:hAnsi="Times New Roman" w:cs="Times New Roman"/>
          <w:sz w:val="20"/>
          <w:szCs w:val="20"/>
        </w:rPr>
        <w:t xml:space="preserve">” shall mean the New Securities; provided that a New Security shall cease to be a Registrable Security on the earliest of (i) when a Registration Statement with respect to such New Security has been declared effective under the Securities Act and such New </w:t>
      </w:r>
      <w:r>
        <w:rPr>
          <w:rFonts w:ascii="Times New Roman" w:eastAsia="Times New Roman" w:hAnsi="Times New Roman" w:cs="Times New Roman"/>
          <w:sz w:val="20"/>
          <w:szCs w:val="20"/>
        </w:rPr>
        <w:t>Security has been exchanged or disposed of pursuant to such Registration Statement or (ii) when such New Security ceases to be outstanding.</w:t>
      </w:r>
    </w:p>
    <w:p w14:paraId="13B0A82D"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7B308788" w14:textId="77777777" w:rsidR="004740A8" w:rsidRDefault="007C0112">
      <w:pPr>
        <w:pBdr>
          <w:top w:val="nil"/>
          <w:left w:val="nil"/>
          <w:bottom w:val="nil"/>
          <w:right w:val="nil"/>
          <w:between w:val="nil"/>
        </w:pBd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i/>
          <w:sz w:val="20"/>
          <w:szCs w:val="20"/>
        </w:rPr>
        <w:t>Registration Expenses</w:t>
      </w:r>
      <w:r>
        <w:rPr>
          <w:rFonts w:ascii="Times New Roman" w:eastAsia="Times New Roman" w:hAnsi="Times New Roman" w:cs="Times New Roman"/>
          <w:sz w:val="20"/>
          <w:szCs w:val="20"/>
        </w:rPr>
        <w:t>” shall mean any and all expenses incident to performance of or compliance by the Company an</w:t>
      </w:r>
      <w:r>
        <w:rPr>
          <w:rFonts w:ascii="Times New Roman" w:eastAsia="Times New Roman" w:hAnsi="Times New Roman" w:cs="Times New Roman"/>
          <w:sz w:val="20"/>
          <w:szCs w:val="20"/>
        </w:rPr>
        <w:t>d the Guarantors with this Agreement, including, without limitation, (i) all SEC, stock exchange or Financial Industry Regulatory Authority registration and filing fees (and, if applicable, the fees and expenses of any “qualified independent underwriter” a</w:t>
      </w:r>
      <w:r>
        <w:rPr>
          <w:rFonts w:ascii="Times New Roman" w:eastAsia="Times New Roman" w:hAnsi="Times New Roman" w:cs="Times New Roman"/>
          <w:sz w:val="20"/>
          <w:szCs w:val="20"/>
        </w:rPr>
        <w:t>nd its counsel that may be required by the rules and regulations of the Financial Industry Regulatory Authority), (ii) all fees and expenses incurred in connection with compliance with state securities or blue sky laws (including reasonable fees and disbur</w:t>
      </w:r>
      <w:r>
        <w:rPr>
          <w:rFonts w:ascii="Times New Roman" w:eastAsia="Times New Roman" w:hAnsi="Times New Roman" w:cs="Times New Roman"/>
          <w:sz w:val="20"/>
          <w:szCs w:val="20"/>
        </w:rPr>
        <w:t>sements of counsel for any Underwriters or Holders in connection with blue sky qualification of any Exchange Securities or Registrable Securities), (iii) all expenses of any Persons in preparing or assisting in preparing, word processing, printing and dist</w:t>
      </w:r>
      <w:r>
        <w:rPr>
          <w:rFonts w:ascii="Times New Roman" w:eastAsia="Times New Roman" w:hAnsi="Times New Roman" w:cs="Times New Roman"/>
          <w:sz w:val="20"/>
          <w:szCs w:val="20"/>
        </w:rPr>
        <w:t xml:space="preserve">ributing any Registration Statement, any Prospectus and any amendments or supplements thereto, any underwriting agreements, </w:t>
      </w:r>
      <w:r>
        <w:rPr>
          <w:rFonts w:ascii="Times New Roman" w:eastAsia="Times New Roman" w:hAnsi="Times New Roman" w:cs="Times New Roman"/>
          <w:sz w:val="20"/>
          <w:szCs w:val="20"/>
        </w:rPr>
        <w:lastRenderedPageBreak/>
        <w:t>securities sales agreements or other similar agreements and any other documents relating to the performance of and compliance with t</w:t>
      </w:r>
      <w:r>
        <w:rPr>
          <w:rFonts w:ascii="Times New Roman" w:eastAsia="Times New Roman" w:hAnsi="Times New Roman" w:cs="Times New Roman"/>
          <w:sz w:val="20"/>
          <w:szCs w:val="20"/>
        </w:rPr>
        <w:t xml:space="preserve">his Agreement, (iv) all rating agency fees, (v) all fees and disbursements relating to the qualification of the Indenture under applicable securities laws, (vi) the fees and disbursements of the Trustee and its counsel, (vii) the fees and disbursements of </w:t>
      </w:r>
      <w:r>
        <w:rPr>
          <w:rFonts w:ascii="Times New Roman" w:eastAsia="Times New Roman" w:hAnsi="Times New Roman" w:cs="Times New Roman"/>
          <w:sz w:val="20"/>
          <w:szCs w:val="20"/>
        </w:rPr>
        <w:t>counsel for the Company and the Guarantors and, in the case of a Shelf Registration Statement, the reasonable fees and disbursements of one counsel for the Holders (which counsel shall be selected by the Majority Holders and which counsel may also be couns</w:t>
      </w:r>
      <w:r>
        <w:rPr>
          <w:rFonts w:ascii="Times New Roman" w:eastAsia="Times New Roman" w:hAnsi="Times New Roman" w:cs="Times New Roman"/>
          <w:sz w:val="20"/>
          <w:szCs w:val="20"/>
        </w:rPr>
        <w:t>el for the Initial Purchaser) and (viii) the fees and disbursements of the independent public accountants of the Company, including the expenses of any special audits or “comfort” letters required by or incident to the performance of and compliance with th</w:t>
      </w:r>
      <w:r>
        <w:rPr>
          <w:rFonts w:ascii="Times New Roman" w:eastAsia="Times New Roman" w:hAnsi="Times New Roman" w:cs="Times New Roman"/>
          <w:sz w:val="20"/>
          <w:szCs w:val="20"/>
        </w:rPr>
        <w:t>is Agreement, but excluding fees and expenses of counsel to the Underwriters (other than fees and expenses set forth in clause (ii) above) or the Holders and underwriting discounts and commissions, brokerage commissions and transfer taxes, if any, relating</w:t>
      </w:r>
      <w:r>
        <w:rPr>
          <w:rFonts w:ascii="Times New Roman" w:eastAsia="Times New Roman" w:hAnsi="Times New Roman" w:cs="Times New Roman"/>
          <w:sz w:val="20"/>
          <w:szCs w:val="20"/>
        </w:rPr>
        <w:t xml:space="preserve"> to the sale or disposition of Registrable Securities by a Holder.</w:t>
      </w:r>
    </w:p>
    <w:p w14:paraId="0FCC6DA9"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3097AC9C" w14:textId="77777777" w:rsidR="004740A8" w:rsidRDefault="007C0112">
      <w:pPr>
        <w:pBdr>
          <w:top w:val="nil"/>
          <w:left w:val="nil"/>
          <w:bottom w:val="nil"/>
          <w:right w:val="nil"/>
          <w:between w:val="nil"/>
        </w:pBd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i/>
          <w:sz w:val="20"/>
          <w:szCs w:val="20"/>
        </w:rPr>
        <w:t>Registration Statement</w:t>
      </w:r>
      <w:r>
        <w:rPr>
          <w:rFonts w:ascii="Times New Roman" w:eastAsia="Times New Roman" w:hAnsi="Times New Roman" w:cs="Times New Roman"/>
          <w:sz w:val="20"/>
          <w:szCs w:val="20"/>
        </w:rPr>
        <w:t>” shall mean any registration statement filed under the Securities Act of the Company and the Guarantors that covers any of the Exchange Securities or Registrable S</w:t>
      </w:r>
      <w:r>
        <w:rPr>
          <w:rFonts w:ascii="Times New Roman" w:eastAsia="Times New Roman" w:hAnsi="Times New Roman" w:cs="Times New Roman"/>
          <w:sz w:val="20"/>
          <w:szCs w:val="20"/>
        </w:rPr>
        <w:t>ecurities pursuant to the provisions of this Agreement and all amendments and supplements to any such registration statement, including post-effective amendments, in each case including the Prospectus contained therein or deemed a part thereof, all exhibit</w:t>
      </w:r>
      <w:r>
        <w:rPr>
          <w:rFonts w:ascii="Times New Roman" w:eastAsia="Times New Roman" w:hAnsi="Times New Roman" w:cs="Times New Roman"/>
          <w:sz w:val="20"/>
          <w:szCs w:val="20"/>
        </w:rPr>
        <w:t>s thereto and any document incorporated by reference therein.</w:t>
      </w:r>
    </w:p>
    <w:p w14:paraId="45C5A9B3"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4B0C0760" w14:textId="77777777" w:rsidR="004740A8" w:rsidRDefault="007C0112">
      <w:pPr>
        <w:pBdr>
          <w:top w:val="nil"/>
          <w:left w:val="nil"/>
          <w:bottom w:val="nil"/>
          <w:right w:val="nil"/>
          <w:between w:val="nil"/>
        </w:pBd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i/>
          <w:sz w:val="20"/>
          <w:szCs w:val="20"/>
        </w:rPr>
        <w:t>SEC</w:t>
      </w:r>
      <w:r>
        <w:rPr>
          <w:rFonts w:ascii="Times New Roman" w:eastAsia="Times New Roman" w:hAnsi="Times New Roman" w:cs="Times New Roman"/>
          <w:sz w:val="20"/>
          <w:szCs w:val="20"/>
        </w:rPr>
        <w:t>” shall mean the Securities and Exchange Commission.</w:t>
      </w:r>
    </w:p>
    <w:p w14:paraId="2783D56D"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079F917D" w14:textId="77777777" w:rsidR="004740A8" w:rsidRDefault="004740A8" w:rsidP="007C0112">
      <w:pPr>
        <w:pBdr>
          <w:top w:val="nil"/>
          <w:left w:val="nil"/>
          <w:bottom w:val="nil"/>
          <w:right w:val="nil"/>
          <w:between w:val="nil"/>
        </w:pBdr>
        <w:contextualSpacing w:val="0"/>
        <w:rPr>
          <w:rFonts w:ascii="Times New Roman" w:eastAsia="Times New Roman" w:hAnsi="Times New Roman" w:cs="Times New Roman" w:hint="eastAsia"/>
          <w:sz w:val="20"/>
          <w:szCs w:val="20"/>
          <w:lang w:eastAsia="zh-CN"/>
        </w:rPr>
      </w:pPr>
      <w:bookmarkStart w:id="2" w:name="3znysh7" w:colFirst="0" w:colLast="0"/>
      <w:bookmarkEnd w:id="2"/>
    </w:p>
    <w:p w14:paraId="0F9D288D" w14:textId="77777777" w:rsidR="004740A8" w:rsidRDefault="004740A8">
      <w:pPr>
        <w:pBdr>
          <w:top w:val="nil"/>
          <w:left w:val="nil"/>
          <w:bottom w:val="nil"/>
          <w:right w:val="nil"/>
          <w:between w:val="nil"/>
        </w:pBdr>
        <w:contextualSpacing w:val="0"/>
        <w:rPr>
          <w:rFonts w:ascii="Times New Roman" w:eastAsia="Times New Roman" w:hAnsi="Times New Roman" w:cs="Times New Roman"/>
          <w:sz w:val="20"/>
          <w:szCs w:val="20"/>
        </w:rPr>
      </w:pPr>
    </w:p>
    <w:p w14:paraId="1B296F48" w14:textId="77777777" w:rsidR="004740A8" w:rsidRDefault="004740A8">
      <w:pPr>
        <w:pBdr>
          <w:top w:val="nil"/>
          <w:left w:val="nil"/>
          <w:bottom w:val="nil"/>
          <w:right w:val="nil"/>
          <w:between w:val="nil"/>
        </w:pBdr>
        <w:contextualSpacing w:val="0"/>
        <w:rPr>
          <w:rFonts w:ascii="Times New Roman" w:eastAsia="Times New Roman" w:hAnsi="Times New Roman" w:cs="Times New Roman"/>
          <w:sz w:val="20"/>
          <w:szCs w:val="20"/>
        </w:rPr>
      </w:pPr>
    </w:p>
    <w:p w14:paraId="1F9EF0A1"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2F82114D" w14:textId="77777777" w:rsidR="004740A8" w:rsidRDefault="007C0112">
      <w:pPr>
        <w:pBdr>
          <w:top w:val="nil"/>
          <w:left w:val="nil"/>
          <w:bottom w:val="nil"/>
          <w:right w:val="nil"/>
          <w:between w:val="nil"/>
        </w:pBd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i/>
          <w:sz w:val="20"/>
          <w:szCs w:val="20"/>
        </w:rPr>
        <w:t>Securities</w:t>
      </w:r>
      <w:r>
        <w:rPr>
          <w:rFonts w:ascii="Times New Roman" w:eastAsia="Times New Roman" w:hAnsi="Times New Roman" w:cs="Times New Roman"/>
          <w:sz w:val="20"/>
          <w:szCs w:val="20"/>
        </w:rPr>
        <w:t>” shall mean the Company’s 6.875% Senior Notes due 2025 issued under the Indenture.</w:t>
      </w:r>
    </w:p>
    <w:p w14:paraId="2BDE9562"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1515A559" w14:textId="77777777" w:rsidR="004740A8" w:rsidRDefault="007C0112">
      <w:pPr>
        <w:pBdr>
          <w:top w:val="nil"/>
          <w:left w:val="nil"/>
          <w:bottom w:val="nil"/>
          <w:right w:val="nil"/>
          <w:between w:val="nil"/>
        </w:pBd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i/>
          <w:sz w:val="20"/>
          <w:szCs w:val="20"/>
        </w:rPr>
        <w:t>Securities Act</w:t>
      </w:r>
      <w:r>
        <w:rPr>
          <w:rFonts w:ascii="Times New Roman" w:eastAsia="Times New Roman" w:hAnsi="Times New Roman" w:cs="Times New Roman"/>
          <w:sz w:val="20"/>
          <w:szCs w:val="20"/>
        </w:rPr>
        <w:t>” shall mean the Securities Act of 1933, as amended from time to time.</w:t>
      </w:r>
    </w:p>
    <w:p w14:paraId="7A750B83"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7747AC07" w14:textId="77777777" w:rsidR="004740A8" w:rsidRDefault="007C0112">
      <w:pPr>
        <w:pBdr>
          <w:top w:val="nil"/>
          <w:left w:val="nil"/>
          <w:bottom w:val="nil"/>
          <w:right w:val="nil"/>
          <w:between w:val="nil"/>
        </w:pBd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i/>
          <w:sz w:val="20"/>
          <w:szCs w:val="20"/>
        </w:rPr>
        <w:t>Shelf Additional Interest Date</w:t>
      </w:r>
      <w:r>
        <w:rPr>
          <w:rFonts w:ascii="Times New Roman" w:eastAsia="Times New Roman" w:hAnsi="Times New Roman" w:cs="Times New Roman"/>
          <w:sz w:val="20"/>
          <w:szCs w:val="20"/>
        </w:rPr>
        <w:t xml:space="preserve">” shall have the meaning set forth in </w:t>
      </w:r>
      <w:r>
        <w:rPr>
          <w:rFonts w:ascii="Times New Roman" w:eastAsia="Times New Roman" w:hAnsi="Times New Roman" w:cs="Times New Roman"/>
          <w:sz w:val="20"/>
          <w:szCs w:val="20"/>
          <w:u w:val="single"/>
        </w:rPr>
        <w:t>Section 2(e)</w:t>
      </w:r>
      <w:r>
        <w:rPr>
          <w:rFonts w:ascii="Times New Roman" w:eastAsia="Times New Roman" w:hAnsi="Times New Roman" w:cs="Times New Roman"/>
          <w:sz w:val="20"/>
          <w:szCs w:val="20"/>
        </w:rPr>
        <w:t> hereof.</w:t>
      </w:r>
    </w:p>
    <w:p w14:paraId="139F8A19"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6A8196CE" w14:textId="77777777" w:rsidR="004740A8" w:rsidRDefault="007C0112">
      <w:pPr>
        <w:pBdr>
          <w:top w:val="nil"/>
          <w:left w:val="nil"/>
          <w:bottom w:val="nil"/>
          <w:right w:val="nil"/>
          <w:between w:val="nil"/>
        </w:pBd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i/>
          <w:sz w:val="20"/>
          <w:szCs w:val="20"/>
        </w:rPr>
        <w:t>Shelf Effectiveness Period</w:t>
      </w:r>
      <w:r>
        <w:rPr>
          <w:rFonts w:ascii="Times New Roman" w:eastAsia="Times New Roman" w:hAnsi="Times New Roman" w:cs="Times New Roman"/>
          <w:sz w:val="20"/>
          <w:szCs w:val="20"/>
        </w:rPr>
        <w:t xml:space="preserve">” shall have the meaning set forth in </w:t>
      </w:r>
      <w:r>
        <w:rPr>
          <w:rFonts w:ascii="Times New Roman" w:eastAsia="Times New Roman" w:hAnsi="Times New Roman" w:cs="Times New Roman"/>
          <w:sz w:val="20"/>
          <w:szCs w:val="20"/>
          <w:u w:val="single"/>
        </w:rPr>
        <w:t>Section 2(b)</w:t>
      </w:r>
      <w:r>
        <w:rPr>
          <w:rFonts w:ascii="Times New Roman" w:eastAsia="Times New Roman" w:hAnsi="Times New Roman" w:cs="Times New Roman"/>
          <w:sz w:val="20"/>
          <w:szCs w:val="20"/>
        </w:rPr>
        <w:t> hereof.</w:t>
      </w:r>
    </w:p>
    <w:p w14:paraId="08833FBF"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2E312CDF" w14:textId="77777777" w:rsidR="004740A8" w:rsidRDefault="007C0112">
      <w:pPr>
        <w:pBdr>
          <w:top w:val="nil"/>
          <w:left w:val="nil"/>
          <w:bottom w:val="nil"/>
          <w:right w:val="nil"/>
          <w:between w:val="nil"/>
        </w:pBd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i/>
          <w:sz w:val="20"/>
          <w:szCs w:val="20"/>
        </w:rPr>
        <w:t>Shelf Filing Deadline</w:t>
      </w:r>
      <w:r>
        <w:rPr>
          <w:rFonts w:ascii="Times New Roman" w:eastAsia="Times New Roman" w:hAnsi="Times New Roman" w:cs="Times New Roman"/>
          <w:sz w:val="20"/>
          <w:szCs w:val="20"/>
        </w:rPr>
        <w:t xml:space="preserve">” shall have the meaning set forth in </w:t>
      </w:r>
      <w:r>
        <w:rPr>
          <w:rFonts w:ascii="Times New Roman" w:eastAsia="Times New Roman" w:hAnsi="Times New Roman" w:cs="Times New Roman"/>
          <w:sz w:val="20"/>
          <w:szCs w:val="20"/>
          <w:u w:val="single"/>
        </w:rPr>
        <w:t>Section 2(b)</w:t>
      </w:r>
      <w:r>
        <w:rPr>
          <w:rFonts w:ascii="Times New Roman" w:eastAsia="Times New Roman" w:hAnsi="Times New Roman" w:cs="Times New Roman"/>
          <w:sz w:val="20"/>
          <w:szCs w:val="20"/>
        </w:rPr>
        <w:t> hereof.</w:t>
      </w:r>
    </w:p>
    <w:p w14:paraId="2F93407A"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3F1D5D84" w14:textId="77777777" w:rsidR="004740A8" w:rsidRDefault="007C0112">
      <w:pPr>
        <w:pBdr>
          <w:top w:val="nil"/>
          <w:left w:val="nil"/>
          <w:bottom w:val="nil"/>
          <w:right w:val="nil"/>
          <w:between w:val="nil"/>
        </w:pBd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i/>
          <w:sz w:val="20"/>
          <w:szCs w:val="20"/>
        </w:rPr>
        <w:t>Shelf Registration</w:t>
      </w:r>
      <w:r>
        <w:rPr>
          <w:rFonts w:ascii="Times New Roman" w:eastAsia="Times New Roman" w:hAnsi="Times New Roman" w:cs="Times New Roman"/>
          <w:sz w:val="20"/>
          <w:szCs w:val="20"/>
        </w:rPr>
        <w:t xml:space="preserve">” shall mean a registration effected pursuant to </w:t>
      </w:r>
      <w:r>
        <w:rPr>
          <w:rFonts w:ascii="Times New Roman" w:eastAsia="Times New Roman" w:hAnsi="Times New Roman" w:cs="Times New Roman"/>
          <w:sz w:val="20"/>
          <w:szCs w:val="20"/>
          <w:u w:val="single"/>
        </w:rPr>
        <w:t>Section 2(b)</w:t>
      </w:r>
      <w:r>
        <w:rPr>
          <w:rFonts w:ascii="Times New Roman" w:eastAsia="Times New Roman" w:hAnsi="Times New Roman" w:cs="Times New Roman"/>
          <w:sz w:val="20"/>
          <w:szCs w:val="20"/>
        </w:rPr>
        <w:t> hereof.</w:t>
      </w:r>
    </w:p>
    <w:p w14:paraId="64995895"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69E83ED8" w14:textId="77777777" w:rsidR="004740A8" w:rsidRDefault="007C0112">
      <w:pPr>
        <w:pBdr>
          <w:top w:val="nil"/>
          <w:left w:val="nil"/>
          <w:bottom w:val="nil"/>
          <w:right w:val="nil"/>
          <w:between w:val="nil"/>
        </w:pBd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i/>
          <w:sz w:val="20"/>
          <w:szCs w:val="20"/>
        </w:rPr>
        <w:t xml:space="preserve">Shelf Registration Statement” </w:t>
      </w:r>
      <w:r>
        <w:rPr>
          <w:rFonts w:ascii="Times New Roman" w:eastAsia="Times New Roman" w:hAnsi="Times New Roman" w:cs="Times New Roman"/>
          <w:sz w:val="20"/>
          <w:szCs w:val="20"/>
        </w:rPr>
        <w:t>shall mean a “shelf” registration statement of the C</w:t>
      </w:r>
      <w:r>
        <w:rPr>
          <w:rFonts w:ascii="Times New Roman" w:eastAsia="Times New Roman" w:hAnsi="Times New Roman" w:cs="Times New Roman"/>
          <w:sz w:val="20"/>
          <w:szCs w:val="20"/>
        </w:rPr>
        <w:t>ompany and the Guarantors that covers all or a portion of the Registrable Securities (but no other securities unless approved by a majority of the Holders whose Registrable Securities are to be covered by such Shelf Registration Statement) on an appropriat</w:t>
      </w:r>
      <w:r>
        <w:rPr>
          <w:rFonts w:ascii="Times New Roman" w:eastAsia="Times New Roman" w:hAnsi="Times New Roman" w:cs="Times New Roman"/>
          <w:sz w:val="20"/>
          <w:szCs w:val="20"/>
        </w:rPr>
        <w:t>e form under Rule 415 under the Securities Act, or any similar rule that may be adopted by the SEC, and all amendments and supplements to such registration statement, including post-effective amendments, in each case including the Prospectus contained ther</w:t>
      </w:r>
      <w:r>
        <w:rPr>
          <w:rFonts w:ascii="Times New Roman" w:eastAsia="Times New Roman" w:hAnsi="Times New Roman" w:cs="Times New Roman"/>
          <w:sz w:val="20"/>
          <w:szCs w:val="20"/>
        </w:rPr>
        <w:t>ein or deemed a part thereof, all exhibits thereto and any document incorporated by reference therein.</w:t>
      </w:r>
    </w:p>
    <w:p w14:paraId="0DBFC1D5"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107BC84C" w14:textId="77777777" w:rsidR="004740A8" w:rsidRDefault="007C0112">
      <w:pPr>
        <w:pBdr>
          <w:top w:val="nil"/>
          <w:left w:val="nil"/>
          <w:bottom w:val="nil"/>
          <w:right w:val="nil"/>
          <w:between w:val="nil"/>
        </w:pBd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i/>
          <w:sz w:val="20"/>
          <w:szCs w:val="20"/>
        </w:rPr>
        <w:t>Subsidiary Guarantees</w:t>
      </w:r>
      <w:r>
        <w:rPr>
          <w:rFonts w:ascii="Times New Roman" w:eastAsia="Times New Roman" w:hAnsi="Times New Roman" w:cs="Times New Roman"/>
          <w:sz w:val="20"/>
          <w:szCs w:val="20"/>
        </w:rPr>
        <w:t>” shall mean the guarantees of the New Securities and the Exchange Securities by the Guarantors under the Indenture.</w:t>
      </w:r>
    </w:p>
    <w:p w14:paraId="77BFBCC2"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11B964AD" w14:textId="77777777" w:rsidR="004740A8" w:rsidRDefault="007C0112">
      <w:pPr>
        <w:pBdr>
          <w:top w:val="nil"/>
          <w:left w:val="nil"/>
          <w:bottom w:val="nil"/>
          <w:right w:val="nil"/>
          <w:between w:val="nil"/>
        </w:pBd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i/>
          <w:sz w:val="20"/>
          <w:szCs w:val="20"/>
        </w:rPr>
        <w:t>Target Re</w:t>
      </w:r>
      <w:r>
        <w:rPr>
          <w:rFonts w:ascii="Times New Roman" w:eastAsia="Times New Roman" w:hAnsi="Times New Roman" w:cs="Times New Roman"/>
          <w:i/>
          <w:sz w:val="20"/>
          <w:szCs w:val="20"/>
        </w:rPr>
        <w:t>gistration Date</w:t>
      </w:r>
      <w:r>
        <w:rPr>
          <w:rFonts w:ascii="Times New Roman" w:eastAsia="Times New Roman" w:hAnsi="Times New Roman" w:cs="Times New Roman"/>
          <w:sz w:val="20"/>
          <w:szCs w:val="20"/>
        </w:rPr>
        <w:t xml:space="preserve">” shall have the meaning set forth in </w:t>
      </w:r>
      <w:r>
        <w:rPr>
          <w:rFonts w:ascii="Times New Roman" w:eastAsia="Times New Roman" w:hAnsi="Times New Roman" w:cs="Times New Roman"/>
          <w:sz w:val="20"/>
          <w:szCs w:val="20"/>
          <w:u w:val="single"/>
        </w:rPr>
        <w:t>Section 2(e)</w:t>
      </w:r>
      <w:r>
        <w:rPr>
          <w:rFonts w:ascii="Times New Roman" w:eastAsia="Times New Roman" w:hAnsi="Times New Roman" w:cs="Times New Roman"/>
          <w:sz w:val="20"/>
          <w:szCs w:val="20"/>
        </w:rPr>
        <w:t> hereof.</w:t>
      </w:r>
    </w:p>
    <w:p w14:paraId="1058009D"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1B1C509E" w14:textId="77777777" w:rsidR="004740A8" w:rsidRDefault="007C0112">
      <w:pPr>
        <w:pBdr>
          <w:top w:val="nil"/>
          <w:left w:val="nil"/>
          <w:bottom w:val="nil"/>
          <w:right w:val="nil"/>
          <w:between w:val="nil"/>
        </w:pBd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i/>
          <w:sz w:val="20"/>
          <w:szCs w:val="20"/>
        </w:rPr>
        <w:t>Trust Indenture Act</w:t>
      </w:r>
      <w:r>
        <w:rPr>
          <w:rFonts w:ascii="Times New Roman" w:eastAsia="Times New Roman" w:hAnsi="Times New Roman" w:cs="Times New Roman"/>
          <w:sz w:val="20"/>
          <w:szCs w:val="20"/>
        </w:rPr>
        <w:t>” shall mean the Trust Indenture Act of 1939, as amended from time to time.</w:t>
      </w:r>
    </w:p>
    <w:p w14:paraId="284D7F1D"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40123A7A" w14:textId="77777777" w:rsidR="004740A8" w:rsidRDefault="007C0112">
      <w:pPr>
        <w:pBdr>
          <w:top w:val="nil"/>
          <w:left w:val="nil"/>
          <w:bottom w:val="nil"/>
          <w:right w:val="nil"/>
          <w:between w:val="nil"/>
        </w:pBd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i/>
          <w:sz w:val="20"/>
          <w:szCs w:val="20"/>
        </w:rPr>
        <w:t>Trustee</w:t>
      </w:r>
      <w:r>
        <w:rPr>
          <w:rFonts w:ascii="Times New Roman" w:eastAsia="Times New Roman" w:hAnsi="Times New Roman" w:cs="Times New Roman"/>
          <w:sz w:val="20"/>
          <w:szCs w:val="20"/>
        </w:rPr>
        <w:t>” shall mean the trustee with respect to the Securities under the Indenture.</w:t>
      </w:r>
    </w:p>
    <w:p w14:paraId="165A23FA"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1B22F681" w14:textId="77777777" w:rsidR="004740A8" w:rsidRDefault="007C0112">
      <w:pPr>
        <w:pBdr>
          <w:top w:val="nil"/>
          <w:left w:val="nil"/>
          <w:bottom w:val="nil"/>
          <w:right w:val="nil"/>
          <w:between w:val="nil"/>
        </w:pBd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i/>
          <w:sz w:val="20"/>
          <w:szCs w:val="20"/>
        </w:rPr>
        <w:t>Underwriters</w:t>
      </w:r>
      <w:r>
        <w:rPr>
          <w:rFonts w:ascii="Times New Roman" w:eastAsia="Times New Roman" w:hAnsi="Times New Roman" w:cs="Times New Roman"/>
          <w:sz w:val="20"/>
          <w:szCs w:val="20"/>
        </w:rPr>
        <w:t xml:space="preserve">” shall have the meaning set forth in </w:t>
      </w:r>
      <w:r>
        <w:rPr>
          <w:rFonts w:ascii="Times New Roman" w:eastAsia="Times New Roman" w:hAnsi="Times New Roman" w:cs="Times New Roman"/>
          <w:sz w:val="20"/>
          <w:szCs w:val="20"/>
          <w:u w:val="single"/>
        </w:rPr>
        <w:t>Section 3</w:t>
      </w:r>
      <w:r>
        <w:rPr>
          <w:rFonts w:ascii="Times New Roman" w:eastAsia="Times New Roman" w:hAnsi="Times New Roman" w:cs="Times New Roman"/>
          <w:sz w:val="20"/>
          <w:szCs w:val="20"/>
        </w:rPr>
        <w:t xml:space="preserve"> hereof.</w:t>
      </w:r>
    </w:p>
    <w:p w14:paraId="27576DAF"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lastRenderedPageBreak/>
        <w:t> </w:t>
      </w:r>
    </w:p>
    <w:p w14:paraId="60179C9A" w14:textId="77777777" w:rsidR="004740A8" w:rsidRDefault="007C0112">
      <w:pPr>
        <w:pBdr>
          <w:top w:val="nil"/>
          <w:left w:val="nil"/>
          <w:bottom w:val="nil"/>
          <w:right w:val="nil"/>
          <w:between w:val="nil"/>
        </w:pBd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i/>
          <w:sz w:val="20"/>
          <w:szCs w:val="20"/>
        </w:rPr>
        <w:t>Underwritten Offering</w:t>
      </w:r>
      <w:r>
        <w:rPr>
          <w:rFonts w:ascii="Times New Roman" w:eastAsia="Times New Roman" w:hAnsi="Times New Roman" w:cs="Times New Roman"/>
          <w:sz w:val="20"/>
          <w:szCs w:val="20"/>
        </w:rPr>
        <w:t xml:space="preserve">” shall mean an offering in which Registrable Securities are sold to an Underwriter </w:t>
      </w:r>
      <w:r>
        <w:rPr>
          <w:rFonts w:ascii="Times New Roman" w:eastAsia="Times New Roman" w:hAnsi="Times New Roman" w:cs="Times New Roman"/>
          <w:sz w:val="20"/>
          <w:szCs w:val="20"/>
        </w:rPr>
        <w:t>for reoffering to the public.</w:t>
      </w:r>
    </w:p>
    <w:p w14:paraId="04DFAB79"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13C1E72C" w14:textId="77777777" w:rsidR="004740A8" w:rsidRPr="007C0112" w:rsidRDefault="007C0112" w:rsidP="007C0112">
      <w:pPr>
        <w:pBdr>
          <w:top w:val="nil"/>
          <w:left w:val="nil"/>
          <w:bottom w:val="nil"/>
          <w:right w:val="nil"/>
          <w:between w:val="nil"/>
        </w:pBdr>
        <w:ind w:firstLine="720"/>
        <w:contextualSpacing w:val="0"/>
        <w:rPr>
          <w:rFonts w:ascii="Times New Roman" w:eastAsia="Times New Roman" w:hAnsi="Times New Roman" w:cs="Times New Roman"/>
        </w:rPr>
      </w:pPr>
      <w:r>
        <w:rPr>
          <w:rFonts w:ascii="Times New Roman" w:eastAsia="Times New Roman" w:hAnsi="Times New Roman" w:cs="Times New Roman"/>
          <w:sz w:val="20"/>
          <w:szCs w:val="20"/>
        </w:rPr>
        <w:t xml:space="preserve">2.                                      </w:t>
      </w:r>
      <w:r>
        <w:rPr>
          <w:rFonts w:ascii="Times New Roman" w:eastAsia="Times New Roman" w:hAnsi="Times New Roman" w:cs="Times New Roman"/>
          <w:sz w:val="20"/>
          <w:szCs w:val="20"/>
          <w:u w:val="single"/>
        </w:rPr>
        <w:t>Registration Under the Securities Act</w:t>
      </w:r>
      <w:r>
        <w:rPr>
          <w:rFonts w:ascii="Times New Roman" w:eastAsia="Times New Roman" w:hAnsi="Times New Roman" w:cs="Times New Roman"/>
          <w:sz w:val="20"/>
          <w:szCs w:val="20"/>
        </w:rPr>
        <w:t>. (a) To the extent not prohibited by any applicable law or applicable interpretations of the staff of the SEC, the Company shall use its commercially reasonable efforts to (i) cause to be filed an Exchange Offer Registration Statement covering an offer to</w:t>
      </w:r>
      <w:r>
        <w:rPr>
          <w:rFonts w:ascii="Times New Roman" w:eastAsia="Times New Roman" w:hAnsi="Times New Roman" w:cs="Times New Roman"/>
          <w:sz w:val="20"/>
          <w:szCs w:val="20"/>
        </w:rPr>
        <w:t xml:space="preserve"> the Holders to exchange all the Registrable Securities for Exchange Securities, (ii) Consummate the Exchange Offer no later than 365 calendar days after the Closing Date (or, if such 365th day is not a Business Day, the next succeeding Business Day) and (</w:t>
      </w:r>
      <w:r>
        <w:rPr>
          <w:rFonts w:ascii="Times New Roman" w:eastAsia="Times New Roman" w:hAnsi="Times New Roman" w:cs="Times New Roman"/>
          <w:sz w:val="20"/>
          <w:szCs w:val="20"/>
        </w:rPr>
        <w:t>iii) have such Registration Statement remain effective until the earlier of (A) 180 days after the Exchange Offer Registration Statement is declared effective and (B) the date on which a Participating Broker-Dealer is no longer required to deliver a prospe</w:t>
      </w:r>
      <w:r>
        <w:rPr>
          <w:rFonts w:ascii="Times New Roman" w:eastAsia="Times New Roman" w:hAnsi="Times New Roman" w:cs="Times New Roman"/>
          <w:sz w:val="20"/>
          <w:szCs w:val="20"/>
        </w:rPr>
        <w:t xml:space="preserve">ctus in connection with market-making or other trading activities; </w:t>
      </w:r>
      <w:r>
        <w:rPr>
          <w:rFonts w:ascii="Times New Roman" w:eastAsia="Times New Roman" w:hAnsi="Times New Roman" w:cs="Times New Roman"/>
          <w:i/>
          <w:sz w:val="20"/>
          <w:szCs w:val="20"/>
        </w:rPr>
        <w:t>provided</w:t>
      </w:r>
      <w:r>
        <w:rPr>
          <w:rFonts w:ascii="Times New Roman" w:eastAsia="Times New Roman" w:hAnsi="Times New Roman" w:cs="Times New Roman"/>
          <w:sz w:val="20"/>
          <w:szCs w:val="20"/>
        </w:rPr>
        <w:t>, that the Company may for a period (“</w:t>
      </w:r>
      <w:r>
        <w:rPr>
          <w:rFonts w:ascii="Times New Roman" w:eastAsia="Times New Roman" w:hAnsi="Times New Roman" w:cs="Times New Roman"/>
          <w:sz w:val="20"/>
          <w:szCs w:val="20"/>
          <w:u w:val="single"/>
        </w:rPr>
        <w:t>Exchange Offer Registration Statement Suspension Period</w:t>
      </w:r>
      <w:r>
        <w:rPr>
          <w:rFonts w:ascii="Times New Roman" w:eastAsia="Times New Roman" w:hAnsi="Times New Roman" w:cs="Times New Roman"/>
          <w:sz w:val="20"/>
          <w:szCs w:val="20"/>
        </w:rPr>
        <w:t>”) of up to 45 days in any three</w:t>
      </w:r>
      <w:r>
        <w:rPr>
          <w:rFonts w:ascii="Times New Roman" w:eastAsia="Times New Roman" w:hAnsi="Times New Roman" w:cs="Times New Roman" w:hint="eastAsia"/>
          <w:lang w:eastAsia="zh-CN"/>
        </w:rPr>
        <w:t xml:space="preserve"> </w:t>
      </w:r>
      <w:r>
        <w:rPr>
          <w:rFonts w:ascii="Times New Roman" w:eastAsia="Times New Roman" w:hAnsi="Times New Roman" w:cs="Times New Roman"/>
          <w:sz w:val="20"/>
          <w:szCs w:val="20"/>
        </w:rPr>
        <w:t>m</w:t>
      </w:r>
      <w:r>
        <w:rPr>
          <w:rFonts w:ascii="Times New Roman" w:eastAsia="Times New Roman" w:hAnsi="Times New Roman" w:cs="Times New Roman"/>
          <w:sz w:val="20"/>
          <w:szCs w:val="20"/>
        </w:rPr>
        <w:t>onths period, not to exceed 90 days in any calendar year, determine that the Exchange Offer Registration Statement is not usable under the circumstances relating to corporate developments, public filings with the SEC and similar events, and suspend the us</w:t>
      </w:r>
      <w:r>
        <w:rPr>
          <w:rFonts w:ascii="Times New Roman" w:eastAsia="Times New Roman" w:hAnsi="Times New Roman" w:cs="Times New Roman"/>
          <w:sz w:val="20"/>
          <w:szCs w:val="20"/>
        </w:rPr>
        <w:t>e of the prospectus that is part of the Exchange Offer Registration Statement. The Company and the Guarantors shall commence the Exchange Offer promptly after the Exchange Offer Registration Statement is declared effective by the SEC.</w:t>
      </w:r>
    </w:p>
    <w:p w14:paraId="10CE4EE4"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55B53461" w14:textId="77777777" w:rsidR="004740A8" w:rsidRDefault="007C0112">
      <w:pPr>
        <w:pBdr>
          <w:top w:val="nil"/>
          <w:left w:val="nil"/>
          <w:bottom w:val="nil"/>
          <w:right w:val="nil"/>
          <w:between w:val="nil"/>
        </w:pBd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The Company and the</w:t>
      </w:r>
      <w:r>
        <w:rPr>
          <w:rFonts w:ascii="Times New Roman" w:eastAsia="Times New Roman" w:hAnsi="Times New Roman" w:cs="Times New Roman"/>
          <w:sz w:val="20"/>
          <w:szCs w:val="20"/>
        </w:rPr>
        <w:t xml:space="preserve"> Guarantors shall commence the Exchange Offer by mailing the related Prospectus, appropriate letters of transmittal and other accompanying documents to each Holder stating, in addition to such other disclosures as are required by applicable law,</w:t>
      </w:r>
    </w:p>
    <w:p w14:paraId="23A745E1"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63309E01" w14:textId="77777777" w:rsidR="004740A8" w:rsidRDefault="007C0112">
      <w:pPr>
        <w:pBdr>
          <w:top w:val="nil"/>
          <w:left w:val="nil"/>
          <w:bottom w:val="nil"/>
          <w:right w:val="nil"/>
          <w:between w:val="nil"/>
        </w:pBd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(i)     </w:t>
      </w:r>
      <w:r>
        <w:rPr>
          <w:rFonts w:ascii="Times New Roman" w:eastAsia="Times New Roman" w:hAnsi="Times New Roman" w:cs="Times New Roman"/>
          <w:sz w:val="20"/>
          <w:szCs w:val="20"/>
        </w:rPr>
        <w:t>                                that the Exchange Offer is being made pursuant to this Agreement and that all Registrable Securities validly tendered and not properly withdrawn will be accepted for exchange;</w:t>
      </w:r>
    </w:p>
    <w:p w14:paraId="5B2A8153"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08B03BC0" w14:textId="77777777" w:rsidR="004740A8" w:rsidRDefault="007C0112">
      <w:pPr>
        <w:pBdr>
          <w:top w:val="nil"/>
          <w:left w:val="nil"/>
          <w:bottom w:val="nil"/>
          <w:right w:val="nil"/>
          <w:between w:val="nil"/>
        </w:pBd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(ii)                                  the date</w:t>
      </w:r>
      <w:r>
        <w:rPr>
          <w:rFonts w:ascii="Times New Roman" w:eastAsia="Times New Roman" w:hAnsi="Times New Roman" w:cs="Times New Roman"/>
          <w:sz w:val="20"/>
          <w:szCs w:val="20"/>
        </w:rPr>
        <w:t>s of acceptance for exchange (which shall be a period of at least 20 Business Days from the date such notice is mailed) (the “</w:t>
      </w:r>
      <w:r>
        <w:rPr>
          <w:rFonts w:ascii="Times New Roman" w:eastAsia="Times New Roman" w:hAnsi="Times New Roman" w:cs="Times New Roman"/>
          <w:sz w:val="20"/>
          <w:szCs w:val="20"/>
          <w:u w:val="single"/>
        </w:rPr>
        <w:t>Exchange Dates</w:t>
      </w:r>
      <w:r>
        <w:rPr>
          <w:rFonts w:ascii="Times New Roman" w:eastAsia="Times New Roman" w:hAnsi="Times New Roman" w:cs="Times New Roman"/>
          <w:sz w:val="20"/>
          <w:szCs w:val="20"/>
        </w:rPr>
        <w:t>”);</w:t>
      </w:r>
    </w:p>
    <w:p w14:paraId="6BF0EC1F"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149F4405" w14:textId="77777777" w:rsidR="004740A8" w:rsidRDefault="007C0112">
      <w:pPr>
        <w:pBdr>
          <w:top w:val="nil"/>
          <w:left w:val="nil"/>
          <w:bottom w:val="nil"/>
          <w:right w:val="nil"/>
          <w:between w:val="nil"/>
        </w:pBd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(iii)                               that any Registrable Security not tendered will remain outstanding and con</w:t>
      </w:r>
      <w:r>
        <w:rPr>
          <w:rFonts w:ascii="Times New Roman" w:eastAsia="Times New Roman" w:hAnsi="Times New Roman" w:cs="Times New Roman"/>
          <w:sz w:val="20"/>
          <w:szCs w:val="20"/>
        </w:rPr>
        <w:t>tinue to accrue interest but will not retain any rights under this Agreement, except as otherwise specified herein;</w:t>
      </w:r>
    </w:p>
    <w:p w14:paraId="3D0136E1"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72A31F04" w14:textId="77777777" w:rsidR="004740A8" w:rsidRDefault="007C0112">
      <w:pPr>
        <w:pBdr>
          <w:top w:val="nil"/>
          <w:left w:val="nil"/>
          <w:bottom w:val="nil"/>
          <w:right w:val="nil"/>
          <w:between w:val="nil"/>
        </w:pBd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(iv)                              that any Holder electing to have a Registrable Security exchanged pursuant to the Exchange Offer will be</w:t>
      </w:r>
      <w:r>
        <w:rPr>
          <w:rFonts w:ascii="Times New Roman" w:eastAsia="Times New Roman" w:hAnsi="Times New Roman" w:cs="Times New Roman"/>
          <w:sz w:val="20"/>
          <w:szCs w:val="20"/>
        </w:rPr>
        <w:t xml:space="preserve"> required to (A) surrender such Registrable Security, together with the appropriate letters of transmittal, to the institution and at the address and in the manner specified in the notice, or (B) effect such exchange otherwise in compliance with the applic</w:t>
      </w:r>
      <w:r>
        <w:rPr>
          <w:rFonts w:ascii="Times New Roman" w:eastAsia="Times New Roman" w:hAnsi="Times New Roman" w:cs="Times New Roman"/>
          <w:sz w:val="20"/>
          <w:szCs w:val="20"/>
        </w:rPr>
        <w:t>able procedures of the depositary for such Registrable Security, in each case, prior to the close of business on the last Exchange Date; and</w:t>
      </w:r>
    </w:p>
    <w:p w14:paraId="76E9CF04"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02B7C252" w14:textId="77777777" w:rsidR="004740A8" w:rsidRDefault="007C0112">
      <w:pPr>
        <w:pBdr>
          <w:top w:val="nil"/>
          <w:left w:val="nil"/>
          <w:bottom w:val="nil"/>
          <w:right w:val="nil"/>
          <w:between w:val="nil"/>
        </w:pBd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(v)                                 that any Holder will be entitled to withdraw its election, not later than the</w:t>
      </w:r>
      <w:r>
        <w:rPr>
          <w:rFonts w:ascii="Times New Roman" w:eastAsia="Times New Roman" w:hAnsi="Times New Roman" w:cs="Times New Roman"/>
          <w:sz w:val="20"/>
          <w:szCs w:val="20"/>
        </w:rPr>
        <w:t xml:space="preserve"> close of business on the last Exchange Date, by (A) sending to the institution and at the address specified in the notice, a telegram, telex, facsimile transmission or letter setting forth the name of such Holder, the principal amount of Registrable Secur</w:t>
      </w:r>
      <w:r>
        <w:rPr>
          <w:rFonts w:ascii="Times New Roman" w:eastAsia="Times New Roman" w:hAnsi="Times New Roman" w:cs="Times New Roman"/>
          <w:sz w:val="20"/>
          <w:szCs w:val="20"/>
        </w:rPr>
        <w:t>ities delivered for exchange and a statement that such Holder is withdrawing its election to have such New Securities exchanged or (B) effecting such withdrawal in compliance with the applicable procedures of the depositary for the Registrable Securities.</w:t>
      </w:r>
    </w:p>
    <w:p w14:paraId="5EA66CA0"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31A20FBE" w14:textId="77777777" w:rsidR="004740A8" w:rsidRPr="007C0112" w:rsidRDefault="007C0112" w:rsidP="007C0112">
      <w:pPr>
        <w:pBdr>
          <w:top w:val="nil"/>
          <w:left w:val="nil"/>
          <w:bottom w:val="nil"/>
          <w:right w:val="nil"/>
          <w:between w:val="nil"/>
        </w:pBdr>
        <w:ind w:firstLine="720"/>
        <w:contextualSpacing w:val="0"/>
        <w:rPr>
          <w:rFonts w:ascii="Times New Roman" w:eastAsia="Times New Roman" w:hAnsi="Times New Roman" w:cs="Times New Roman"/>
        </w:rPr>
      </w:pPr>
      <w:r>
        <w:rPr>
          <w:rFonts w:ascii="Times New Roman" w:eastAsia="Times New Roman" w:hAnsi="Times New Roman" w:cs="Times New Roman"/>
          <w:sz w:val="20"/>
          <w:szCs w:val="20"/>
        </w:rPr>
        <w:t xml:space="preserve">As a condition to participating in the Exchange Offer, a Holder will be required to represent to the Company and the Guarantors that (i) any Exchange Securities to be received by it will be acquired in the ordinary course of its business, (ii) such Holder </w:t>
      </w:r>
      <w:r>
        <w:rPr>
          <w:rFonts w:ascii="Times New Roman" w:eastAsia="Times New Roman" w:hAnsi="Times New Roman" w:cs="Times New Roman"/>
          <w:sz w:val="20"/>
          <w:szCs w:val="20"/>
        </w:rPr>
        <w:t>has no arrangement or understanding with any Person to participate in the distribution (within the meaning of the Securities Act) of the Exchange Securities in violation of the provisions of the Securities Act, (iii) such Holder is not an “affiliate” (with</w:t>
      </w:r>
      <w:r>
        <w:rPr>
          <w:rFonts w:ascii="Times New Roman" w:eastAsia="Times New Roman" w:hAnsi="Times New Roman" w:cs="Times New Roman"/>
          <w:sz w:val="20"/>
          <w:szCs w:val="20"/>
        </w:rPr>
        <w:t xml:space="preserve">in the meaning of Rule 405 under the Securities Act) of the Company or any Guarantor and (iv) if such Holder is a broker-dealer that will receive Exchange Securities for its own account in exchange for Registrable Securities that were acquired as a result </w:t>
      </w:r>
      <w:r>
        <w:rPr>
          <w:rFonts w:ascii="Times New Roman" w:eastAsia="Times New Roman" w:hAnsi="Times New Roman" w:cs="Times New Roman"/>
          <w:sz w:val="20"/>
          <w:szCs w:val="20"/>
        </w:rPr>
        <w:t>of market-making or other trading activities, then such Holder will deliver a</w:t>
      </w:r>
      <w:r>
        <w:rPr>
          <w:rFonts w:ascii="Times New Roman" w:eastAsia="Times New Roman" w:hAnsi="Times New Roman" w:cs="Times New Roman" w:hint="eastAsia"/>
          <w:lang w:eastAsia="zh-CN"/>
        </w:rPr>
        <w:t xml:space="preserve"> </w:t>
      </w:r>
      <w:r>
        <w:rPr>
          <w:rFonts w:ascii="Times New Roman" w:eastAsia="Times New Roman" w:hAnsi="Times New Roman" w:cs="Times New Roman"/>
          <w:sz w:val="20"/>
          <w:szCs w:val="20"/>
        </w:rPr>
        <w:t>P</w:t>
      </w:r>
      <w:r>
        <w:rPr>
          <w:rFonts w:ascii="Times New Roman" w:eastAsia="Times New Roman" w:hAnsi="Times New Roman" w:cs="Times New Roman"/>
          <w:sz w:val="20"/>
          <w:szCs w:val="20"/>
        </w:rPr>
        <w:t>rospectus (or, to the extent permitted by law, make available a Prospectus to purchasers) in connection with any resale of such Exchange Securities.</w:t>
      </w:r>
    </w:p>
    <w:p w14:paraId="3142BFCB"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68C4AB6E" w14:textId="77777777" w:rsidR="004740A8" w:rsidRDefault="007C0112">
      <w:pPr>
        <w:pBdr>
          <w:top w:val="nil"/>
          <w:left w:val="nil"/>
          <w:bottom w:val="nil"/>
          <w:right w:val="nil"/>
          <w:between w:val="nil"/>
        </w:pBd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As soon as practicable after the last Exchange Date, the Company and the Guarantors shall:</w:t>
      </w:r>
    </w:p>
    <w:p w14:paraId="5BF18F40"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5D11607E" w14:textId="77777777" w:rsidR="004740A8" w:rsidRDefault="007C0112">
      <w:pPr>
        <w:pBdr>
          <w:top w:val="nil"/>
          <w:left w:val="nil"/>
          <w:bottom w:val="nil"/>
          <w:right w:val="nil"/>
          <w:between w:val="nil"/>
        </w:pBd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                                     accept for exchange Registrable Securities or portions thereof validly tendered and not properly withdrawn pursuant to the </w:t>
      </w:r>
      <w:r>
        <w:rPr>
          <w:rFonts w:ascii="Times New Roman" w:eastAsia="Times New Roman" w:hAnsi="Times New Roman" w:cs="Times New Roman"/>
          <w:sz w:val="20"/>
          <w:szCs w:val="20"/>
        </w:rPr>
        <w:t>Exchange Offer; and</w:t>
      </w:r>
    </w:p>
    <w:p w14:paraId="7EAF9E3B"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3256432F" w14:textId="77777777" w:rsidR="004740A8" w:rsidRDefault="007C0112">
      <w:pPr>
        <w:pBdr>
          <w:top w:val="nil"/>
          <w:left w:val="nil"/>
          <w:bottom w:val="nil"/>
          <w:right w:val="nil"/>
          <w:between w:val="nil"/>
        </w:pBd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(ii)                                  deliver, or cause to be delivered, to the Trustee for cancellation all Registrable Securities or portions thereof so accepted for exchange by the Company and issue, and cause the Trustee to promptly authenticate and de</w:t>
      </w:r>
      <w:r>
        <w:rPr>
          <w:rFonts w:ascii="Times New Roman" w:eastAsia="Times New Roman" w:hAnsi="Times New Roman" w:cs="Times New Roman"/>
          <w:sz w:val="20"/>
          <w:szCs w:val="20"/>
        </w:rPr>
        <w:t>liver to each Holder, Exchange Securities equal in principal amount to the principal amount of the Registrable Securities tendered by such Holder.</w:t>
      </w:r>
    </w:p>
    <w:p w14:paraId="325C1E65"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1306C4A3" w14:textId="77777777" w:rsidR="004740A8" w:rsidRDefault="007C0112">
      <w:pPr>
        <w:pBdr>
          <w:top w:val="nil"/>
          <w:left w:val="nil"/>
          <w:bottom w:val="nil"/>
          <w:right w:val="nil"/>
          <w:between w:val="nil"/>
        </w:pBd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The Company and the Guarantors shall use their commercially reasonable efforts to Consummate the Exchange O</w:t>
      </w:r>
      <w:r>
        <w:rPr>
          <w:rFonts w:ascii="Times New Roman" w:eastAsia="Times New Roman" w:hAnsi="Times New Roman" w:cs="Times New Roman"/>
          <w:sz w:val="20"/>
          <w:szCs w:val="20"/>
        </w:rPr>
        <w:t>ffer as provided above and shall comply with the applicable requirements of the Securities Act, the Exchange Act and other applicable laws and regulations in connection with the Exchange Offer. The Exchange Offer shall not be subject to any conditions, oth</w:t>
      </w:r>
      <w:r>
        <w:rPr>
          <w:rFonts w:ascii="Times New Roman" w:eastAsia="Times New Roman" w:hAnsi="Times New Roman" w:cs="Times New Roman"/>
          <w:sz w:val="20"/>
          <w:szCs w:val="20"/>
        </w:rPr>
        <w:t>er than that the Exchange Offer does not violate any applicable law or applicable interpretations of the staff of the SEC.</w:t>
      </w:r>
    </w:p>
    <w:p w14:paraId="05B260AF"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2733C748" w14:textId="77777777" w:rsidR="004740A8" w:rsidRPr="007C0112" w:rsidRDefault="007C0112" w:rsidP="007C0112">
      <w:pPr>
        <w:pBdr>
          <w:top w:val="nil"/>
          <w:left w:val="nil"/>
          <w:bottom w:val="nil"/>
          <w:right w:val="nil"/>
          <w:between w:val="nil"/>
        </w:pBdr>
        <w:ind w:firstLine="720"/>
        <w:contextualSpacing w:val="0"/>
        <w:rPr>
          <w:rFonts w:ascii="Times New Roman" w:eastAsia="Times New Roman" w:hAnsi="Times New Roman" w:cs="Times New Roman"/>
        </w:rPr>
      </w:pPr>
      <w:r>
        <w:rPr>
          <w:rFonts w:ascii="Times New Roman" w:eastAsia="Times New Roman" w:hAnsi="Times New Roman" w:cs="Times New Roman"/>
          <w:sz w:val="20"/>
          <w:szCs w:val="20"/>
        </w:rPr>
        <w:t>(b)                                 In the event that (i) the Company and the Guarantors determine that the Exchange Offer Registra</w:t>
      </w:r>
      <w:r>
        <w:rPr>
          <w:rFonts w:ascii="Times New Roman" w:eastAsia="Times New Roman" w:hAnsi="Times New Roman" w:cs="Times New Roman"/>
          <w:sz w:val="20"/>
          <w:szCs w:val="20"/>
        </w:rPr>
        <w:t xml:space="preserve">tion provided for in </w:t>
      </w:r>
      <w:r>
        <w:rPr>
          <w:rFonts w:ascii="Times New Roman" w:eastAsia="Times New Roman" w:hAnsi="Times New Roman" w:cs="Times New Roman"/>
          <w:sz w:val="20"/>
          <w:szCs w:val="20"/>
          <w:u w:val="single"/>
        </w:rPr>
        <w:t>Section 2(a)</w:t>
      </w:r>
      <w:r>
        <w:rPr>
          <w:rFonts w:ascii="Times New Roman" w:eastAsia="Times New Roman" w:hAnsi="Times New Roman" w:cs="Times New Roman"/>
          <w:sz w:val="20"/>
          <w:szCs w:val="20"/>
        </w:rPr>
        <w:t xml:space="preserve"> above is not available or may not be completed as soon as practicable after the last Exchange Date because it would violate any applicable law or applicable interpretations of the staff of the SEC, (ii) the Exchange Offer </w:t>
      </w:r>
      <w:r>
        <w:rPr>
          <w:rFonts w:ascii="Times New Roman" w:eastAsia="Times New Roman" w:hAnsi="Times New Roman" w:cs="Times New Roman"/>
          <w:sz w:val="20"/>
          <w:szCs w:val="20"/>
        </w:rPr>
        <w:t>is not for any other reason Consummated within 365 calendar days following the Closing Date (unless an Exchange Offer Registration Statement has been filed within 270 calendar days of the Closing Date and has not yet been declared effective by the SEC, oth</w:t>
      </w:r>
      <w:r>
        <w:rPr>
          <w:rFonts w:ascii="Times New Roman" w:eastAsia="Times New Roman" w:hAnsi="Times New Roman" w:cs="Times New Roman"/>
          <w:sz w:val="20"/>
          <w:szCs w:val="20"/>
        </w:rPr>
        <w:t>er than as result of the fault of the Company or the Guarantors, and as a result of SEC review of data or information included or incorporated by reference in such Exchange Offer Registration Statement that would also be included or incorporated in a Shelf</w:t>
      </w:r>
      <w:r>
        <w:rPr>
          <w:rFonts w:ascii="Times New Roman" w:eastAsia="Times New Roman" w:hAnsi="Times New Roman" w:cs="Times New Roman"/>
          <w:sz w:val="20"/>
          <w:szCs w:val="20"/>
        </w:rPr>
        <w:t xml:space="preserve"> Registration Statement, the Company and the Guarantors reasonably believe that a Shelf Registration Statement would not become effective prior to consummation of the Exchange Offer), or (iii) with respect to any Holder that is not an affiliate of the Comp</w:t>
      </w:r>
      <w:r>
        <w:rPr>
          <w:rFonts w:ascii="Times New Roman" w:eastAsia="Times New Roman" w:hAnsi="Times New Roman" w:cs="Times New Roman"/>
          <w:sz w:val="20"/>
          <w:szCs w:val="20"/>
        </w:rPr>
        <w:t>any or Guarantors (A) such Holder is prohibited by applicable law or SEC policy from participating in the Exchange Offer, (B) such Holder may not resell the Exchange Securities acquired by it in the Exchange Offer to the public without delivering a prospec</w:t>
      </w:r>
      <w:r>
        <w:rPr>
          <w:rFonts w:ascii="Times New Roman" w:eastAsia="Times New Roman" w:hAnsi="Times New Roman" w:cs="Times New Roman"/>
          <w:sz w:val="20"/>
          <w:szCs w:val="20"/>
        </w:rPr>
        <w:t xml:space="preserve">tus and that the Prospectus contained in the Exchange Offer Registration Statement is not appropriate or available for such resales by such Holder, or (C) such Holder is a Participating Broker-Dealer and holds Registrable Securities acquired directly from </w:t>
      </w:r>
      <w:r>
        <w:rPr>
          <w:rFonts w:ascii="Times New Roman" w:eastAsia="Times New Roman" w:hAnsi="Times New Roman" w:cs="Times New Roman"/>
          <w:sz w:val="20"/>
          <w:szCs w:val="20"/>
        </w:rPr>
        <w:t xml:space="preserve">the Company or one of its affiliates, then, upon such Holder’s written request within six months of the first to occur of the Exchange Date or the Target Registration Date, the Company and the Guarantors shall (1) if permitted by law and SEC policy, cause </w:t>
      </w:r>
      <w:r>
        <w:rPr>
          <w:rFonts w:ascii="Times New Roman" w:eastAsia="Times New Roman" w:hAnsi="Times New Roman" w:cs="Times New Roman"/>
          <w:sz w:val="20"/>
          <w:szCs w:val="20"/>
        </w:rPr>
        <w:t>the Registrable Securities of such Holder to be reissued in a form that does not bear any restrictive legends relating to the Securities Act and to have the same CUSIP number as the Registered Initial Securities (unless it is not possible to obtain the sam</w:t>
      </w:r>
      <w:r>
        <w:rPr>
          <w:rFonts w:ascii="Times New Roman" w:eastAsia="Times New Roman" w:hAnsi="Times New Roman" w:cs="Times New Roman"/>
          <w:sz w:val="20"/>
          <w:szCs w:val="20"/>
        </w:rPr>
        <w:t xml:space="preserve">e CUSIP number following the commercially reasonable efforts of the Company to do so) so that such Registrable Securities may be sold to the public in accordance with Rule 144 under the Securities Act by a person that is not an affiliate of the Company or </w:t>
      </w:r>
      <w:r>
        <w:rPr>
          <w:rFonts w:ascii="Times New Roman" w:eastAsia="Times New Roman" w:hAnsi="Times New Roman" w:cs="Times New Roman"/>
          <w:sz w:val="20"/>
          <w:szCs w:val="20"/>
        </w:rPr>
        <w:t>any of the Guarantors where no conditions of Rule 144 are</w:t>
      </w:r>
      <w:r>
        <w:rPr>
          <w:rFonts w:ascii="Times New Roman" w:eastAsia="Times New Roman" w:hAnsi="Times New Roman" w:cs="Times New Roman" w:hint="eastAsia"/>
          <w:lang w:eastAsia="zh-CN"/>
        </w:rPr>
        <w:t xml:space="preserve"> </w:t>
      </w:r>
      <w:r>
        <w:rPr>
          <w:rFonts w:ascii="Times New Roman" w:eastAsia="Times New Roman" w:hAnsi="Times New Roman" w:cs="Times New Roman"/>
          <w:sz w:val="20"/>
          <w:szCs w:val="20"/>
        </w:rPr>
        <w:t>t</w:t>
      </w:r>
      <w:r>
        <w:rPr>
          <w:rFonts w:ascii="Times New Roman" w:eastAsia="Times New Roman" w:hAnsi="Times New Roman" w:cs="Times New Roman"/>
          <w:sz w:val="20"/>
          <w:szCs w:val="20"/>
        </w:rPr>
        <w:t>hen applicable (other than the holding period requirement in paragraph (d)(1)(ii) of Rule 144 so long as such holding period requirement is satisfied at such time of such reissue) and (2) in the event the Company cannot or does not comply with the provisi</w:t>
      </w:r>
      <w:r>
        <w:rPr>
          <w:rFonts w:ascii="Times New Roman" w:eastAsia="Times New Roman" w:hAnsi="Times New Roman" w:cs="Times New Roman"/>
          <w:sz w:val="20"/>
          <w:szCs w:val="20"/>
        </w:rPr>
        <w:t>ons of the foregoing clause within 20 Business Days of the later of (I) the date of receipt by the Company of such notice of such Holder and (II) the first to occur of the Exchange Date and the Target Registration Date (such later date being a “</w:t>
      </w:r>
      <w:r>
        <w:rPr>
          <w:rFonts w:ascii="Times New Roman" w:eastAsia="Times New Roman" w:hAnsi="Times New Roman" w:cs="Times New Roman"/>
          <w:sz w:val="20"/>
          <w:szCs w:val="20"/>
          <w:u w:val="single"/>
        </w:rPr>
        <w:t>Shelf Filin</w:t>
      </w:r>
      <w:r>
        <w:rPr>
          <w:rFonts w:ascii="Times New Roman" w:eastAsia="Times New Roman" w:hAnsi="Times New Roman" w:cs="Times New Roman"/>
          <w:sz w:val="20"/>
          <w:szCs w:val="20"/>
          <w:u w:val="single"/>
        </w:rPr>
        <w:t>g Deadline</w:t>
      </w:r>
      <w:r>
        <w:rPr>
          <w:rFonts w:ascii="Times New Roman" w:eastAsia="Times New Roman" w:hAnsi="Times New Roman" w:cs="Times New Roman"/>
          <w:sz w:val="20"/>
          <w:szCs w:val="20"/>
        </w:rPr>
        <w:t>”), then the Company and the Guarantors shall use their commercially reasonable efforts to cause to be filed as soon as practicable after such determination date, a Shelf Registration Statement providing for the sale of all the Registrable Securi</w:t>
      </w:r>
      <w:r>
        <w:rPr>
          <w:rFonts w:ascii="Times New Roman" w:eastAsia="Times New Roman" w:hAnsi="Times New Roman" w:cs="Times New Roman"/>
          <w:sz w:val="20"/>
          <w:szCs w:val="20"/>
        </w:rPr>
        <w:t>ties by the Holders thereof and to have such Shelf Registration Statement become effective.</w:t>
      </w:r>
    </w:p>
    <w:p w14:paraId="0870E75B"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6E684B7F" w14:textId="77777777" w:rsidR="004740A8" w:rsidRDefault="007C0112">
      <w:pPr>
        <w:pBdr>
          <w:top w:val="nil"/>
          <w:left w:val="nil"/>
          <w:bottom w:val="nil"/>
          <w:right w:val="nil"/>
          <w:between w:val="nil"/>
        </w:pBd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In the event that the Company and the Guarantors are required to file a Shelf Registration Statement pursuant to clause (iii) of the preceding sentence, the Compa</w:t>
      </w:r>
      <w:r>
        <w:rPr>
          <w:rFonts w:ascii="Times New Roman" w:eastAsia="Times New Roman" w:hAnsi="Times New Roman" w:cs="Times New Roman"/>
          <w:sz w:val="20"/>
          <w:szCs w:val="20"/>
        </w:rPr>
        <w:t xml:space="preserve">ny and the Guarantors shall use their commercially reasonable efforts to file and become effective both an Exchange Offer Registration Statement pursuant to </w:t>
      </w:r>
      <w:r>
        <w:rPr>
          <w:rFonts w:ascii="Times New Roman" w:eastAsia="Times New Roman" w:hAnsi="Times New Roman" w:cs="Times New Roman"/>
          <w:sz w:val="20"/>
          <w:szCs w:val="20"/>
          <w:u w:val="single"/>
        </w:rPr>
        <w:t>Section 2(a)</w:t>
      </w:r>
      <w:r>
        <w:rPr>
          <w:rFonts w:ascii="Times New Roman" w:eastAsia="Times New Roman" w:hAnsi="Times New Roman" w:cs="Times New Roman"/>
          <w:sz w:val="20"/>
          <w:szCs w:val="20"/>
        </w:rPr>
        <w:t> with respect to all Registrable Securities and a Shelf Registration Statement (which m</w:t>
      </w:r>
      <w:r>
        <w:rPr>
          <w:rFonts w:ascii="Times New Roman" w:eastAsia="Times New Roman" w:hAnsi="Times New Roman" w:cs="Times New Roman"/>
          <w:sz w:val="20"/>
          <w:szCs w:val="20"/>
        </w:rPr>
        <w:t>ay be a combined Registration Statement with the Exchange Offer Registration Statement) with respect to offers and sales of Registrable Securities held by the Initial Purchaser or such Holder after Consummation of the Exchange Offer.</w:t>
      </w:r>
    </w:p>
    <w:p w14:paraId="3225453E"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5ADE29F9" w14:textId="77777777" w:rsidR="004740A8" w:rsidRDefault="007C0112">
      <w:pPr>
        <w:pBdr>
          <w:top w:val="nil"/>
          <w:left w:val="nil"/>
          <w:bottom w:val="nil"/>
          <w:right w:val="nil"/>
          <w:between w:val="nil"/>
        </w:pBd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Company and the </w:t>
      </w:r>
      <w:r>
        <w:rPr>
          <w:rFonts w:ascii="Times New Roman" w:eastAsia="Times New Roman" w:hAnsi="Times New Roman" w:cs="Times New Roman"/>
          <w:sz w:val="20"/>
          <w:szCs w:val="20"/>
        </w:rPr>
        <w:t xml:space="preserve">Guarantors agree to use their commercially reasonable efforts (i) to cause the </w:t>
      </w:r>
      <w:r>
        <w:rPr>
          <w:rFonts w:ascii="Times New Roman" w:eastAsia="Times New Roman" w:hAnsi="Times New Roman" w:cs="Times New Roman"/>
          <w:sz w:val="20"/>
          <w:szCs w:val="20"/>
        </w:rPr>
        <w:lastRenderedPageBreak/>
        <w:t>registration statement to become effective by the 90</w:t>
      </w:r>
      <w:r>
        <w:rPr>
          <w:rFonts w:ascii="Times New Roman" w:eastAsia="Times New Roman" w:hAnsi="Times New Roman" w:cs="Times New Roman"/>
          <w:sz w:val="12"/>
          <w:szCs w:val="12"/>
        </w:rPr>
        <w:t>th</w:t>
      </w:r>
      <w:r>
        <w:rPr>
          <w:rFonts w:ascii="Times New Roman" w:eastAsia="Times New Roman" w:hAnsi="Times New Roman" w:cs="Times New Roman"/>
          <w:sz w:val="20"/>
          <w:szCs w:val="20"/>
        </w:rPr>
        <w:t> day after the Shelf Filing Deadline and (ii) to keep the Shelf Registration Statement continuously effective until the fir</w:t>
      </w:r>
      <w:r>
        <w:rPr>
          <w:rFonts w:ascii="Times New Roman" w:eastAsia="Times New Roman" w:hAnsi="Times New Roman" w:cs="Times New Roman"/>
          <w:sz w:val="20"/>
          <w:szCs w:val="20"/>
        </w:rPr>
        <w:t>st anniversary of the Closing Date or such shorter period that will terminate when all the Registrable Securities covered by the Shelf Registration Statement have been sold pursuant to the Shelf Registration Statement (the “</w:t>
      </w:r>
      <w:r>
        <w:rPr>
          <w:rFonts w:ascii="Times New Roman" w:eastAsia="Times New Roman" w:hAnsi="Times New Roman" w:cs="Times New Roman"/>
          <w:sz w:val="20"/>
          <w:szCs w:val="20"/>
          <w:u w:val="single"/>
        </w:rPr>
        <w:t>Shelf Effectiveness Period</w:t>
      </w:r>
      <w:r>
        <w:rPr>
          <w:rFonts w:ascii="Times New Roman" w:eastAsia="Times New Roman" w:hAnsi="Times New Roman" w:cs="Times New Roman"/>
          <w:sz w:val="20"/>
          <w:szCs w:val="20"/>
        </w:rPr>
        <w:t>”). Th</w:t>
      </w:r>
      <w:r>
        <w:rPr>
          <w:rFonts w:ascii="Times New Roman" w:eastAsia="Times New Roman" w:hAnsi="Times New Roman" w:cs="Times New Roman"/>
          <w:sz w:val="20"/>
          <w:szCs w:val="20"/>
        </w:rPr>
        <w:t>e Company and the Guarantors further agree to supplement or amend the Shelf Registration Statement and the related Prospectus if required by the rules, regulations or instructions applicable to the registration form used by the Company for such Shelf Regis</w:t>
      </w:r>
      <w:r>
        <w:rPr>
          <w:rFonts w:ascii="Times New Roman" w:eastAsia="Times New Roman" w:hAnsi="Times New Roman" w:cs="Times New Roman"/>
          <w:sz w:val="20"/>
          <w:szCs w:val="20"/>
        </w:rPr>
        <w:t>tration Statement or by the Securities Act or by any other rules and regulations thereunder or if reasonably requested by a Holder of Registrable Securities with respect to information relating to such Holder, and to use their commercially reasonable effor</w:t>
      </w:r>
      <w:r>
        <w:rPr>
          <w:rFonts w:ascii="Times New Roman" w:eastAsia="Times New Roman" w:hAnsi="Times New Roman" w:cs="Times New Roman"/>
          <w:sz w:val="20"/>
          <w:szCs w:val="20"/>
        </w:rPr>
        <w:t>ts to cause any such amendment to become effective and such Shelf Registration Statement and Prospectus to become usable as soon as thereafter practicable. The Company and the Guarantors agree to furnish to the Holders of Registrable Securities copies of a</w:t>
      </w:r>
      <w:r>
        <w:rPr>
          <w:rFonts w:ascii="Times New Roman" w:eastAsia="Times New Roman" w:hAnsi="Times New Roman" w:cs="Times New Roman"/>
          <w:sz w:val="20"/>
          <w:szCs w:val="20"/>
        </w:rPr>
        <w:t>ny such supplement or amendment promptly after its being used or filed with the SEC.</w:t>
      </w:r>
    </w:p>
    <w:p w14:paraId="17FD161E"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63463C83" w14:textId="77777777" w:rsidR="004740A8" w:rsidRDefault="007C0112">
      <w:pPr>
        <w:pBdr>
          <w:top w:val="nil"/>
          <w:left w:val="nil"/>
          <w:bottom w:val="nil"/>
          <w:right w:val="nil"/>
          <w:between w:val="nil"/>
        </w:pBd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(c)                                  Each of the Company and the Guarantors shall be deemed not to have used commercially reasonable efforts to keep the Shelf Registrati</w:t>
      </w:r>
      <w:r>
        <w:rPr>
          <w:rFonts w:ascii="Times New Roman" w:eastAsia="Times New Roman" w:hAnsi="Times New Roman" w:cs="Times New Roman"/>
          <w:sz w:val="20"/>
          <w:szCs w:val="20"/>
        </w:rPr>
        <w:t>on Statement effective during the requisite period if any of the Company or the Guarantors voluntarily takes any action that would result in Holders of Registrable Securities covered thereby not being able to offer and sell such Registrable Securities duri</w:t>
      </w:r>
      <w:r>
        <w:rPr>
          <w:rFonts w:ascii="Times New Roman" w:eastAsia="Times New Roman" w:hAnsi="Times New Roman" w:cs="Times New Roman"/>
          <w:sz w:val="20"/>
          <w:szCs w:val="20"/>
        </w:rPr>
        <w:t>ng that period, unless (X) such action is required by applicable law or SEC policy; or (Y) such action is taken by any of the Company or Guarantors in good faith and for valid business reasons (not including avoidance of the Company or the Guarantors oblig</w:t>
      </w:r>
      <w:r>
        <w:rPr>
          <w:rFonts w:ascii="Times New Roman" w:eastAsia="Times New Roman" w:hAnsi="Times New Roman" w:cs="Times New Roman"/>
          <w:sz w:val="20"/>
          <w:szCs w:val="20"/>
        </w:rPr>
        <w:t>ations hereunder) including, but not limited to, the acquisition or divestiture of assets (the period during which the Shelf Registration Statement is not available under clauses (X) or (Y) above, the “</w:t>
      </w:r>
      <w:r>
        <w:rPr>
          <w:rFonts w:ascii="Times New Roman" w:eastAsia="Times New Roman" w:hAnsi="Times New Roman" w:cs="Times New Roman"/>
          <w:sz w:val="20"/>
          <w:szCs w:val="20"/>
          <w:u w:val="single"/>
        </w:rPr>
        <w:t>Blackout Period</w:t>
      </w:r>
      <w:r>
        <w:rPr>
          <w:rFonts w:ascii="Times New Roman" w:eastAsia="Times New Roman" w:hAnsi="Times New Roman" w:cs="Times New Roman"/>
          <w:sz w:val="20"/>
          <w:szCs w:val="20"/>
        </w:rPr>
        <w:t>”). The Blackout Period shall not excee</w:t>
      </w:r>
      <w:r>
        <w:rPr>
          <w:rFonts w:ascii="Times New Roman" w:eastAsia="Times New Roman" w:hAnsi="Times New Roman" w:cs="Times New Roman"/>
          <w:sz w:val="20"/>
          <w:szCs w:val="20"/>
        </w:rPr>
        <w:t>d 45 days in any three-month period or 90 days in any twelve-month period.</w:t>
      </w:r>
    </w:p>
    <w:p w14:paraId="188C4F99"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59D66A89" w14:textId="77777777" w:rsidR="004740A8" w:rsidRDefault="004740A8" w:rsidP="007C0112">
      <w:pPr>
        <w:pBdr>
          <w:top w:val="nil"/>
          <w:left w:val="nil"/>
          <w:bottom w:val="nil"/>
          <w:right w:val="nil"/>
          <w:between w:val="nil"/>
        </w:pBdr>
        <w:contextualSpacing w:val="0"/>
        <w:rPr>
          <w:rFonts w:ascii="Times New Roman" w:eastAsia="Times New Roman" w:hAnsi="Times New Roman" w:cs="Times New Roman" w:hint="eastAsia"/>
          <w:sz w:val="20"/>
          <w:szCs w:val="20"/>
          <w:lang w:eastAsia="zh-CN"/>
        </w:rPr>
      </w:pPr>
      <w:bookmarkStart w:id="3" w:name="1t3h5sf" w:colFirst="0" w:colLast="0"/>
      <w:bookmarkEnd w:id="3"/>
    </w:p>
    <w:p w14:paraId="11C1EE54" w14:textId="77777777" w:rsidR="004740A8" w:rsidRDefault="004740A8">
      <w:pPr>
        <w:pBdr>
          <w:top w:val="nil"/>
          <w:left w:val="nil"/>
          <w:bottom w:val="nil"/>
          <w:right w:val="nil"/>
          <w:between w:val="nil"/>
        </w:pBdr>
        <w:contextualSpacing w:val="0"/>
        <w:rPr>
          <w:rFonts w:ascii="Times New Roman" w:eastAsia="Times New Roman" w:hAnsi="Times New Roman" w:cs="Times New Roman"/>
          <w:sz w:val="20"/>
          <w:szCs w:val="20"/>
        </w:rPr>
      </w:pPr>
    </w:p>
    <w:p w14:paraId="57E0B6D9" w14:textId="77777777" w:rsidR="004740A8" w:rsidRDefault="004740A8">
      <w:pPr>
        <w:pBdr>
          <w:top w:val="nil"/>
          <w:left w:val="nil"/>
          <w:bottom w:val="nil"/>
          <w:right w:val="nil"/>
          <w:between w:val="nil"/>
        </w:pBdr>
        <w:contextualSpacing w:val="0"/>
        <w:rPr>
          <w:rFonts w:ascii="Times New Roman" w:eastAsia="Times New Roman" w:hAnsi="Times New Roman" w:cs="Times New Roman"/>
          <w:sz w:val="20"/>
          <w:szCs w:val="20"/>
        </w:rPr>
      </w:pPr>
    </w:p>
    <w:p w14:paraId="62D394B9"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69FD5AA4" w14:textId="77777777" w:rsidR="004740A8" w:rsidRDefault="007C0112">
      <w:pPr>
        <w:pBdr>
          <w:top w:val="nil"/>
          <w:left w:val="nil"/>
          <w:bottom w:val="nil"/>
          <w:right w:val="nil"/>
          <w:between w:val="nil"/>
        </w:pBd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                                 The Company and the Guarantors shall pay all Registration Expenses in connection with any registration pursuant to </w:t>
      </w:r>
      <w:r>
        <w:rPr>
          <w:rFonts w:ascii="Times New Roman" w:eastAsia="Times New Roman" w:hAnsi="Times New Roman" w:cs="Times New Roman"/>
          <w:sz w:val="20"/>
          <w:szCs w:val="20"/>
          <w:u w:val="single"/>
        </w:rPr>
        <w:t>Section 2(a)</w:t>
      </w:r>
      <w:r>
        <w:rPr>
          <w:rFonts w:ascii="Times New Roman" w:eastAsia="Times New Roman" w:hAnsi="Times New Roman" w:cs="Times New Roman"/>
          <w:sz w:val="20"/>
          <w:szCs w:val="20"/>
        </w:rPr>
        <w:t xml:space="preserve"> or </w:t>
      </w:r>
      <w:r>
        <w:rPr>
          <w:rFonts w:ascii="Times New Roman" w:eastAsia="Times New Roman" w:hAnsi="Times New Roman" w:cs="Times New Roman"/>
          <w:sz w:val="20"/>
          <w:szCs w:val="20"/>
          <w:u w:val="single"/>
        </w:rPr>
        <w:t>Section 2(b)</w:t>
      </w:r>
      <w:r>
        <w:rPr>
          <w:rFonts w:ascii="Times New Roman" w:eastAsia="Times New Roman" w:hAnsi="Times New Roman" w:cs="Times New Roman"/>
          <w:sz w:val="20"/>
          <w:szCs w:val="20"/>
        </w:rPr>
        <w:t> hereof. Each Holder shall pay all underwriting discounts and commissions, brokerage commissions and transfer taxes, if any, relating to the sale or disposition of such Holder’s Registrable Securities pursuant to the Shelf Registration Statemen</w:t>
      </w:r>
      <w:r>
        <w:rPr>
          <w:rFonts w:ascii="Times New Roman" w:eastAsia="Times New Roman" w:hAnsi="Times New Roman" w:cs="Times New Roman"/>
          <w:sz w:val="20"/>
          <w:szCs w:val="20"/>
        </w:rPr>
        <w:t>t.</w:t>
      </w:r>
    </w:p>
    <w:p w14:paraId="378B32D3"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72299C0B" w14:textId="77777777" w:rsidR="004740A8" w:rsidRDefault="007C0112">
      <w:pPr>
        <w:pBdr>
          <w:top w:val="nil"/>
          <w:left w:val="nil"/>
          <w:bottom w:val="nil"/>
          <w:right w:val="nil"/>
          <w:between w:val="nil"/>
        </w:pBd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                                  An Exchange Offer Registration Statement pursuant to </w:t>
      </w:r>
      <w:r>
        <w:rPr>
          <w:rFonts w:ascii="Times New Roman" w:eastAsia="Times New Roman" w:hAnsi="Times New Roman" w:cs="Times New Roman"/>
          <w:sz w:val="20"/>
          <w:szCs w:val="20"/>
          <w:u w:val="single"/>
        </w:rPr>
        <w:t>Section 2(a)</w:t>
      </w:r>
      <w:r>
        <w:rPr>
          <w:rFonts w:ascii="Times New Roman" w:eastAsia="Times New Roman" w:hAnsi="Times New Roman" w:cs="Times New Roman"/>
          <w:sz w:val="20"/>
          <w:szCs w:val="20"/>
        </w:rPr>
        <w:t xml:space="preserve"> hereof or a Shelf Registration Statement pursuant to </w:t>
      </w:r>
      <w:r>
        <w:rPr>
          <w:rFonts w:ascii="Times New Roman" w:eastAsia="Times New Roman" w:hAnsi="Times New Roman" w:cs="Times New Roman"/>
          <w:sz w:val="20"/>
          <w:szCs w:val="20"/>
          <w:u w:val="single"/>
        </w:rPr>
        <w:t>Section 2(b)</w:t>
      </w:r>
      <w:r>
        <w:rPr>
          <w:rFonts w:ascii="Times New Roman" w:eastAsia="Times New Roman" w:hAnsi="Times New Roman" w:cs="Times New Roman"/>
          <w:sz w:val="20"/>
          <w:szCs w:val="20"/>
        </w:rPr>
        <w:t> hereof will not be deemed to have become effective unless it has been declared eff</w:t>
      </w:r>
      <w:r>
        <w:rPr>
          <w:rFonts w:ascii="Times New Roman" w:eastAsia="Times New Roman" w:hAnsi="Times New Roman" w:cs="Times New Roman"/>
          <w:sz w:val="20"/>
          <w:szCs w:val="20"/>
        </w:rPr>
        <w:t>ective by the SEC.</w:t>
      </w:r>
    </w:p>
    <w:p w14:paraId="41545891"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5BD69535" w14:textId="77777777" w:rsidR="004740A8" w:rsidRDefault="007C0112">
      <w:pPr>
        <w:pBdr>
          <w:top w:val="nil"/>
          <w:left w:val="nil"/>
          <w:bottom w:val="nil"/>
          <w:right w:val="nil"/>
          <w:between w:val="nil"/>
        </w:pBd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In the event that the Exchange Offer is not Consummated on or prior to the 365th calendar day after the Closing Date (or, if such 365th day is not a Business Day, the next succeeding Business Day) (the “</w:t>
      </w:r>
      <w:r>
        <w:rPr>
          <w:rFonts w:ascii="Times New Roman" w:eastAsia="Times New Roman" w:hAnsi="Times New Roman" w:cs="Times New Roman"/>
          <w:sz w:val="20"/>
          <w:szCs w:val="20"/>
          <w:u w:val="single"/>
        </w:rPr>
        <w:t>Target Registration Date</w:t>
      </w:r>
      <w:r>
        <w:rPr>
          <w:rFonts w:ascii="Times New Roman" w:eastAsia="Times New Roman" w:hAnsi="Times New Roman" w:cs="Times New Roman"/>
          <w:sz w:val="20"/>
          <w:szCs w:val="20"/>
        </w:rPr>
        <w:t xml:space="preserve">”), the </w:t>
      </w:r>
      <w:r>
        <w:rPr>
          <w:rFonts w:ascii="Times New Roman" w:eastAsia="Times New Roman" w:hAnsi="Times New Roman" w:cs="Times New Roman"/>
          <w:sz w:val="20"/>
          <w:szCs w:val="20"/>
        </w:rPr>
        <w:t>interest rate on the New Securities will be increased by (i) 0.25% per annum for the first 90-day period payable commencing from one day after the Target Registration Date, and (ii) an additional 0.25% per annum following such 90-day period, in each case u</w:t>
      </w:r>
      <w:r>
        <w:rPr>
          <w:rFonts w:ascii="Times New Roman" w:eastAsia="Times New Roman" w:hAnsi="Times New Roman" w:cs="Times New Roman"/>
          <w:sz w:val="20"/>
          <w:szCs w:val="20"/>
        </w:rPr>
        <w:t>ntil the Exchange Offer is Consummated, such that the maximum rate of additional interest would be 0.50% per annum, at which time such additional interest will cease to accrue and the interest rate on the New Securities will revert to the original rate.</w:t>
      </w:r>
    </w:p>
    <w:p w14:paraId="5226E69F"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396A4FD5" w14:textId="77777777" w:rsidR="004740A8" w:rsidRDefault="007C0112">
      <w:pPr>
        <w:pBdr>
          <w:top w:val="nil"/>
          <w:left w:val="nil"/>
          <w:bottom w:val="nil"/>
          <w:right w:val="nil"/>
          <w:between w:val="nil"/>
        </w:pBd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the event that the Company is obligated to file a Shelf Registration Statement pursuant to </w:t>
      </w:r>
      <w:r>
        <w:rPr>
          <w:rFonts w:ascii="Times New Roman" w:eastAsia="Times New Roman" w:hAnsi="Times New Roman" w:cs="Times New Roman"/>
          <w:sz w:val="20"/>
          <w:szCs w:val="20"/>
          <w:u w:val="single"/>
        </w:rPr>
        <w:t>Section 2(b)</w:t>
      </w:r>
      <w:r>
        <w:rPr>
          <w:rFonts w:ascii="Times New Roman" w:eastAsia="Times New Roman" w:hAnsi="Times New Roman" w:cs="Times New Roman"/>
          <w:sz w:val="20"/>
          <w:szCs w:val="20"/>
        </w:rPr>
        <w:t xml:space="preserve">, and the Shelf Registration Statement required to be filed thereby does not become effective prior to the 90th day after the obligation to file such </w:t>
      </w:r>
      <w:r>
        <w:rPr>
          <w:rFonts w:ascii="Times New Roman" w:eastAsia="Times New Roman" w:hAnsi="Times New Roman" w:cs="Times New Roman"/>
          <w:sz w:val="20"/>
          <w:szCs w:val="20"/>
        </w:rPr>
        <w:t xml:space="preserve">Shelf Registration arises pursuant to </w:t>
      </w:r>
      <w:r>
        <w:rPr>
          <w:rFonts w:ascii="Times New Roman" w:eastAsia="Times New Roman" w:hAnsi="Times New Roman" w:cs="Times New Roman"/>
          <w:sz w:val="20"/>
          <w:szCs w:val="20"/>
          <w:u w:val="single"/>
        </w:rPr>
        <w:t>Section 2(b)</w:t>
      </w:r>
      <w:r>
        <w:rPr>
          <w:rFonts w:ascii="Times New Roman" w:eastAsia="Times New Roman" w:hAnsi="Times New Roman" w:cs="Times New Roman"/>
          <w:sz w:val="20"/>
          <w:szCs w:val="20"/>
        </w:rPr>
        <w:t> (or if such 90</w:t>
      </w:r>
      <w:r>
        <w:rPr>
          <w:rFonts w:ascii="Times New Roman" w:eastAsia="Times New Roman" w:hAnsi="Times New Roman" w:cs="Times New Roman"/>
          <w:sz w:val="12"/>
          <w:szCs w:val="12"/>
        </w:rPr>
        <w:t>th</w:t>
      </w:r>
      <w:r>
        <w:rPr>
          <w:rFonts w:ascii="Times New Roman" w:eastAsia="Times New Roman" w:hAnsi="Times New Roman" w:cs="Times New Roman"/>
          <w:sz w:val="20"/>
          <w:szCs w:val="20"/>
        </w:rPr>
        <w:t> day is not a Business Day, the next succeeding Business Day) (such later date, the “</w:t>
      </w:r>
      <w:r>
        <w:rPr>
          <w:rFonts w:ascii="Times New Roman" w:eastAsia="Times New Roman" w:hAnsi="Times New Roman" w:cs="Times New Roman"/>
          <w:sz w:val="20"/>
          <w:szCs w:val="20"/>
          <w:u w:val="single"/>
        </w:rPr>
        <w:t>Shelf Additional Interest Date</w:t>
      </w:r>
      <w:r>
        <w:rPr>
          <w:rFonts w:ascii="Times New Roman" w:eastAsia="Times New Roman" w:hAnsi="Times New Roman" w:cs="Times New Roman"/>
          <w:sz w:val="20"/>
          <w:szCs w:val="20"/>
        </w:rPr>
        <w:t>”), the interest rate on the New Securities will be increased by (i) 0.25%</w:t>
      </w:r>
      <w:r>
        <w:rPr>
          <w:rFonts w:ascii="Times New Roman" w:eastAsia="Times New Roman" w:hAnsi="Times New Roman" w:cs="Times New Roman"/>
          <w:sz w:val="20"/>
          <w:szCs w:val="20"/>
        </w:rPr>
        <w:t xml:space="preserve"> per annum for the first 90-day period payable commencing from one day after the Shelf Additional Interest Date, and (ii) an additional 0.25% per annum following such 90-day period, in each case until the Shelf Registration Statement becomes effective, suc</w:t>
      </w:r>
      <w:r>
        <w:rPr>
          <w:rFonts w:ascii="Times New Roman" w:eastAsia="Times New Roman" w:hAnsi="Times New Roman" w:cs="Times New Roman"/>
          <w:sz w:val="20"/>
          <w:szCs w:val="20"/>
        </w:rPr>
        <w:t>h that the maximum rate of additional interest would be 0.50% per annum, at which time such additional interest will cease to accrue and the interest rate on the New Securities will revert to the original rate.</w:t>
      </w:r>
    </w:p>
    <w:p w14:paraId="3E8571B3"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2067B945" w14:textId="77777777" w:rsidR="004740A8" w:rsidRDefault="007C0112">
      <w:pPr>
        <w:pBdr>
          <w:top w:val="nil"/>
          <w:left w:val="nil"/>
          <w:bottom w:val="nil"/>
          <w:right w:val="nil"/>
          <w:between w:val="nil"/>
        </w:pBd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If the Shelf Registration Statement, if req</w:t>
      </w:r>
      <w:r>
        <w:rPr>
          <w:rFonts w:ascii="Times New Roman" w:eastAsia="Times New Roman" w:hAnsi="Times New Roman" w:cs="Times New Roman"/>
          <w:sz w:val="20"/>
          <w:szCs w:val="20"/>
        </w:rPr>
        <w:t xml:space="preserve">uired hereby, has become effective and thereafter either ceases to </w:t>
      </w:r>
      <w:r>
        <w:rPr>
          <w:rFonts w:ascii="Times New Roman" w:eastAsia="Times New Roman" w:hAnsi="Times New Roman" w:cs="Times New Roman"/>
          <w:sz w:val="20"/>
          <w:szCs w:val="20"/>
        </w:rPr>
        <w:lastRenderedPageBreak/>
        <w:t>be effective or the Prospectus contained therein ceases to be usable, in each case whether or not permitted by this Agreement, at any time during the Shelf Effectiveness Period, and such fa</w:t>
      </w:r>
      <w:r>
        <w:rPr>
          <w:rFonts w:ascii="Times New Roman" w:eastAsia="Times New Roman" w:hAnsi="Times New Roman" w:cs="Times New Roman"/>
          <w:sz w:val="20"/>
          <w:szCs w:val="20"/>
        </w:rPr>
        <w:t xml:space="preserve">ilure to remain effective or usable exists for more than 30 days (whether or not consecutive) in any 12-month period, excluding any Blackout Period, then the interest rate on the New Securities will be increased by (i) 0.25% per annum for the first 90-day </w:t>
      </w:r>
      <w:r>
        <w:rPr>
          <w:rFonts w:ascii="Times New Roman" w:eastAsia="Times New Roman" w:hAnsi="Times New Roman" w:cs="Times New Roman"/>
          <w:sz w:val="20"/>
          <w:szCs w:val="20"/>
        </w:rPr>
        <w:t>period commencing on the 31st day in such 12-month period and (ii) an additional 0.25% per annum following such 90-day period and ending on such date that the Shelf Registration Statement has again become effective or the Prospectus again becomes usable, s</w:t>
      </w:r>
      <w:r>
        <w:rPr>
          <w:rFonts w:ascii="Times New Roman" w:eastAsia="Times New Roman" w:hAnsi="Times New Roman" w:cs="Times New Roman"/>
          <w:sz w:val="20"/>
          <w:szCs w:val="20"/>
        </w:rPr>
        <w:t>uch that the maximum rate of additional interest would be 0.50% per annum of additional interest.</w:t>
      </w:r>
    </w:p>
    <w:p w14:paraId="463B4C5B"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6BED130D" w14:textId="77777777" w:rsidR="004740A8" w:rsidRDefault="007C0112">
      <w:pPr>
        <w:pBdr>
          <w:top w:val="nil"/>
          <w:left w:val="nil"/>
          <w:bottom w:val="nil"/>
          <w:right w:val="nil"/>
          <w:between w:val="nil"/>
        </w:pBd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In no event will additional interest accrue under more than one of the foregoing three paragraphs at any one time.</w:t>
      </w:r>
    </w:p>
    <w:p w14:paraId="0100CB51" w14:textId="77777777" w:rsidR="004740A8" w:rsidRDefault="007C0112" w:rsidP="007C0112">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rPr>
        <w:t> </w:t>
      </w:r>
    </w:p>
    <w:p w14:paraId="1684A3FE" w14:textId="77777777" w:rsidR="004740A8" w:rsidRDefault="004740A8">
      <w:pPr>
        <w:pBdr>
          <w:top w:val="nil"/>
          <w:left w:val="nil"/>
          <w:bottom w:val="nil"/>
          <w:right w:val="nil"/>
          <w:between w:val="nil"/>
        </w:pBdr>
        <w:ind w:firstLine="720"/>
        <w:contextualSpacing w:val="0"/>
        <w:rPr>
          <w:rFonts w:ascii="Times New Roman" w:eastAsia="Times New Roman" w:hAnsi="Times New Roman" w:cs="Times New Roman"/>
          <w:sz w:val="20"/>
          <w:szCs w:val="20"/>
        </w:rPr>
      </w:pPr>
    </w:p>
    <w:p w14:paraId="7993F846" w14:textId="77777777" w:rsidR="004740A8" w:rsidRDefault="007C0112">
      <w:pPr>
        <w:pBdr>
          <w:top w:val="nil"/>
          <w:left w:val="nil"/>
          <w:bottom w:val="nil"/>
          <w:right w:val="nil"/>
          <w:between w:val="nil"/>
        </w:pBdr>
        <w:ind w:firstLine="720"/>
        <w:contextualSpacing w:val="0"/>
        <w:rPr>
          <w:rFonts w:ascii="Times New Roman" w:eastAsia="Times New Roman" w:hAnsi="Times New Roman" w:cs="Times New Roman"/>
        </w:rPr>
      </w:pPr>
      <w:r>
        <w:rPr>
          <w:rFonts w:ascii="Times New Roman" w:eastAsia="Times New Roman" w:hAnsi="Times New Roman" w:cs="Times New Roman"/>
        </w:rPr>
        <w:t> </w:t>
      </w:r>
    </w:p>
    <w:p w14:paraId="3CA89931" w14:textId="77777777" w:rsidR="004740A8" w:rsidRDefault="007C0112">
      <w:pPr>
        <w:pBdr>
          <w:top w:val="nil"/>
          <w:left w:val="nil"/>
          <w:bottom w:val="nil"/>
          <w:right w:val="nil"/>
          <w:between w:val="nil"/>
        </w:pBd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                                   Any additional interest paid in accordance with this </w:t>
      </w:r>
      <w:r>
        <w:rPr>
          <w:rFonts w:ascii="Times New Roman" w:eastAsia="Times New Roman" w:hAnsi="Times New Roman" w:cs="Times New Roman"/>
          <w:sz w:val="20"/>
          <w:szCs w:val="20"/>
          <w:u w:val="single"/>
        </w:rPr>
        <w:t>Section 2</w:t>
      </w:r>
      <w:r>
        <w:rPr>
          <w:rFonts w:ascii="Times New Roman" w:eastAsia="Times New Roman" w:hAnsi="Times New Roman" w:cs="Times New Roman"/>
          <w:sz w:val="20"/>
          <w:szCs w:val="20"/>
        </w:rPr>
        <w:t xml:space="preserve"> shall be liquidated damages and shall be the sole and exclusive remedy available to Holders due to a failure by the Company to comply with their obligation</w:t>
      </w:r>
      <w:r>
        <w:rPr>
          <w:rFonts w:ascii="Times New Roman" w:eastAsia="Times New Roman" w:hAnsi="Times New Roman" w:cs="Times New Roman"/>
          <w:sz w:val="20"/>
          <w:szCs w:val="20"/>
        </w:rPr>
        <w:t xml:space="preserve">s under </w:t>
      </w:r>
      <w:r>
        <w:rPr>
          <w:rFonts w:ascii="Times New Roman" w:eastAsia="Times New Roman" w:hAnsi="Times New Roman" w:cs="Times New Roman"/>
          <w:sz w:val="20"/>
          <w:szCs w:val="20"/>
          <w:u w:val="single"/>
        </w:rPr>
        <w:t>Section 2(a)</w:t>
      </w:r>
      <w:r>
        <w:rPr>
          <w:rFonts w:ascii="Times New Roman" w:eastAsia="Times New Roman" w:hAnsi="Times New Roman" w:cs="Times New Roman"/>
          <w:sz w:val="20"/>
          <w:szCs w:val="20"/>
        </w:rPr>
        <w:t xml:space="preserve"> and </w:t>
      </w:r>
      <w:r>
        <w:rPr>
          <w:rFonts w:ascii="Times New Roman" w:eastAsia="Times New Roman" w:hAnsi="Times New Roman" w:cs="Times New Roman"/>
          <w:sz w:val="20"/>
          <w:szCs w:val="20"/>
          <w:u w:val="single"/>
        </w:rPr>
        <w:t>Section 2(b)</w:t>
      </w:r>
      <w:r>
        <w:rPr>
          <w:rFonts w:ascii="Times New Roman" w:eastAsia="Times New Roman" w:hAnsi="Times New Roman" w:cs="Times New Roman"/>
          <w:sz w:val="20"/>
          <w:szCs w:val="20"/>
        </w:rPr>
        <w:t>.</w:t>
      </w:r>
    </w:p>
    <w:p w14:paraId="2B09C37F"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309D98AF" w14:textId="77777777" w:rsidR="004740A8" w:rsidRDefault="007C0112">
      <w:pPr>
        <w:pBdr>
          <w:top w:val="nil"/>
          <w:left w:val="nil"/>
          <w:bottom w:val="nil"/>
          <w:right w:val="nil"/>
          <w:between w:val="nil"/>
        </w:pBd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3.                                      </w:t>
      </w:r>
      <w:r>
        <w:rPr>
          <w:rFonts w:ascii="Times New Roman" w:eastAsia="Times New Roman" w:hAnsi="Times New Roman" w:cs="Times New Roman"/>
          <w:sz w:val="20"/>
          <w:szCs w:val="20"/>
          <w:u w:val="single"/>
        </w:rPr>
        <w:t>Registration Procedures</w:t>
      </w:r>
      <w:r>
        <w:rPr>
          <w:rFonts w:ascii="Times New Roman" w:eastAsia="Times New Roman" w:hAnsi="Times New Roman" w:cs="Times New Roman"/>
          <w:sz w:val="20"/>
          <w:szCs w:val="20"/>
        </w:rPr>
        <w:t xml:space="preserve">. In connection with their obligations pursuant to </w:t>
      </w:r>
      <w:r>
        <w:rPr>
          <w:rFonts w:ascii="Times New Roman" w:eastAsia="Times New Roman" w:hAnsi="Times New Roman" w:cs="Times New Roman"/>
          <w:sz w:val="20"/>
          <w:szCs w:val="20"/>
          <w:u w:val="single"/>
        </w:rPr>
        <w:t>Section 2(a)</w:t>
      </w:r>
      <w:r>
        <w:rPr>
          <w:rFonts w:ascii="Times New Roman" w:eastAsia="Times New Roman" w:hAnsi="Times New Roman" w:cs="Times New Roman"/>
          <w:sz w:val="20"/>
          <w:szCs w:val="20"/>
        </w:rPr>
        <w:t xml:space="preserve"> and </w:t>
      </w:r>
      <w:r>
        <w:rPr>
          <w:rFonts w:ascii="Times New Roman" w:eastAsia="Times New Roman" w:hAnsi="Times New Roman" w:cs="Times New Roman"/>
          <w:sz w:val="20"/>
          <w:szCs w:val="20"/>
          <w:u w:val="single"/>
        </w:rPr>
        <w:t>Section 2(b)</w:t>
      </w:r>
      <w:r>
        <w:rPr>
          <w:rFonts w:ascii="Times New Roman" w:eastAsia="Times New Roman" w:hAnsi="Times New Roman" w:cs="Times New Roman"/>
          <w:sz w:val="20"/>
          <w:szCs w:val="20"/>
        </w:rPr>
        <w:t> hereof, the Company and the Guarantors shall as expeditiously as possible:</w:t>
      </w:r>
    </w:p>
    <w:p w14:paraId="28F7383C"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2F35144A" w14:textId="77777777" w:rsidR="004740A8" w:rsidRDefault="007C0112">
      <w:pPr>
        <w:pBdr>
          <w:top w:val="nil"/>
          <w:left w:val="nil"/>
          <w:bottom w:val="nil"/>
          <w:right w:val="nil"/>
          <w:between w:val="nil"/>
        </w:pBd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(a)                                 prepare and file with the SEC a Registration Statement on the appropriate form under the Securities Act, which form (x) shall be selected by t</w:t>
      </w:r>
      <w:r>
        <w:rPr>
          <w:rFonts w:ascii="Times New Roman" w:eastAsia="Times New Roman" w:hAnsi="Times New Roman" w:cs="Times New Roman"/>
          <w:sz w:val="20"/>
          <w:szCs w:val="20"/>
        </w:rPr>
        <w:t>he Company and the Guarantors, (y) shall, in the case of a Shelf Registration, be available for the sale of the Registrable Securities by the Holders thereof and (z) shall comply as to form in all material respects with the requirements of the applicable f</w:t>
      </w:r>
      <w:r>
        <w:rPr>
          <w:rFonts w:ascii="Times New Roman" w:eastAsia="Times New Roman" w:hAnsi="Times New Roman" w:cs="Times New Roman"/>
          <w:sz w:val="20"/>
          <w:szCs w:val="20"/>
        </w:rPr>
        <w:t xml:space="preserve">orm and include all financial statements required by the SEC to be filed therewith; and use their commercially reasonable efforts to cause such Registration Statement to become effective and remain effective for the applicable period in accordance with </w:t>
      </w:r>
      <w:r>
        <w:rPr>
          <w:rFonts w:ascii="Times New Roman" w:eastAsia="Times New Roman" w:hAnsi="Times New Roman" w:cs="Times New Roman"/>
          <w:sz w:val="20"/>
          <w:szCs w:val="20"/>
          <w:u w:val="single"/>
        </w:rPr>
        <w:t>Sec</w:t>
      </w:r>
      <w:r>
        <w:rPr>
          <w:rFonts w:ascii="Times New Roman" w:eastAsia="Times New Roman" w:hAnsi="Times New Roman" w:cs="Times New Roman"/>
          <w:sz w:val="20"/>
          <w:szCs w:val="20"/>
          <w:u w:val="single"/>
        </w:rPr>
        <w:t>tion 2</w:t>
      </w:r>
      <w:r>
        <w:rPr>
          <w:rFonts w:ascii="Times New Roman" w:eastAsia="Times New Roman" w:hAnsi="Times New Roman" w:cs="Times New Roman"/>
          <w:sz w:val="20"/>
          <w:szCs w:val="20"/>
        </w:rPr>
        <w:t xml:space="preserve"> hereof, subject to the provisions applicable to Exchange Offer Registration Statement Suspension Periods and Blackout Periods and the other provisions of this </w:t>
      </w:r>
      <w:r>
        <w:rPr>
          <w:rFonts w:ascii="Times New Roman" w:eastAsia="Times New Roman" w:hAnsi="Times New Roman" w:cs="Times New Roman"/>
          <w:sz w:val="20"/>
          <w:szCs w:val="20"/>
          <w:u w:val="single"/>
        </w:rPr>
        <w:t>Section 3</w:t>
      </w:r>
      <w:r>
        <w:rPr>
          <w:rFonts w:ascii="Times New Roman" w:eastAsia="Times New Roman" w:hAnsi="Times New Roman" w:cs="Times New Roman"/>
          <w:sz w:val="20"/>
          <w:szCs w:val="20"/>
        </w:rPr>
        <w:t>;</w:t>
      </w:r>
    </w:p>
    <w:p w14:paraId="22582118"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29FA50C4" w14:textId="77777777" w:rsidR="004740A8" w:rsidRDefault="007C0112">
      <w:pPr>
        <w:pBdr>
          <w:top w:val="nil"/>
          <w:left w:val="nil"/>
          <w:bottom w:val="nil"/>
          <w:right w:val="nil"/>
          <w:between w:val="nil"/>
        </w:pBd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(b)                                 prepare and file with the SEC such amendm</w:t>
      </w:r>
      <w:r>
        <w:rPr>
          <w:rFonts w:ascii="Times New Roman" w:eastAsia="Times New Roman" w:hAnsi="Times New Roman" w:cs="Times New Roman"/>
          <w:sz w:val="20"/>
          <w:szCs w:val="20"/>
        </w:rPr>
        <w:t xml:space="preserve">ents and post-effective amendments to each Registration Statement as may be necessary to keep such Registration Statement effective for the applicable period in accordance with </w:t>
      </w:r>
      <w:r>
        <w:rPr>
          <w:rFonts w:ascii="Times New Roman" w:eastAsia="Times New Roman" w:hAnsi="Times New Roman" w:cs="Times New Roman"/>
          <w:sz w:val="20"/>
          <w:szCs w:val="20"/>
          <w:u w:val="single"/>
        </w:rPr>
        <w:t>Section 2</w:t>
      </w:r>
      <w:r>
        <w:rPr>
          <w:rFonts w:ascii="Times New Roman" w:eastAsia="Times New Roman" w:hAnsi="Times New Roman" w:cs="Times New Roman"/>
          <w:sz w:val="20"/>
          <w:szCs w:val="20"/>
        </w:rPr>
        <w:t xml:space="preserve"> hereof and cause each Prospectus to be supplemented by any required p</w:t>
      </w:r>
      <w:r>
        <w:rPr>
          <w:rFonts w:ascii="Times New Roman" w:eastAsia="Times New Roman" w:hAnsi="Times New Roman" w:cs="Times New Roman"/>
          <w:sz w:val="20"/>
          <w:szCs w:val="20"/>
        </w:rPr>
        <w:t>rospectus supplement and, as so supplemented, to be filed pursuant to Rule 424 under the Securities Act; and keep each Prospectus current during the period described in Section 4(3) of and Rule 174 under the Securities Act that is applicable to transaction</w:t>
      </w:r>
      <w:r>
        <w:rPr>
          <w:rFonts w:ascii="Times New Roman" w:eastAsia="Times New Roman" w:hAnsi="Times New Roman" w:cs="Times New Roman"/>
          <w:sz w:val="20"/>
          <w:szCs w:val="20"/>
        </w:rPr>
        <w:t>s by brokers or dealers with respect to the Registrable Securities or Exchange Securities;</w:t>
      </w:r>
    </w:p>
    <w:p w14:paraId="02F927C7"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2B77B617" w14:textId="77777777" w:rsidR="004740A8" w:rsidRDefault="007C0112">
      <w:pPr>
        <w:pBdr>
          <w:top w:val="nil"/>
          <w:left w:val="nil"/>
          <w:bottom w:val="nil"/>
          <w:right w:val="nil"/>
          <w:between w:val="nil"/>
        </w:pBd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(c)                                  in the case of a Shelf Registration, furnish to each Holder of Registrable Securities, to counsel for the Initial Purchaser, to counsel for such Holders and to each Underwriter of an Underwritten Offering of Registrable</w:t>
      </w:r>
      <w:r>
        <w:rPr>
          <w:rFonts w:ascii="Times New Roman" w:eastAsia="Times New Roman" w:hAnsi="Times New Roman" w:cs="Times New Roman"/>
          <w:sz w:val="20"/>
          <w:szCs w:val="20"/>
        </w:rPr>
        <w:t xml:space="preserve"> Securities, if any, without charge, as many copies of each Prospectus, including each preliminary prospectus, and any amendment or supplement thereto, in order to facilitate the sale or other disposition of the Registrable Securities thereunder; and the C</w:t>
      </w:r>
      <w:r>
        <w:rPr>
          <w:rFonts w:ascii="Times New Roman" w:eastAsia="Times New Roman" w:hAnsi="Times New Roman" w:cs="Times New Roman"/>
          <w:sz w:val="20"/>
          <w:szCs w:val="20"/>
        </w:rPr>
        <w:t>ompany consents to the use of such Prospectus and any amendment or supplement thereto in accordance with applicable law by each of the Holders of Registrable Securities and any such Underwriters in connection with the offering and sale of the Registrable S</w:t>
      </w:r>
      <w:r>
        <w:rPr>
          <w:rFonts w:ascii="Times New Roman" w:eastAsia="Times New Roman" w:hAnsi="Times New Roman" w:cs="Times New Roman"/>
          <w:sz w:val="20"/>
          <w:szCs w:val="20"/>
        </w:rPr>
        <w:t>ecurities covered by and in the manner described in such Prospectus, preliminary prospectus or any amendment or supplement thereto in accordance with applicable law;</w:t>
      </w:r>
    </w:p>
    <w:p w14:paraId="2A915E0F"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25D23DCB" w14:textId="77777777" w:rsidR="004740A8" w:rsidRPr="007C0112" w:rsidRDefault="007C0112" w:rsidP="007C0112">
      <w:pPr>
        <w:pBdr>
          <w:top w:val="nil"/>
          <w:left w:val="nil"/>
          <w:bottom w:val="nil"/>
          <w:right w:val="nil"/>
          <w:between w:val="nil"/>
        </w:pBdr>
        <w:ind w:firstLine="720"/>
        <w:contextualSpacing w:val="0"/>
        <w:rPr>
          <w:rFonts w:ascii="Times New Roman" w:eastAsia="Times New Roman" w:hAnsi="Times New Roman" w:cs="Times New Roman"/>
        </w:rPr>
      </w:pPr>
      <w:r>
        <w:rPr>
          <w:rFonts w:ascii="Times New Roman" w:eastAsia="Times New Roman" w:hAnsi="Times New Roman" w:cs="Times New Roman"/>
          <w:sz w:val="20"/>
          <w:szCs w:val="20"/>
        </w:rPr>
        <w:t>(d)                                 use their commercially reasonable efforts to registe</w:t>
      </w:r>
      <w:r>
        <w:rPr>
          <w:rFonts w:ascii="Times New Roman" w:eastAsia="Times New Roman" w:hAnsi="Times New Roman" w:cs="Times New Roman"/>
          <w:sz w:val="20"/>
          <w:szCs w:val="20"/>
        </w:rPr>
        <w:t xml:space="preserve">r or qualify the Registrable Securities under all applicable state securities or blue sky laws of such jurisdictions as any Holder of Registrable Securities covered by a Registration Statement shall reasonably request in writing by the time the applicable </w:t>
      </w:r>
      <w:r>
        <w:rPr>
          <w:rFonts w:ascii="Times New Roman" w:eastAsia="Times New Roman" w:hAnsi="Times New Roman" w:cs="Times New Roman"/>
          <w:sz w:val="20"/>
          <w:szCs w:val="20"/>
        </w:rPr>
        <w:t>Registration Statement is declared effective by the SEC; cooperate with the Holders in connection with any filings required to be made with the Financial Industry Regulatory Authority; and do any and all other acts and things that may be reasonably necessa</w:t>
      </w:r>
      <w:r>
        <w:rPr>
          <w:rFonts w:ascii="Times New Roman" w:eastAsia="Times New Roman" w:hAnsi="Times New Roman" w:cs="Times New Roman"/>
          <w:sz w:val="20"/>
          <w:szCs w:val="20"/>
        </w:rPr>
        <w:t>ry or advisable to enable each Holder to complete the disposition in each such jurisdiction of the Registrable Securities owned by such Holder; provided that neither the Company nor any Guarantor shall be required to (i) qualify as a foreign corporation or</w:t>
      </w:r>
      <w:r>
        <w:rPr>
          <w:rFonts w:ascii="Times New Roman" w:eastAsia="Times New Roman" w:hAnsi="Times New Roman" w:cs="Times New Roman"/>
          <w:sz w:val="20"/>
          <w:szCs w:val="20"/>
        </w:rPr>
        <w:t xml:space="preserve"> other entity or as a dealer in securities in any such jurisdiction where it would not otherwise be</w:t>
      </w:r>
      <w:r>
        <w:rPr>
          <w:rFonts w:ascii="Times New Roman" w:eastAsia="Times New Roman" w:hAnsi="Times New Roman" w:cs="Times New Roman" w:hint="eastAsia"/>
          <w:lang w:eastAsia="zh-CN"/>
        </w:rPr>
        <w:t xml:space="preserve"> </w:t>
      </w:r>
      <w:r>
        <w:rPr>
          <w:rFonts w:ascii="Times New Roman" w:eastAsia="Times New Roman" w:hAnsi="Times New Roman" w:cs="Times New Roman"/>
          <w:sz w:val="20"/>
          <w:szCs w:val="20"/>
        </w:rPr>
        <w:t>r</w:t>
      </w:r>
      <w:r>
        <w:rPr>
          <w:rFonts w:ascii="Times New Roman" w:eastAsia="Times New Roman" w:hAnsi="Times New Roman" w:cs="Times New Roman"/>
          <w:sz w:val="20"/>
          <w:szCs w:val="20"/>
        </w:rPr>
        <w:t xml:space="preserve">equired to so qualify, (ii) file any general consent to service of process in any such </w:t>
      </w:r>
      <w:r>
        <w:rPr>
          <w:rFonts w:ascii="Times New Roman" w:eastAsia="Times New Roman" w:hAnsi="Times New Roman" w:cs="Times New Roman"/>
          <w:sz w:val="20"/>
          <w:szCs w:val="20"/>
        </w:rPr>
        <w:lastRenderedPageBreak/>
        <w:t>jurisdiction or (iii) subject itself to taxation in any s</w:t>
      </w:r>
      <w:r>
        <w:rPr>
          <w:rFonts w:ascii="Times New Roman" w:eastAsia="Times New Roman" w:hAnsi="Times New Roman" w:cs="Times New Roman"/>
          <w:sz w:val="20"/>
          <w:szCs w:val="20"/>
        </w:rPr>
        <w:t>uch jurisdiction if it is not so subject;</w:t>
      </w:r>
    </w:p>
    <w:p w14:paraId="0D994E25"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4D579A29" w14:textId="77777777" w:rsidR="004740A8" w:rsidRDefault="007C0112">
      <w:pPr>
        <w:pBdr>
          <w:top w:val="nil"/>
          <w:left w:val="nil"/>
          <w:bottom w:val="nil"/>
          <w:right w:val="nil"/>
          <w:between w:val="nil"/>
        </w:pBd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(e)                                  in the case of a Shelf Registration, notify each Holder of Registrable Securities, counsel for such Holders and counsel for the Initial Purchaser promptly and, if requested by any such Holder or counsel, confirm such ad</w:t>
      </w:r>
      <w:r>
        <w:rPr>
          <w:rFonts w:ascii="Times New Roman" w:eastAsia="Times New Roman" w:hAnsi="Times New Roman" w:cs="Times New Roman"/>
          <w:sz w:val="20"/>
          <w:szCs w:val="20"/>
        </w:rPr>
        <w:t xml:space="preserve">vice in writing (i) when a Registration Statement has become effective and when any post-effective amendment thereto has been filed and becomes effective, (ii) of any request by the SEC or any state securities authority for amendments and supplements to a </w:t>
      </w:r>
      <w:r>
        <w:rPr>
          <w:rFonts w:ascii="Times New Roman" w:eastAsia="Times New Roman" w:hAnsi="Times New Roman" w:cs="Times New Roman"/>
          <w:sz w:val="20"/>
          <w:szCs w:val="20"/>
        </w:rPr>
        <w:t>Registration Statement and Prospectus or for additional information after the Registration Statement has become effective, (iii) of the issuance by the SEC or any state securities authority of any stop order suspending the effectiveness of a Registration S</w:t>
      </w:r>
      <w:r>
        <w:rPr>
          <w:rFonts w:ascii="Times New Roman" w:eastAsia="Times New Roman" w:hAnsi="Times New Roman" w:cs="Times New Roman"/>
          <w:sz w:val="20"/>
          <w:szCs w:val="20"/>
        </w:rPr>
        <w:t>tatement or the initiation of any proceedings for that purpose, including the receipt by the Company of any notice of objection of the SEC to the use of a Shelf Registration Statement or any post-effective amendment thereto pursuant to Rule 401(g)(2) under</w:t>
      </w:r>
      <w:r>
        <w:rPr>
          <w:rFonts w:ascii="Times New Roman" w:eastAsia="Times New Roman" w:hAnsi="Times New Roman" w:cs="Times New Roman"/>
          <w:sz w:val="20"/>
          <w:szCs w:val="20"/>
        </w:rPr>
        <w:t xml:space="preserve"> the Securities Act, (iv) if, between the applicable effective date of a Shelf Registration Statement and the closing of any sale of Registrable Securities covered thereby, the representations and warranties of the Company or any Guarantor contained in the</w:t>
      </w:r>
      <w:r>
        <w:rPr>
          <w:rFonts w:ascii="Times New Roman" w:eastAsia="Times New Roman" w:hAnsi="Times New Roman" w:cs="Times New Roman"/>
          <w:sz w:val="20"/>
          <w:szCs w:val="20"/>
        </w:rPr>
        <w:t xml:space="preserve"> Purchase Agreement cease to be true and correct in all material respects or if the Company or any Guarantor receives any notification with respect to the suspension of the qualification of the Registrable Securities for sale in any jurisdiction or the ini</w:t>
      </w:r>
      <w:r>
        <w:rPr>
          <w:rFonts w:ascii="Times New Roman" w:eastAsia="Times New Roman" w:hAnsi="Times New Roman" w:cs="Times New Roman"/>
          <w:sz w:val="20"/>
          <w:szCs w:val="20"/>
        </w:rPr>
        <w:t>tiation of any proceeding for such purpose and (v) of the happening of any event during the period a Shelf Registration Statement is effective that makes any statement made in such Registration Statement or the related Prospectus untrue in any material res</w:t>
      </w:r>
      <w:r>
        <w:rPr>
          <w:rFonts w:ascii="Times New Roman" w:eastAsia="Times New Roman" w:hAnsi="Times New Roman" w:cs="Times New Roman"/>
          <w:sz w:val="20"/>
          <w:szCs w:val="20"/>
        </w:rPr>
        <w:t>pect or that requires the making of any changes in such Registration Statement or Prospectus in order to make the statements therein not misleading;</w:t>
      </w:r>
    </w:p>
    <w:p w14:paraId="34C203FE"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121FECBC" w14:textId="77777777" w:rsidR="004740A8" w:rsidRDefault="007C0112">
      <w:pPr>
        <w:pBdr>
          <w:top w:val="nil"/>
          <w:left w:val="nil"/>
          <w:bottom w:val="nil"/>
          <w:right w:val="nil"/>
          <w:between w:val="nil"/>
        </w:pBd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                                   use their commercially reasonable efforts to obtain the withdrawal </w:t>
      </w:r>
      <w:r>
        <w:rPr>
          <w:rFonts w:ascii="Times New Roman" w:eastAsia="Times New Roman" w:hAnsi="Times New Roman" w:cs="Times New Roman"/>
          <w:sz w:val="20"/>
          <w:szCs w:val="20"/>
        </w:rPr>
        <w:t>of any order suspending the effectiveness of a Registration Statement or, in the case of a Shelf Registration, the resolution of any objection of the SEC pursuant to Rule 401(g)(2), including by filing an amendment to such Shelf Registration Statement on t</w:t>
      </w:r>
      <w:r>
        <w:rPr>
          <w:rFonts w:ascii="Times New Roman" w:eastAsia="Times New Roman" w:hAnsi="Times New Roman" w:cs="Times New Roman"/>
          <w:sz w:val="20"/>
          <w:szCs w:val="20"/>
        </w:rPr>
        <w:t>he proper form, at the earliest possible moment;</w:t>
      </w:r>
    </w:p>
    <w:p w14:paraId="6DC9AA62"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6C9A5361" w14:textId="77777777" w:rsidR="004740A8" w:rsidRDefault="007C0112">
      <w:pPr>
        <w:pBdr>
          <w:top w:val="nil"/>
          <w:left w:val="nil"/>
          <w:bottom w:val="nil"/>
          <w:right w:val="nil"/>
          <w:between w:val="nil"/>
        </w:pBd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(g)                                  in the case of a Shelf Registration, furnish to each Holder of Registrable Securities, without charge, at least one conformed copy of each Registration Statement and an</w:t>
      </w:r>
      <w:r>
        <w:rPr>
          <w:rFonts w:ascii="Times New Roman" w:eastAsia="Times New Roman" w:hAnsi="Times New Roman" w:cs="Times New Roman"/>
          <w:sz w:val="20"/>
          <w:szCs w:val="20"/>
        </w:rPr>
        <w:t>y post-effective amendment thereto (without any documents incorporated therein by reference or exhibits thereto, unless requested); provided, however, that any such document available on the SEC’s EDGAR database shall satisfy any such obligation;</w:t>
      </w:r>
    </w:p>
    <w:p w14:paraId="777DB216"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2C25EDF4" w14:textId="77777777" w:rsidR="004740A8" w:rsidRDefault="007C0112">
      <w:pPr>
        <w:pBdr>
          <w:top w:val="nil"/>
          <w:left w:val="nil"/>
          <w:bottom w:val="nil"/>
          <w:right w:val="nil"/>
          <w:between w:val="nil"/>
        </w:pBd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(h)    </w:t>
      </w:r>
      <w:r>
        <w:rPr>
          <w:rFonts w:ascii="Times New Roman" w:eastAsia="Times New Roman" w:hAnsi="Times New Roman" w:cs="Times New Roman"/>
          <w:sz w:val="20"/>
          <w:szCs w:val="20"/>
        </w:rPr>
        <w:t xml:space="preserve">                             in the case of a Shelf Registration, cooperate with the selling Holders of Registrable Securities to facilitate the timely preparation and delivery of certificates representing Registrable Securities to be sold and not bearing </w:t>
      </w:r>
      <w:r>
        <w:rPr>
          <w:rFonts w:ascii="Times New Roman" w:eastAsia="Times New Roman" w:hAnsi="Times New Roman" w:cs="Times New Roman"/>
          <w:sz w:val="20"/>
          <w:szCs w:val="20"/>
        </w:rPr>
        <w:t>any restrictive legends and enable such Registrable Securities to be issued in such denominations and registered in such names (consistent with the provisions of the Indenture) as the selling Holders may reasonably request at least one Business Day prior t</w:t>
      </w:r>
      <w:r>
        <w:rPr>
          <w:rFonts w:ascii="Times New Roman" w:eastAsia="Times New Roman" w:hAnsi="Times New Roman" w:cs="Times New Roman"/>
          <w:sz w:val="20"/>
          <w:szCs w:val="20"/>
        </w:rPr>
        <w:t>o the closing of any sale of Registrable Securities;</w:t>
      </w:r>
    </w:p>
    <w:p w14:paraId="46267C23"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4D752407" w14:textId="77777777" w:rsidR="004740A8" w:rsidRPr="007C0112" w:rsidRDefault="007C0112" w:rsidP="007C0112">
      <w:pPr>
        <w:pBdr>
          <w:top w:val="nil"/>
          <w:left w:val="nil"/>
          <w:bottom w:val="nil"/>
          <w:right w:val="nil"/>
          <w:between w:val="nil"/>
        </w:pBdr>
        <w:ind w:firstLine="720"/>
        <w:contextualSpacing w:val="0"/>
        <w:rPr>
          <w:rFonts w:ascii="Times New Roman" w:eastAsia="Times New Roman" w:hAnsi="Times New Roman" w:cs="Times New Roman"/>
        </w:rPr>
      </w:pPr>
      <w:r>
        <w:rPr>
          <w:rFonts w:ascii="Times New Roman" w:eastAsia="Times New Roman" w:hAnsi="Times New Roman" w:cs="Times New Roman"/>
          <w:sz w:val="20"/>
          <w:szCs w:val="20"/>
        </w:rPr>
        <w:t xml:space="preserve">(i)                                     in the case of a Shelf Registration, upon the occurrence of any event contemplated by </w:t>
      </w:r>
      <w:r>
        <w:rPr>
          <w:rFonts w:ascii="Times New Roman" w:eastAsia="Times New Roman" w:hAnsi="Times New Roman" w:cs="Times New Roman"/>
          <w:sz w:val="20"/>
          <w:szCs w:val="20"/>
          <w:u w:val="single"/>
        </w:rPr>
        <w:t>Section 3(e)(v)</w:t>
      </w:r>
      <w:r>
        <w:rPr>
          <w:rFonts w:ascii="Times New Roman" w:eastAsia="Times New Roman" w:hAnsi="Times New Roman" w:cs="Times New Roman"/>
          <w:sz w:val="20"/>
          <w:szCs w:val="20"/>
        </w:rPr>
        <w:t> hereof, use their commercially reasonable efforts to prepare and file with the SEC a supplement or post-effective amendment to such Shelf Registration Statement or the</w:t>
      </w:r>
      <w:r>
        <w:rPr>
          <w:rFonts w:ascii="Times New Roman" w:eastAsia="Times New Roman" w:hAnsi="Times New Roman" w:cs="Times New Roman" w:hint="eastAsia"/>
          <w:lang w:eastAsia="zh-CN"/>
        </w:rPr>
        <w:t xml:space="preserve"> </w:t>
      </w:r>
      <w:r>
        <w:rPr>
          <w:rFonts w:ascii="Times New Roman" w:eastAsia="Times New Roman" w:hAnsi="Times New Roman" w:cs="Times New Roman"/>
          <w:sz w:val="20"/>
          <w:szCs w:val="20"/>
        </w:rPr>
        <w:t>r</w:t>
      </w:r>
      <w:r>
        <w:rPr>
          <w:rFonts w:ascii="Times New Roman" w:eastAsia="Times New Roman" w:hAnsi="Times New Roman" w:cs="Times New Roman"/>
          <w:sz w:val="20"/>
          <w:szCs w:val="20"/>
        </w:rPr>
        <w:t>elated Prospectus or any document incorporated therein by reference or file any other required document so that, as thereafter delivered (or, to the extent permitted by law, made available) to purchasers of the Registrable Securities, such Prospectus will</w:t>
      </w:r>
      <w:r>
        <w:rPr>
          <w:rFonts w:ascii="Times New Roman" w:eastAsia="Times New Roman" w:hAnsi="Times New Roman" w:cs="Times New Roman"/>
          <w:sz w:val="20"/>
          <w:szCs w:val="20"/>
        </w:rPr>
        <w:t xml:space="preserve"> not contain any untrue statement of a material fact or omit to state a material fact necessary to make the statements therein, in the light of the circumstances under which they were made, not misleading; and the Company and the Guarantors shall notify th</w:t>
      </w:r>
      <w:r>
        <w:rPr>
          <w:rFonts w:ascii="Times New Roman" w:eastAsia="Times New Roman" w:hAnsi="Times New Roman" w:cs="Times New Roman"/>
          <w:sz w:val="20"/>
          <w:szCs w:val="20"/>
        </w:rPr>
        <w:t>e Holders of Registrable Securities to suspend use of the Prospectus as promptly as practicable after the occurrence of such an event, and such Holders hereby agree to suspend use of the Prospectus until the Company and the Guarantors have amended or suppl</w:t>
      </w:r>
      <w:r>
        <w:rPr>
          <w:rFonts w:ascii="Times New Roman" w:eastAsia="Times New Roman" w:hAnsi="Times New Roman" w:cs="Times New Roman"/>
          <w:sz w:val="20"/>
          <w:szCs w:val="20"/>
        </w:rPr>
        <w:t xml:space="preserve">emented the Prospectus to correct such misstatement or omission, subject to the provisions applicable to Exchange Offer Registration Statement Suspension Periods and Blackout Periods and the other provisions of this </w:t>
      </w:r>
      <w:r>
        <w:rPr>
          <w:rFonts w:ascii="Times New Roman" w:eastAsia="Times New Roman" w:hAnsi="Times New Roman" w:cs="Times New Roman"/>
          <w:sz w:val="20"/>
          <w:szCs w:val="20"/>
          <w:u w:val="single"/>
        </w:rPr>
        <w:t>Section 3</w:t>
      </w:r>
      <w:r>
        <w:rPr>
          <w:rFonts w:ascii="Times New Roman" w:eastAsia="Times New Roman" w:hAnsi="Times New Roman" w:cs="Times New Roman"/>
          <w:sz w:val="20"/>
          <w:szCs w:val="20"/>
        </w:rPr>
        <w:t>;</w:t>
      </w:r>
    </w:p>
    <w:p w14:paraId="21F40E2A"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2AD03122" w14:textId="77777777" w:rsidR="004740A8" w:rsidRDefault="007C0112">
      <w:pPr>
        <w:pBdr>
          <w:top w:val="nil"/>
          <w:left w:val="nil"/>
          <w:bottom w:val="nil"/>
          <w:right w:val="nil"/>
          <w:between w:val="nil"/>
        </w:pBd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(j)                        </w:t>
      </w:r>
      <w:r>
        <w:rPr>
          <w:rFonts w:ascii="Times New Roman" w:eastAsia="Times New Roman" w:hAnsi="Times New Roman" w:cs="Times New Roman"/>
          <w:sz w:val="20"/>
          <w:szCs w:val="20"/>
        </w:rPr>
        <w:t>            a reasonable time prior to the filing of any Registration Statement, any Prospectus, any amendment to a Registration Statement or amendment or supplement to a Prospectus or of any document that is to be incorporated by reference into a Registra</w:t>
      </w:r>
      <w:r>
        <w:rPr>
          <w:rFonts w:ascii="Times New Roman" w:eastAsia="Times New Roman" w:hAnsi="Times New Roman" w:cs="Times New Roman"/>
          <w:sz w:val="20"/>
          <w:szCs w:val="20"/>
        </w:rPr>
        <w:t>tion Statement or a Prospectus after initial filing of a Registration Statement, provide copies of such document to the Initial Purchaser and its counsel (and, in the case of a Shelf Registration Statement, to the Holders of Registrable Securities and thei</w:t>
      </w:r>
      <w:r>
        <w:rPr>
          <w:rFonts w:ascii="Times New Roman" w:eastAsia="Times New Roman" w:hAnsi="Times New Roman" w:cs="Times New Roman"/>
          <w:sz w:val="20"/>
          <w:szCs w:val="20"/>
        </w:rPr>
        <w:t xml:space="preserve">r counsel) and make such of the representatives of the Company and the Guarantors as shall be reasonably requested by the Initial Purchaser and its </w:t>
      </w:r>
      <w:r>
        <w:rPr>
          <w:rFonts w:ascii="Times New Roman" w:eastAsia="Times New Roman" w:hAnsi="Times New Roman" w:cs="Times New Roman"/>
          <w:sz w:val="20"/>
          <w:szCs w:val="20"/>
        </w:rPr>
        <w:lastRenderedPageBreak/>
        <w:t>counsel (and, in the case of a Shelf Registration Statement, the Holders of Registrable Securities and their</w:t>
      </w:r>
      <w:r>
        <w:rPr>
          <w:rFonts w:ascii="Times New Roman" w:eastAsia="Times New Roman" w:hAnsi="Times New Roman" w:cs="Times New Roman"/>
          <w:sz w:val="20"/>
          <w:szCs w:val="20"/>
        </w:rPr>
        <w:t xml:space="preserve"> counsel) available for discussion of such document; and the Company and the Guarantors shall not, at any time after initial filing of a Registration Statement, use or file any Prospectus, any amendment of or supplement to a Registration Statement or a Pro</w:t>
      </w:r>
      <w:r>
        <w:rPr>
          <w:rFonts w:ascii="Times New Roman" w:eastAsia="Times New Roman" w:hAnsi="Times New Roman" w:cs="Times New Roman"/>
          <w:sz w:val="20"/>
          <w:szCs w:val="20"/>
        </w:rPr>
        <w:t>spectus, or any document that is to be incorporated by reference into a Registration Statement or a Prospectus, of which the Initial Purchaser and its counsel (and, in the case of a Shelf Registration Statement, the Holders of Registrable Securities and th</w:t>
      </w:r>
      <w:r>
        <w:rPr>
          <w:rFonts w:ascii="Times New Roman" w:eastAsia="Times New Roman" w:hAnsi="Times New Roman" w:cs="Times New Roman"/>
          <w:sz w:val="20"/>
          <w:szCs w:val="20"/>
        </w:rPr>
        <w:t xml:space="preserve">eir counsel) shall not have previously been advised and furnished a copy or to which the Initial Purchaser or its counsel (and, in the case of a Shelf Registration Statement, the Holders of Registrable Securities or their counsel) shall reasonably object; </w:t>
      </w:r>
      <w:r>
        <w:rPr>
          <w:rFonts w:ascii="Times New Roman" w:eastAsia="Times New Roman" w:hAnsi="Times New Roman" w:cs="Times New Roman"/>
          <w:sz w:val="20"/>
          <w:szCs w:val="20"/>
        </w:rPr>
        <w:t>provided, that this clause shall not apply to any filing by the Company of any Annual Report on Form 10-K, Quarterly Report on Form 10-Q or Current Report on Form 8-K with respect to matters unrelated to the New Securities and the offering or exchange ther</w:t>
      </w:r>
      <w:r>
        <w:rPr>
          <w:rFonts w:ascii="Times New Roman" w:eastAsia="Times New Roman" w:hAnsi="Times New Roman" w:cs="Times New Roman"/>
          <w:sz w:val="20"/>
          <w:szCs w:val="20"/>
        </w:rPr>
        <w:t>efor;</w:t>
      </w:r>
    </w:p>
    <w:p w14:paraId="0FF9B0F5"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7906650B" w14:textId="77777777" w:rsidR="004740A8" w:rsidRDefault="007C0112">
      <w:pPr>
        <w:pBdr>
          <w:top w:val="nil"/>
          <w:left w:val="nil"/>
          <w:bottom w:val="nil"/>
          <w:right w:val="nil"/>
          <w:between w:val="nil"/>
        </w:pBd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(k)                                 obtain a CUSIP number for all Exchange Securities or Registrable Securities, as the case may be, not later than the effective date of a Registration Statement, which shall be the same CUSIP number as the Register</w:t>
      </w:r>
      <w:r>
        <w:rPr>
          <w:rFonts w:ascii="Times New Roman" w:eastAsia="Times New Roman" w:hAnsi="Times New Roman" w:cs="Times New Roman"/>
          <w:sz w:val="20"/>
          <w:szCs w:val="20"/>
        </w:rPr>
        <w:t>ed Initial Securities, unless it is not possible to obtain the same CUSIP number following the commercially reasonable efforts of the Company to do so;</w:t>
      </w:r>
    </w:p>
    <w:p w14:paraId="055F4020"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322BB91C" w14:textId="77777777" w:rsidR="004740A8" w:rsidRDefault="007C0112">
      <w:pPr>
        <w:pBdr>
          <w:top w:val="nil"/>
          <w:left w:val="nil"/>
          <w:bottom w:val="nil"/>
          <w:right w:val="nil"/>
          <w:between w:val="nil"/>
        </w:pBd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(l)                                     cause the Indenture to remain qualified under the Trust Indent</w:t>
      </w:r>
      <w:r>
        <w:rPr>
          <w:rFonts w:ascii="Times New Roman" w:eastAsia="Times New Roman" w:hAnsi="Times New Roman" w:cs="Times New Roman"/>
          <w:sz w:val="20"/>
          <w:szCs w:val="20"/>
        </w:rPr>
        <w:t>ure Act in connection with the registration of the Exchange Securities or Registrable Securities, as the case may be; cooperate with the Trustee and the Holders to effect such changes to the Indenture as may be required for the Indenture to remain so quali</w:t>
      </w:r>
      <w:r>
        <w:rPr>
          <w:rFonts w:ascii="Times New Roman" w:eastAsia="Times New Roman" w:hAnsi="Times New Roman" w:cs="Times New Roman"/>
          <w:sz w:val="20"/>
          <w:szCs w:val="20"/>
        </w:rPr>
        <w:t xml:space="preserve">fied in accordance with the terms of the Trust Indenture Act; and execute, and use their commercially reasonable efforts to cause the Trustee to execute, all documents as may be required to effect such changes and all other forms and documents required to </w:t>
      </w:r>
      <w:r>
        <w:rPr>
          <w:rFonts w:ascii="Times New Roman" w:eastAsia="Times New Roman" w:hAnsi="Times New Roman" w:cs="Times New Roman"/>
          <w:sz w:val="20"/>
          <w:szCs w:val="20"/>
        </w:rPr>
        <w:t>be filed with the SEC to enable the Indenture to remain so qualified in a timely manner;</w:t>
      </w:r>
    </w:p>
    <w:p w14:paraId="52692476" w14:textId="77777777" w:rsidR="004740A8" w:rsidRDefault="007C0112" w:rsidP="007C0112">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rPr>
        <w:t> </w:t>
      </w:r>
    </w:p>
    <w:p w14:paraId="26A8B309" w14:textId="77777777" w:rsidR="004740A8" w:rsidRDefault="004740A8">
      <w:pPr>
        <w:pBdr>
          <w:top w:val="nil"/>
          <w:left w:val="nil"/>
          <w:bottom w:val="nil"/>
          <w:right w:val="nil"/>
          <w:between w:val="nil"/>
        </w:pBdr>
        <w:contextualSpacing w:val="0"/>
        <w:rPr>
          <w:rFonts w:ascii="Times New Roman" w:eastAsia="Times New Roman" w:hAnsi="Times New Roman" w:cs="Times New Roman"/>
          <w:sz w:val="20"/>
          <w:szCs w:val="20"/>
        </w:rPr>
      </w:pPr>
    </w:p>
    <w:p w14:paraId="30E936E3" w14:textId="77777777" w:rsidR="004740A8" w:rsidRDefault="004740A8">
      <w:pPr>
        <w:pBdr>
          <w:top w:val="nil"/>
          <w:left w:val="nil"/>
          <w:bottom w:val="nil"/>
          <w:right w:val="nil"/>
          <w:between w:val="nil"/>
        </w:pBdr>
        <w:contextualSpacing w:val="0"/>
        <w:rPr>
          <w:rFonts w:ascii="Times New Roman" w:eastAsia="Times New Roman" w:hAnsi="Times New Roman" w:cs="Times New Roman"/>
          <w:sz w:val="20"/>
          <w:szCs w:val="20"/>
        </w:rPr>
      </w:pPr>
    </w:p>
    <w:p w14:paraId="7DEB7B67"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4DEA0F8F" w14:textId="77777777" w:rsidR="004740A8" w:rsidRDefault="007C0112">
      <w:pPr>
        <w:pBdr>
          <w:top w:val="nil"/>
          <w:left w:val="nil"/>
          <w:bottom w:val="nil"/>
          <w:right w:val="nil"/>
          <w:between w:val="nil"/>
        </w:pBd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(m)                             in the case of a Shelf Registration, make available for inspection by a representative of the Holders of the Registrable Securities (an “</w:t>
      </w:r>
      <w:r>
        <w:rPr>
          <w:rFonts w:ascii="Times New Roman" w:eastAsia="Times New Roman" w:hAnsi="Times New Roman" w:cs="Times New Roman"/>
          <w:sz w:val="20"/>
          <w:szCs w:val="20"/>
          <w:u w:val="single"/>
        </w:rPr>
        <w:t>Inspector</w:t>
      </w:r>
      <w:r>
        <w:rPr>
          <w:rFonts w:ascii="Times New Roman" w:eastAsia="Times New Roman" w:hAnsi="Times New Roman" w:cs="Times New Roman"/>
          <w:sz w:val="20"/>
          <w:szCs w:val="20"/>
        </w:rPr>
        <w:t>”), any Underwriter participating in any disposition pursuant to such Shelf Re</w:t>
      </w:r>
      <w:r>
        <w:rPr>
          <w:rFonts w:ascii="Times New Roman" w:eastAsia="Times New Roman" w:hAnsi="Times New Roman" w:cs="Times New Roman"/>
          <w:sz w:val="20"/>
          <w:szCs w:val="20"/>
        </w:rPr>
        <w:t>gistration Statement, and attorneys and accountants designated by the Holders, at reasonable times and in a reasonable manner, all pertinent financial and other records, documents and properties of the Company and the Guarantors, and cause the respective o</w:t>
      </w:r>
      <w:r>
        <w:rPr>
          <w:rFonts w:ascii="Times New Roman" w:eastAsia="Times New Roman" w:hAnsi="Times New Roman" w:cs="Times New Roman"/>
          <w:sz w:val="20"/>
          <w:szCs w:val="20"/>
        </w:rPr>
        <w:t>fficers, directors and employees of the Company and the Guarantors to supply all information reasonably requested by any such Inspector, Underwriter, attorney or accountant in connection with a Shelf Registration Statement; provided that if any such inform</w:t>
      </w:r>
      <w:r>
        <w:rPr>
          <w:rFonts w:ascii="Times New Roman" w:eastAsia="Times New Roman" w:hAnsi="Times New Roman" w:cs="Times New Roman"/>
          <w:sz w:val="20"/>
          <w:szCs w:val="20"/>
        </w:rPr>
        <w:t>ation is identified by the Company as being confidential or proprietary, each Person receiving such information shall take such actions as are reasonably necessary to protect the confidentiality of such information to the extent such action is otherwise no</w:t>
      </w:r>
      <w:r>
        <w:rPr>
          <w:rFonts w:ascii="Times New Roman" w:eastAsia="Times New Roman" w:hAnsi="Times New Roman" w:cs="Times New Roman"/>
          <w:sz w:val="20"/>
          <w:szCs w:val="20"/>
        </w:rPr>
        <w:t>t inconsistent with, an impairment of or in derogation of the rights and interests of any Inspector, Holder or Underwriter;</w:t>
      </w:r>
    </w:p>
    <w:p w14:paraId="2763C594"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399F966F" w14:textId="77777777" w:rsidR="004740A8" w:rsidRDefault="007C0112">
      <w:pPr>
        <w:pBdr>
          <w:top w:val="nil"/>
          <w:left w:val="nil"/>
          <w:bottom w:val="nil"/>
          <w:right w:val="nil"/>
          <w:between w:val="nil"/>
        </w:pBd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(n)                                 in the case of a Shelf Registration, use their commercially reasonable efforts to cause all Re</w:t>
      </w:r>
      <w:r>
        <w:rPr>
          <w:rFonts w:ascii="Times New Roman" w:eastAsia="Times New Roman" w:hAnsi="Times New Roman" w:cs="Times New Roman"/>
          <w:sz w:val="20"/>
          <w:szCs w:val="20"/>
        </w:rPr>
        <w:t>gistrable Securities to be listed on any securities exchange or any automated quotation system on which similar securities issued or guaranteed by any Company or any Guarantor are then listed if requested by the Majority Holders, to the extent such Registr</w:t>
      </w:r>
      <w:r>
        <w:rPr>
          <w:rFonts w:ascii="Times New Roman" w:eastAsia="Times New Roman" w:hAnsi="Times New Roman" w:cs="Times New Roman"/>
          <w:sz w:val="20"/>
          <w:szCs w:val="20"/>
        </w:rPr>
        <w:t>able Securities satisfy applicable listing requirements;</w:t>
      </w:r>
    </w:p>
    <w:p w14:paraId="3A5AE7BB"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4C78CEBE" w14:textId="77777777" w:rsidR="004740A8" w:rsidRDefault="007C0112">
      <w:pPr>
        <w:pBdr>
          <w:top w:val="nil"/>
          <w:left w:val="nil"/>
          <w:bottom w:val="nil"/>
          <w:right w:val="nil"/>
          <w:between w:val="nil"/>
        </w:pBd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(o)                                 request that each Holder of New Securities to be sold pursuant to the Registration Statement to furnish the Company such information regarding the Holder and the</w:t>
      </w:r>
      <w:r>
        <w:rPr>
          <w:rFonts w:ascii="Times New Roman" w:eastAsia="Times New Roman" w:hAnsi="Times New Roman" w:cs="Times New Roman"/>
          <w:sz w:val="20"/>
          <w:szCs w:val="20"/>
        </w:rPr>
        <w:t xml:space="preserve"> distribution of the New Securities as the Company may from time to time reasonably require for inclusion in the Registration Statement, and the Company may exclude from such registration the New Securities of any Holder that unreasonably fails to furnish </w:t>
      </w:r>
      <w:r>
        <w:rPr>
          <w:rFonts w:ascii="Times New Roman" w:eastAsia="Times New Roman" w:hAnsi="Times New Roman" w:cs="Times New Roman"/>
          <w:sz w:val="20"/>
          <w:szCs w:val="20"/>
        </w:rPr>
        <w:t>such information within a reasonable time after receiving such request;</w:t>
      </w:r>
    </w:p>
    <w:p w14:paraId="51A038BF"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0AADDC8B" w14:textId="77777777" w:rsidR="004740A8" w:rsidRDefault="007C0112">
      <w:pPr>
        <w:pBdr>
          <w:top w:val="nil"/>
          <w:left w:val="nil"/>
          <w:bottom w:val="nil"/>
          <w:right w:val="nil"/>
          <w:between w:val="nil"/>
        </w:pBd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(p)                                 in connection with an Underwritten Offering, if requested by any selling Holders or the Underwriters, if any, promptly incorporate in any Registra</w:t>
      </w:r>
      <w:r>
        <w:rPr>
          <w:rFonts w:ascii="Times New Roman" w:eastAsia="Times New Roman" w:hAnsi="Times New Roman" w:cs="Times New Roman"/>
          <w:sz w:val="20"/>
          <w:szCs w:val="20"/>
        </w:rPr>
        <w:t xml:space="preserve">tion Statement or Prospectus, pursuant to a supplement or post-effective amendment if necessary, such information as such selling Holders and Underwriters, if any, may reasonably request to have included therein, including, without limitation, information </w:t>
      </w:r>
      <w:r>
        <w:rPr>
          <w:rFonts w:ascii="Times New Roman" w:eastAsia="Times New Roman" w:hAnsi="Times New Roman" w:cs="Times New Roman"/>
          <w:sz w:val="20"/>
          <w:szCs w:val="20"/>
        </w:rPr>
        <w:t xml:space="preserve">relating to the “Plan of Distribution” of the Registrable Securities, information with respect to the principal amount of Registrable </w:t>
      </w:r>
      <w:r>
        <w:rPr>
          <w:rFonts w:ascii="Times New Roman" w:eastAsia="Times New Roman" w:hAnsi="Times New Roman" w:cs="Times New Roman"/>
          <w:sz w:val="20"/>
          <w:szCs w:val="20"/>
        </w:rPr>
        <w:lastRenderedPageBreak/>
        <w:t xml:space="preserve">Securities being sold to such Underwriters, the purchase price being paid therefor and any other terms of the offering of </w:t>
      </w:r>
      <w:r>
        <w:rPr>
          <w:rFonts w:ascii="Times New Roman" w:eastAsia="Times New Roman" w:hAnsi="Times New Roman" w:cs="Times New Roman"/>
          <w:sz w:val="20"/>
          <w:szCs w:val="20"/>
        </w:rPr>
        <w:t>the Registrable Securities to be sold in such offering; and make all required filings of such prospectus supplement or post-effective amendment as soon as practicable after the Company is notified of the matters to be incorporated in such prospectus supple</w:t>
      </w:r>
      <w:r>
        <w:rPr>
          <w:rFonts w:ascii="Times New Roman" w:eastAsia="Times New Roman" w:hAnsi="Times New Roman" w:cs="Times New Roman"/>
          <w:sz w:val="20"/>
          <w:szCs w:val="20"/>
        </w:rPr>
        <w:t xml:space="preserve">ment or post-effective amendment, subject to the provisions applicable to Exchange Offer Registration Statement Suspension Periods and Blackout Periods and the other provisions of this </w:t>
      </w:r>
      <w:r>
        <w:rPr>
          <w:rFonts w:ascii="Times New Roman" w:eastAsia="Times New Roman" w:hAnsi="Times New Roman" w:cs="Times New Roman"/>
          <w:sz w:val="20"/>
          <w:szCs w:val="20"/>
          <w:u w:val="single"/>
        </w:rPr>
        <w:t>Section 3</w:t>
      </w:r>
      <w:r>
        <w:rPr>
          <w:rFonts w:ascii="Times New Roman" w:eastAsia="Times New Roman" w:hAnsi="Times New Roman" w:cs="Times New Roman"/>
          <w:sz w:val="20"/>
          <w:szCs w:val="20"/>
        </w:rPr>
        <w:t>;</w:t>
      </w:r>
    </w:p>
    <w:p w14:paraId="4AF27C37"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53941AE7" w14:textId="77777777" w:rsidR="004740A8" w:rsidRPr="007C0112" w:rsidRDefault="007C0112" w:rsidP="007C0112">
      <w:pPr>
        <w:pBdr>
          <w:top w:val="nil"/>
          <w:left w:val="nil"/>
          <w:bottom w:val="nil"/>
          <w:right w:val="nil"/>
          <w:between w:val="nil"/>
        </w:pBdr>
        <w:ind w:firstLine="720"/>
        <w:contextualSpacing w:val="0"/>
        <w:rPr>
          <w:rFonts w:ascii="Times New Roman" w:eastAsia="Times New Roman" w:hAnsi="Times New Roman" w:cs="Times New Roman"/>
        </w:rPr>
      </w:pPr>
      <w:r>
        <w:rPr>
          <w:rFonts w:ascii="Times New Roman" w:eastAsia="Times New Roman" w:hAnsi="Times New Roman" w:cs="Times New Roman"/>
          <w:sz w:val="20"/>
          <w:szCs w:val="20"/>
        </w:rPr>
        <w:t>(q)                                 otherwise use commerci</w:t>
      </w:r>
      <w:r>
        <w:rPr>
          <w:rFonts w:ascii="Times New Roman" w:eastAsia="Times New Roman" w:hAnsi="Times New Roman" w:cs="Times New Roman"/>
          <w:sz w:val="20"/>
          <w:szCs w:val="20"/>
        </w:rPr>
        <w:t>ally reasonable efforts to comply in all material respects with all applicable rules and regulations of the SEC, and make generally available to its security holders, as soon as reasonably practicable, a consolidated earnings statement meeting the requirem</w:t>
      </w:r>
      <w:r>
        <w:rPr>
          <w:rFonts w:ascii="Times New Roman" w:eastAsia="Times New Roman" w:hAnsi="Times New Roman" w:cs="Times New Roman"/>
          <w:sz w:val="20"/>
          <w:szCs w:val="20"/>
        </w:rPr>
        <w:t>ents of Rule 158 under the Securities Act (which need not be audited) for the 12-month period (i) commencing at the end of any fiscal quarter in which Registrable Securities are sold to underwriters in a firm commitment or best efforts Underwritten Offerin</w:t>
      </w:r>
      <w:r>
        <w:rPr>
          <w:rFonts w:ascii="Times New Roman" w:eastAsia="Times New Roman" w:hAnsi="Times New Roman" w:cs="Times New Roman"/>
          <w:sz w:val="20"/>
          <w:szCs w:val="20"/>
        </w:rPr>
        <w:t>g or (ii) if not sold to</w:t>
      </w:r>
      <w:r>
        <w:rPr>
          <w:rFonts w:ascii="Times New Roman" w:eastAsia="Times New Roman" w:hAnsi="Times New Roman" w:cs="Times New Roman" w:hint="eastAsia"/>
          <w:lang w:eastAsia="zh-CN"/>
        </w:rPr>
        <w:t xml:space="preserve"> </w:t>
      </w:r>
      <w:r>
        <w:rPr>
          <w:rFonts w:ascii="Times New Roman" w:eastAsia="Times New Roman" w:hAnsi="Times New Roman" w:cs="Times New Roman"/>
          <w:sz w:val="20"/>
          <w:szCs w:val="20"/>
        </w:rPr>
        <w:t>U</w:t>
      </w:r>
      <w:r>
        <w:rPr>
          <w:rFonts w:ascii="Times New Roman" w:eastAsia="Times New Roman" w:hAnsi="Times New Roman" w:cs="Times New Roman"/>
          <w:sz w:val="20"/>
          <w:szCs w:val="20"/>
        </w:rPr>
        <w:t>nderwriters in such an offering, beginning with the first month of the Company’s first fiscal quarter commencing after the effective date of the Registration Statement; and</w:t>
      </w:r>
    </w:p>
    <w:p w14:paraId="73D8F059"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64897DC4" w14:textId="77777777" w:rsidR="004740A8" w:rsidRDefault="007C0112">
      <w:pPr>
        <w:pBdr>
          <w:top w:val="nil"/>
          <w:left w:val="nil"/>
          <w:bottom w:val="nil"/>
          <w:right w:val="nil"/>
          <w:between w:val="nil"/>
        </w:pBd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(r)                                    in the case of a Shelf Registration, enter into such customary agreements and take all such other actions in connection therewith (including those requested by the Holders of a majority in principal amount of the Regi</w:t>
      </w:r>
      <w:r>
        <w:rPr>
          <w:rFonts w:ascii="Times New Roman" w:eastAsia="Times New Roman" w:hAnsi="Times New Roman" w:cs="Times New Roman"/>
          <w:sz w:val="20"/>
          <w:szCs w:val="20"/>
        </w:rPr>
        <w:t>strable Securities being sold) in order to expedite or facilitate the disposition of such Registrable Securities including, but not limited to, an Underwritten Offering and in such connection, (i) to the extent possible, make such representations and warra</w:t>
      </w:r>
      <w:r>
        <w:rPr>
          <w:rFonts w:ascii="Times New Roman" w:eastAsia="Times New Roman" w:hAnsi="Times New Roman" w:cs="Times New Roman"/>
          <w:sz w:val="20"/>
          <w:szCs w:val="20"/>
        </w:rPr>
        <w:t>nties to the Holders and any Underwriters of such Registrable Securities with respect to the business of the Company and its subsidiaries, the Registration Statement, Prospectus and documents incorporated by reference or deemed incorporated by reference, i</w:t>
      </w:r>
      <w:r>
        <w:rPr>
          <w:rFonts w:ascii="Times New Roman" w:eastAsia="Times New Roman" w:hAnsi="Times New Roman" w:cs="Times New Roman"/>
          <w:sz w:val="20"/>
          <w:szCs w:val="20"/>
        </w:rPr>
        <w:t xml:space="preserve">f any, in each case, in form, substance and scope as are customarily made by issuers to underwriters in underwritten offerings and confirm the same if and when requested, (ii) obtain opinions of counsel to the Company (which counsel and opinions, in form, </w:t>
      </w:r>
      <w:r>
        <w:rPr>
          <w:rFonts w:ascii="Times New Roman" w:eastAsia="Times New Roman" w:hAnsi="Times New Roman" w:cs="Times New Roman"/>
          <w:sz w:val="20"/>
          <w:szCs w:val="20"/>
        </w:rPr>
        <w:t>scope and substance, shall be reasonably satisfactory to the Holders and such Underwriters and their respective counsel) addressed to each selling Holder (to the extent such Holder has advised the Company that such Holder may have a “due diligence” defense</w:t>
      </w:r>
      <w:r>
        <w:rPr>
          <w:rFonts w:ascii="Times New Roman" w:eastAsia="Times New Roman" w:hAnsi="Times New Roman" w:cs="Times New Roman"/>
          <w:sz w:val="20"/>
          <w:szCs w:val="20"/>
        </w:rPr>
        <w:t xml:space="preserve"> under Section 11 of the Securities Act) and Underwriter of Registrable Securities, covering the matters customarily covered in opinions requested in underwritten offerings, (iii) obtain “comfort” letters from the independent certified public accountants o</w:t>
      </w:r>
      <w:r>
        <w:rPr>
          <w:rFonts w:ascii="Times New Roman" w:eastAsia="Times New Roman" w:hAnsi="Times New Roman" w:cs="Times New Roman"/>
          <w:sz w:val="20"/>
          <w:szCs w:val="20"/>
        </w:rPr>
        <w:t xml:space="preserve">f the Company (and, if necessary, any other certified public accountant of any subsidiary of the Company or any Guarantor, or of any business acquired by the Company or any Guarantor for which financial statements and financial data are or are required to </w:t>
      </w:r>
      <w:r>
        <w:rPr>
          <w:rFonts w:ascii="Times New Roman" w:eastAsia="Times New Roman" w:hAnsi="Times New Roman" w:cs="Times New Roman"/>
          <w:sz w:val="20"/>
          <w:szCs w:val="20"/>
        </w:rPr>
        <w:t>be included in the Registration Statement) addressed to each selling Holder (to the extent permitted by applicable professional standards) and Underwriter of Registrable Securities, such letters to be in customary form and covering matters of the type cust</w:t>
      </w:r>
      <w:r>
        <w:rPr>
          <w:rFonts w:ascii="Times New Roman" w:eastAsia="Times New Roman" w:hAnsi="Times New Roman" w:cs="Times New Roman"/>
          <w:sz w:val="20"/>
          <w:szCs w:val="20"/>
        </w:rPr>
        <w:t xml:space="preserve">omarily covered in “comfort” letters in connection with underwritten offerings and (iv) deliver such documents and certificates as may be reasonably requested by the Holders of a majority in principal amount of the Registrable Securities being sold or the </w:t>
      </w:r>
      <w:r>
        <w:rPr>
          <w:rFonts w:ascii="Times New Roman" w:eastAsia="Times New Roman" w:hAnsi="Times New Roman" w:cs="Times New Roman"/>
          <w:sz w:val="20"/>
          <w:szCs w:val="20"/>
        </w:rPr>
        <w:t xml:space="preserve">Underwriters, and which are customarily delivered in underwritten offerings, to evidence the continued validity of the representations and warranties of the Company made pursuant to clause (i) above and to evidence compliance with any customary conditions </w:t>
      </w:r>
      <w:r>
        <w:rPr>
          <w:rFonts w:ascii="Times New Roman" w:eastAsia="Times New Roman" w:hAnsi="Times New Roman" w:cs="Times New Roman"/>
          <w:sz w:val="20"/>
          <w:szCs w:val="20"/>
        </w:rPr>
        <w:t>contained in an underwriting agreement.</w:t>
      </w:r>
    </w:p>
    <w:p w14:paraId="09AAB6BA"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7530ADF9" w14:textId="77777777" w:rsidR="004740A8" w:rsidRDefault="007C0112">
      <w:pPr>
        <w:pBdr>
          <w:top w:val="nil"/>
          <w:left w:val="nil"/>
          <w:bottom w:val="nil"/>
          <w:right w:val="nil"/>
          <w:between w:val="nil"/>
        </w:pBd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In the case of a Shelf Registration Statement, the Company may require each Holder of Registrable Securities to furnish to the Company such information regarding such Holder and the proposed disposition by such Hol</w:t>
      </w:r>
      <w:r>
        <w:rPr>
          <w:rFonts w:ascii="Times New Roman" w:eastAsia="Times New Roman" w:hAnsi="Times New Roman" w:cs="Times New Roman"/>
          <w:sz w:val="20"/>
          <w:szCs w:val="20"/>
        </w:rPr>
        <w:t>der of such Registrable Securities as the Company may from time to time reasonably request in writing.</w:t>
      </w:r>
    </w:p>
    <w:p w14:paraId="678F1055"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767275DA" w14:textId="77777777" w:rsidR="004740A8" w:rsidRPr="007C0112" w:rsidRDefault="007C0112" w:rsidP="007C0112">
      <w:pPr>
        <w:pBdr>
          <w:top w:val="nil"/>
          <w:left w:val="nil"/>
          <w:bottom w:val="nil"/>
          <w:right w:val="nil"/>
          <w:between w:val="nil"/>
        </w:pBdr>
        <w:ind w:firstLine="720"/>
        <w:contextualSpacing w:val="0"/>
        <w:rPr>
          <w:rFonts w:ascii="Times New Roman" w:eastAsia="Times New Roman" w:hAnsi="Times New Roman" w:cs="Times New Roman"/>
        </w:rPr>
      </w:pPr>
      <w:r>
        <w:rPr>
          <w:rFonts w:ascii="Times New Roman" w:eastAsia="Times New Roman" w:hAnsi="Times New Roman" w:cs="Times New Roman"/>
          <w:sz w:val="20"/>
          <w:szCs w:val="20"/>
        </w:rPr>
        <w:t xml:space="preserve">Each Holder of Registrable Securities agrees that, upon receipt of any notice from the Company of the happening of any event of the kind described in </w:t>
      </w:r>
      <w:r>
        <w:rPr>
          <w:rFonts w:ascii="Times New Roman" w:eastAsia="Times New Roman" w:hAnsi="Times New Roman" w:cs="Times New Roman"/>
          <w:sz w:val="20"/>
          <w:szCs w:val="20"/>
          <w:u w:val="single"/>
        </w:rPr>
        <w:t>S</w:t>
      </w:r>
      <w:r>
        <w:rPr>
          <w:rFonts w:ascii="Times New Roman" w:eastAsia="Times New Roman" w:hAnsi="Times New Roman" w:cs="Times New Roman"/>
          <w:sz w:val="20"/>
          <w:szCs w:val="20"/>
          <w:u w:val="single"/>
        </w:rPr>
        <w:t>ection 3(e)(v)</w:t>
      </w:r>
      <w:r>
        <w:rPr>
          <w:rFonts w:ascii="Times New Roman" w:eastAsia="Times New Roman" w:hAnsi="Times New Roman" w:cs="Times New Roman"/>
          <w:sz w:val="20"/>
          <w:szCs w:val="20"/>
        </w:rPr>
        <w:t> hereof or any Exchange Offer Registration Statement Suspension Period or any Blackout Period, such Holder will forthwith discontinue disposition of Registrable Securities pursuant to a Registration Statement until such Holder’s receipt of th</w:t>
      </w:r>
      <w:r>
        <w:rPr>
          <w:rFonts w:ascii="Times New Roman" w:eastAsia="Times New Roman" w:hAnsi="Times New Roman" w:cs="Times New Roman"/>
          <w:sz w:val="20"/>
          <w:szCs w:val="20"/>
        </w:rPr>
        <w:t xml:space="preserve">e copies of the supplemented or amended Prospectus contemplated by </w:t>
      </w:r>
      <w:r>
        <w:rPr>
          <w:rFonts w:ascii="Times New Roman" w:eastAsia="Times New Roman" w:hAnsi="Times New Roman" w:cs="Times New Roman"/>
          <w:sz w:val="20"/>
          <w:szCs w:val="20"/>
          <w:u w:val="single"/>
        </w:rPr>
        <w:t>Section 3(i)</w:t>
      </w:r>
      <w:r>
        <w:rPr>
          <w:rFonts w:ascii="Times New Roman" w:eastAsia="Times New Roman" w:hAnsi="Times New Roman" w:cs="Times New Roman"/>
          <w:sz w:val="20"/>
          <w:szCs w:val="20"/>
        </w:rPr>
        <w:t> hereof or until it is advised in writing by the Company that use of the Prospectus may be resumed and has received copies of any additional or supplemental filings that are inc</w:t>
      </w:r>
      <w:r>
        <w:rPr>
          <w:rFonts w:ascii="Times New Roman" w:eastAsia="Times New Roman" w:hAnsi="Times New Roman" w:cs="Times New Roman"/>
          <w:sz w:val="20"/>
          <w:szCs w:val="20"/>
        </w:rPr>
        <w:t>orporated by reference in the Prospectus and, if so directed by the Company, such Holder will deliver to the Company (at the Company’s expense) all copies in its possession,</w:t>
      </w:r>
      <w:r>
        <w:rPr>
          <w:rFonts w:ascii="Times New Roman" w:eastAsia="Times New Roman" w:hAnsi="Times New Roman" w:cs="Times New Roman" w:hint="eastAsia"/>
          <w:lang w:eastAsia="zh-CN"/>
        </w:rPr>
        <w:t xml:space="preserve"> </w:t>
      </w:r>
      <w:r>
        <w:rPr>
          <w:rFonts w:ascii="Times New Roman" w:eastAsia="Times New Roman" w:hAnsi="Times New Roman" w:cs="Times New Roman"/>
          <w:sz w:val="20"/>
          <w:szCs w:val="20"/>
        </w:rPr>
        <w:t>o</w:t>
      </w:r>
      <w:r>
        <w:rPr>
          <w:rFonts w:ascii="Times New Roman" w:eastAsia="Times New Roman" w:hAnsi="Times New Roman" w:cs="Times New Roman"/>
          <w:sz w:val="20"/>
          <w:szCs w:val="20"/>
        </w:rPr>
        <w:t>ther than permanent file copies then in such Holder’s possession, of the Prospectus covering such Registrable Securities that is current at the time of receipt of such notice.</w:t>
      </w:r>
    </w:p>
    <w:p w14:paraId="20201865"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0A549943" w14:textId="77777777" w:rsidR="004740A8" w:rsidRDefault="007C0112">
      <w:pPr>
        <w:pBdr>
          <w:top w:val="nil"/>
          <w:left w:val="nil"/>
          <w:bottom w:val="nil"/>
          <w:right w:val="nil"/>
          <w:between w:val="nil"/>
        </w:pBd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If the Company shall give any such notice to suspend the disposition of Regis</w:t>
      </w:r>
      <w:r>
        <w:rPr>
          <w:rFonts w:ascii="Times New Roman" w:eastAsia="Times New Roman" w:hAnsi="Times New Roman" w:cs="Times New Roman"/>
          <w:sz w:val="20"/>
          <w:szCs w:val="20"/>
        </w:rPr>
        <w:t xml:space="preserve">trable Securities pursuant to a Registration Statement, the Company shall extend the period during which the Registration Statement shall be </w:t>
      </w:r>
      <w:r>
        <w:rPr>
          <w:rFonts w:ascii="Times New Roman" w:eastAsia="Times New Roman" w:hAnsi="Times New Roman" w:cs="Times New Roman"/>
          <w:sz w:val="20"/>
          <w:szCs w:val="20"/>
        </w:rPr>
        <w:lastRenderedPageBreak/>
        <w:t>maintained effective pursuant to this Agreement by the number of days during the period from and including the date</w:t>
      </w:r>
      <w:r>
        <w:rPr>
          <w:rFonts w:ascii="Times New Roman" w:eastAsia="Times New Roman" w:hAnsi="Times New Roman" w:cs="Times New Roman"/>
          <w:sz w:val="20"/>
          <w:szCs w:val="20"/>
        </w:rPr>
        <w:t xml:space="preserve"> of the giving of such notice to and including the date when the Holders shall have received copies of the supplemented or amended Prospectus necessary to resume such dispositions. The Company may give any such notice so long as there are no more than 90 d</w:t>
      </w:r>
      <w:r>
        <w:rPr>
          <w:rFonts w:ascii="Times New Roman" w:eastAsia="Times New Roman" w:hAnsi="Times New Roman" w:cs="Times New Roman"/>
          <w:sz w:val="20"/>
          <w:szCs w:val="20"/>
        </w:rPr>
        <w:t>ays during any 365-day period in which such suspensions are in effect.</w:t>
      </w:r>
    </w:p>
    <w:p w14:paraId="6A884627"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08F82375" w14:textId="77777777" w:rsidR="004740A8" w:rsidRDefault="007C0112">
      <w:pPr>
        <w:pBdr>
          <w:top w:val="nil"/>
          <w:left w:val="nil"/>
          <w:bottom w:val="nil"/>
          <w:right w:val="nil"/>
          <w:between w:val="nil"/>
        </w:pBd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The Holders of Registrable Securities covered by a Shelf Registration Statement who desire to do so may sell such Registrable Securities in an Underwritten Offering. In any such Under</w:t>
      </w:r>
      <w:r>
        <w:rPr>
          <w:rFonts w:ascii="Times New Roman" w:eastAsia="Times New Roman" w:hAnsi="Times New Roman" w:cs="Times New Roman"/>
          <w:sz w:val="20"/>
          <w:szCs w:val="20"/>
        </w:rPr>
        <w:t>written Offering, the investment bank or investment banks and manager or managers (the “</w:t>
      </w:r>
      <w:r>
        <w:rPr>
          <w:rFonts w:ascii="Times New Roman" w:eastAsia="Times New Roman" w:hAnsi="Times New Roman" w:cs="Times New Roman"/>
          <w:sz w:val="20"/>
          <w:szCs w:val="20"/>
          <w:u w:val="single"/>
        </w:rPr>
        <w:t>Underwriters</w:t>
      </w:r>
      <w:r>
        <w:rPr>
          <w:rFonts w:ascii="Times New Roman" w:eastAsia="Times New Roman" w:hAnsi="Times New Roman" w:cs="Times New Roman"/>
          <w:sz w:val="20"/>
          <w:szCs w:val="20"/>
        </w:rPr>
        <w:t>”) that will administer the offering will be selected by the Majority Holders of the Registrable Securities included in such offering; provided that such se</w:t>
      </w:r>
      <w:r>
        <w:rPr>
          <w:rFonts w:ascii="Times New Roman" w:eastAsia="Times New Roman" w:hAnsi="Times New Roman" w:cs="Times New Roman"/>
          <w:sz w:val="20"/>
          <w:szCs w:val="20"/>
        </w:rPr>
        <w:t>lections shall be subject to the approval of the Company, which approval shall not unreasonably be withheld.</w:t>
      </w:r>
    </w:p>
    <w:p w14:paraId="3274F873"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4C6C2F6A" w14:textId="77777777" w:rsidR="004740A8" w:rsidRDefault="007C0112">
      <w:pPr>
        <w:pBdr>
          <w:top w:val="nil"/>
          <w:left w:val="nil"/>
          <w:bottom w:val="nil"/>
          <w:right w:val="nil"/>
          <w:between w:val="nil"/>
        </w:pBd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4.                                      </w:t>
      </w:r>
      <w:r>
        <w:rPr>
          <w:rFonts w:ascii="Times New Roman" w:eastAsia="Times New Roman" w:hAnsi="Times New Roman" w:cs="Times New Roman"/>
          <w:sz w:val="20"/>
          <w:szCs w:val="20"/>
          <w:u w:val="single"/>
        </w:rPr>
        <w:t>Participation of Broker-Dealers in Exchange Offer</w:t>
      </w:r>
      <w:r>
        <w:rPr>
          <w:rFonts w:ascii="Times New Roman" w:eastAsia="Times New Roman" w:hAnsi="Times New Roman" w:cs="Times New Roman"/>
          <w:sz w:val="20"/>
          <w:szCs w:val="20"/>
        </w:rPr>
        <w:t>. (a) The staff of the SEC has taken the position that any broker-dealer that receives Exchange Securities for its own account in the Exchange Offer in exchange for New Securities that were acquired by such broker-dealer as a result of market-making or oth</w:t>
      </w:r>
      <w:r>
        <w:rPr>
          <w:rFonts w:ascii="Times New Roman" w:eastAsia="Times New Roman" w:hAnsi="Times New Roman" w:cs="Times New Roman"/>
          <w:sz w:val="20"/>
          <w:szCs w:val="20"/>
        </w:rPr>
        <w:t>er trading activities (a “</w:t>
      </w:r>
      <w:r>
        <w:rPr>
          <w:rFonts w:ascii="Times New Roman" w:eastAsia="Times New Roman" w:hAnsi="Times New Roman" w:cs="Times New Roman"/>
          <w:sz w:val="20"/>
          <w:szCs w:val="20"/>
          <w:u w:val="single"/>
        </w:rPr>
        <w:t>Participating Broker-Dealer</w:t>
      </w:r>
      <w:r>
        <w:rPr>
          <w:rFonts w:ascii="Times New Roman" w:eastAsia="Times New Roman" w:hAnsi="Times New Roman" w:cs="Times New Roman"/>
          <w:sz w:val="20"/>
          <w:szCs w:val="20"/>
        </w:rPr>
        <w:t>”) may be deemed to be an “underwriter” within the meaning of the Securities Act and must deliver a prospectus meeting the requirements of the Securities Act in connection with any resale of such Exchang</w:t>
      </w:r>
      <w:r>
        <w:rPr>
          <w:rFonts w:ascii="Times New Roman" w:eastAsia="Times New Roman" w:hAnsi="Times New Roman" w:cs="Times New Roman"/>
          <w:sz w:val="20"/>
          <w:szCs w:val="20"/>
        </w:rPr>
        <w:t>e Securities.</w:t>
      </w:r>
    </w:p>
    <w:p w14:paraId="6D63D4F7"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29EDF14E" w14:textId="77777777" w:rsidR="004740A8" w:rsidRDefault="007C0112">
      <w:pPr>
        <w:pBdr>
          <w:top w:val="nil"/>
          <w:left w:val="nil"/>
          <w:bottom w:val="nil"/>
          <w:right w:val="nil"/>
          <w:between w:val="nil"/>
        </w:pBd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The Company understands that it is the staff of the SEC’s position that if the Prospectus contained in the Exchange Offer Registration Statement includes a plan of distribution containing a statement to the above effect and the means by whi</w:t>
      </w:r>
      <w:r>
        <w:rPr>
          <w:rFonts w:ascii="Times New Roman" w:eastAsia="Times New Roman" w:hAnsi="Times New Roman" w:cs="Times New Roman"/>
          <w:sz w:val="20"/>
          <w:szCs w:val="20"/>
        </w:rPr>
        <w:t>ch Participating Broker-Dealers may resell the Exchange Securities, without naming the Participating Broker-Dealers (or, to the extent permitted by law, made available to purchasers) or specifying the amount of Exchange Securities owned by them, such Prosp</w:t>
      </w:r>
      <w:r>
        <w:rPr>
          <w:rFonts w:ascii="Times New Roman" w:eastAsia="Times New Roman" w:hAnsi="Times New Roman" w:cs="Times New Roman"/>
          <w:sz w:val="20"/>
          <w:szCs w:val="20"/>
        </w:rPr>
        <w:t>ectus may be delivered by Participating Broker-Dealers to satisfy their prospectus delivery obligation under the Securities Act in connection with resales of Exchange Securities for their own accounts, so long as the Prospectus otherwise meets the requirem</w:t>
      </w:r>
      <w:r>
        <w:rPr>
          <w:rFonts w:ascii="Times New Roman" w:eastAsia="Times New Roman" w:hAnsi="Times New Roman" w:cs="Times New Roman"/>
          <w:sz w:val="20"/>
          <w:szCs w:val="20"/>
        </w:rPr>
        <w:t>ents of the Securities Act.</w:t>
      </w:r>
    </w:p>
    <w:p w14:paraId="284F14A1"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7CD72F6A" w14:textId="77777777" w:rsidR="004740A8" w:rsidRPr="007C0112" w:rsidRDefault="007C0112" w:rsidP="007C0112">
      <w:pPr>
        <w:pBdr>
          <w:top w:val="nil"/>
          <w:left w:val="nil"/>
          <w:bottom w:val="nil"/>
          <w:right w:val="nil"/>
          <w:between w:val="nil"/>
        </w:pBdr>
        <w:ind w:firstLine="720"/>
        <w:contextualSpacing w:val="0"/>
        <w:rPr>
          <w:rFonts w:ascii="Times New Roman" w:eastAsia="Times New Roman" w:hAnsi="Times New Roman" w:cs="Times New Roman"/>
        </w:rPr>
      </w:pPr>
      <w:r>
        <w:rPr>
          <w:rFonts w:ascii="Times New Roman" w:eastAsia="Times New Roman" w:hAnsi="Times New Roman" w:cs="Times New Roman"/>
          <w:sz w:val="20"/>
          <w:szCs w:val="20"/>
        </w:rPr>
        <w:t>(b)                                 In light of the above, and notwithstanding the other provisions of this Agreement, the Company agrees to use its commercially reasonable efforts to amend or supplement the Prospectus contain</w:t>
      </w:r>
      <w:r>
        <w:rPr>
          <w:rFonts w:ascii="Times New Roman" w:eastAsia="Times New Roman" w:hAnsi="Times New Roman" w:cs="Times New Roman"/>
          <w:sz w:val="20"/>
          <w:szCs w:val="20"/>
        </w:rPr>
        <w:t xml:space="preserve">ed in the Exchange Offer Registration Statement, as would otherwise be contemplated by </w:t>
      </w:r>
      <w:r>
        <w:rPr>
          <w:rFonts w:ascii="Times New Roman" w:eastAsia="Times New Roman" w:hAnsi="Times New Roman" w:cs="Times New Roman"/>
          <w:sz w:val="20"/>
          <w:szCs w:val="20"/>
          <w:u w:val="single"/>
        </w:rPr>
        <w:t>Section 3(i)</w:t>
      </w:r>
      <w:r>
        <w:rPr>
          <w:rFonts w:ascii="Times New Roman" w:eastAsia="Times New Roman" w:hAnsi="Times New Roman" w:cs="Times New Roman"/>
          <w:sz w:val="20"/>
          <w:szCs w:val="20"/>
        </w:rPr>
        <w:t xml:space="preserve">, for a period of up to 180 days after the last Exchange Date (as such period may be extended pursuant to the penultimate paragraph of </w:t>
      </w:r>
      <w:r>
        <w:rPr>
          <w:rFonts w:ascii="Times New Roman" w:eastAsia="Times New Roman" w:hAnsi="Times New Roman" w:cs="Times New Roman"/>
          <w:sz w:val="20"/>
          <w:szCs w:val="20"/>
          <w:u w:val="single"/>
        </w:rPr>
        <w:t>Section 3</w:t>
      </w:r>
      <w:r>
        <w:rPr>
          <w:rFonts w:ascii="Times New Roman" w:eastAsia="Times New Roman" w:hAnsi="Times New Roman" w:cs="Times New Roman"/>
          <w:sz w:val="20"/>
          <w:szCs w:val="20"/>
        </w:rPr>
        <w:t xml:space="preserve"> of this Agre</w:t>
      </w:r>
      <w:r>
        <w:rPr>
          <w:rFonts w:ascii="Times New Roman" w:eastAsia="Times New Roman" w:hAnsi="Times New Roman" w:cs="Times New Roman"/>
          <w:sz w:val="20"/>
          <w:szCs w:val="20"/>
        </w:rPr>
        <w:t>ement), if requested by the Initial Purchaser or by one or more Participating Broker-Dealers, in order to expedite or facilitate the disposition of any Exchange Securities by Participating Broker-Dealers consistent with the positions of the staff of the SE</w:t>
      </w:r>
      <w:r>
        <w:rPr>
          <w:rFonts w:ascii="Times New Roman" w:eastAsia="Times New Roman" w:hAnsi="Times New Roman" w:cs="Times New Roman"/>
          <w:sz w:val="20"/>
          <w:szCs w:val="20"/>
        </w:rPr>
        <w:t xml:space="preserve">C recited in </w:t>
      </w:r>
      <w:r>
        <w:rPr>
          <w:rFonts w:ascii="Times New Roman" w:eastAsia="Times New Roman" w:hAnsi="Times New Roman" w:cs="Times New Roman"/>
          <w:sz w:val="20"/>
          <w:szCs w:val="20"/>
          <w:u w:val="single"/>
        </w:rPr>
        <w:t>Section 4(a)</w:t>
      </w:r>
      <w:r>
        <w:rPr>
          <w:rFonts w:ascii="Times New Roman" w:eastAsia="Times New Roman" w:hAnsi="Times New Roman" w:cs="Times New Roman"/>
          <w:sz w:val="20"/>
          <w:szCs w:val="20"/>
        </w:rPr>
        <w:t> above. The Company further agrees that Participating Broker-Dealers shall be authorized to deliver such Prospectus</w:t>
      </w:r>
      <w:r>
        <w:rPr>
          <w:rFonts w:ascii="Times New Roman" w:eastAsia="Times New Roman" w:hAnsi="Times New Roman" w:cs="Times New Roman" w:hint="eastAsia"/>
          <w:lang w:eastAsia="zh-CN"/>
        </w:rPr>
        <w:t xml:space="preserve"> </w:t>
      </w:r>
      <w:r>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or, to the extent permitted by law, make available) during such period in connection with the resales contemplated by this </w:t>
      </w:r>
      <w:r>
        <w:rPr>
          <w:rFonts w:ascii="Times New Roman" w:eastAsia="Times New Roman" w:hAnsi="Times New Roman" w:cs="Times New Roman"/>
          <w:sz w:val="20"/>
          <w:szCs w:val="20"/>
          <w:u w:val="single"/>
        </w:rPr>
        <w:t>Section 4</w:t>
      </w:r>
      <w:r>
        <w:rPr>
          <w:rFonts w:ascii="Times New Roman" w:eastAsia="Times New Roman" w:hAnsi="Times New Roman" w:cs="Times New Roman"/>
          <w:sz w:val="20"/>
          <w:szCs w:val="20"/>
        </w:rPr>
        <w:t>.</w:t>
      </w:r>
    </w:p>
    <w:p w14:paraId="6642E7EC"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2FC830A9" w14:textId="77777777" w:rsidR="004740A8" w:rsidRDefault="007C0112">
      <w:pPr>
        <w:pBdr>
          <w:top w:val="nil"/>
          <w:left w:val="nil"/>
          <w:bottom w:val="nil"/>
          <w:right w:val="nil"/>
          <w:between w:val="nil"/>
        </w:pBd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                                  The Initial Purchaser shall have no liability to the Company, any Guarantor or any Holder with respect to any request that they may make pursuant to </w:t>
      </w:r>
      <w:r>
        <w:rPr>
          <w:rFonts w:ascii="Times New Roman" w:eastAsia="Times New Roman" w:hAnsi="Times New Roman" w:cs="Times New Roman"/>
          <w:sz w:val="20"/>
          <w:szCs w:val="20"/>
          <w:u w:val="single"/>
        </w:rPr>
        <w:t>Section 4(b)</w:t>
      </w:r>
      <w:r>
        <w:rPr>
          <w:rFonts w:ascii="Times New Roman" w:eastAsia="Times New Roman" w:hAnsi="Times New Roman" w:cs="Times New Roman"/>
          <w:sz w:val="20"/>
          <w:szCs w:val="20"/>
        </w:rPr>
        <w:t> above.</w:t>
      </w:r>
    </w:p>
    <w:p w14:paraId="2DFF9AC3"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41E0FCBD" w14:textId="77777777" w:rsidR="004740A8" w:rsidRDefault="007C0112">
      <w:pPr>
        <w:pBdr>
          <w:top w:val="nil"/>
          <w:left w:val="nil"/>
          <w:bottom w:val="nil"/>
          <w:right w:val="nil"/>
          <w:between w:val="nil"/>
        </w:pBd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5.                                      </w:t>
      </w:r>
      <w:r>
        <w:rPr>
          <w:rFonts w:ascii="Times New Roman" w:eastAsia="Times New Roman" w:hAnsi="Times New Roman" w:cs="Times New Roman"/>
          <w:sz w:val="20"/>
          <w:szCs w:val="20"/>
          <w:u w:val="single"/>
        </w:rPr>
        <w:t>Indemnif</w:t>
      </w:r>
      <w:r>
        <w:rPr>
          <w:rFonts w:ascii="Times New Roman" w:eastAsia="Times New Roman" w:hAnsi="Times New Roman" w:cs="Times New Roman"/>
          <w:sz w:val="20"/>
          <w:szCs w:val="20"/>
          <w:u w:val="single"/>
        </w:rPr>
        <w:t>ication and Contribution</w:t>
      </w:r>
      <w:r>
        <w:rPr>
          <w:rFonts w:ascii="Times New Roman" w:eastAsia="Times New Roman" w:hAnsi="Times New Roman" w:cs="Times New Roman"/>
          <w:sz w:val="20"/>
          <w:szCs w:val="20"/>
        </w:rPr>
        <w:t>. (a) The Company and each Guarantor, jointly and severally, agrees to indemnify and hold harmless the Initial Purchaser and each Holder, their respective affiliates, directors and officers and each Person, if any, who controls an I</w:t>
      </w:r>
      <w:r>
        <w:rPr>
          <w:rFonts w:ascii="Times New Roman" w:eastAsia="Times New Roman" w:hAnsi="Times New Roman" w:cs="Times New Roman"/>
          <w:sz w:val="20"/>
          <w:szCs w:val="20"/>
        </w:rPr>
        <w:t>nitial Purchaser or any Holder within the meaning of Section 15 of the Securities Act or Section 20 of the Exchange Act, from and against any and all losses, claims, damages and liabilities (including, without limitation, legal fees and other expenses incu</w:t>
      </w:r>
      <w:r>
        <w:rPr>
          <w:rFonts w:ascii="Times New Roman" w:eastAsia="Times New Roman" w:hAnsi="Times New Roman" w:cs="Times New Roman"/>
          <w:sz w:val="20"/>
          <w:szCs w:val="20"/>
        </w:rPr>
        <w:t>rred in connection with any suit, action or proceeding or any claim asserted, as such fees and expenses are incurred), joint or several, that arise out of, or are based upon, (1) any untrue statement or alleged untrue statement of a material fact contained</w:t>
      </w:r>
      <w:r>
        <w:rPr>
          <w:rFonts w:ascii="Times New Roman" w:eastAsia="Times New Roman" w:hAnsi="Times New Roman" w:cs="Times New Roman"/>
          <w:sz w:val="20"/>
          <w:szCs w:val="20"/>
        </w:rPr>
        <w:t xml:space="preserve"> in any Registration Statement or any Prospectus or any omission or alleged omission to state therein a material fact required to be stated therein or necessary in order to make the statements made therein, in the light of the circumstances under which the</w:t>
      </w:r>
      <w:r>
        <w:rPr>
          <w:rFonts w:ascii="Times New Roman" w:eastAsia="Times New Roman" w:hAnsi="Times New Roman" w:cs="Times New Roman"/>
          <w:sz w:val="20"/>
          <w:szCs w:val="20"/>
        </w:rPr>
        <w:t>y were made, not misleading, or (2) any untrue statement or alleged untrue statement of a material fact contained in any Prospectus, any Free Writing Prospectus used in violation of this Agreement or any “issuer information” (“</w:t>
      </w:r>
      <w:r>
        <w:rPr>
          <w:rFonts w:ascii="Times New Roman" w:eastAsia="Times New Roman" w:hAnsi="Times New Roman" w:cs="Times New Roman"/>
          <w:sz w:val="20"/>
          <w:szCs w:val="20"/>
          <w:u w:val="single"/>
        </w:rPr>
        <w:t>Issuer Information</w:t>
      </w:r>
      <w:r>
        <w:rPr>
          <w:rFonts w:ascii="Times New Roman" w:eastAsia="Times New Roman" w:hAnsi="Times New Roman" w:cs="Times New Roman"/>
          <w:sz w:val="20"/>
          <w:szCs w:val="20"/>
        </w:rPr>
        <w:t>”) filed or</w:t>
      </w:r>
      <w:r>
        <w:rPr>
          <w:rFonts w:ascii="Times New Roman" w:eastAsia="Times New Roman" w:hAnsi="Times New Roman" w:cs="Times New Roman"/>
          <w:sz w:val="20"/>
          <w:szCs w:val="20"/>
        </w:rPr>
        <w:t xml:space="preserve"> required to be filed pursuant to Rule 433(d) under the Securities Act, or any omission or alleged omission to state therein a material fact necessary in order to make the statements made therein, in the light of the circumstances under which they were mad</w:t>
      </w:r>
      <w:r>
        <w:rPr>
          <w:rFonts w:ascii="Times New Roman" w:eastAsia="Times New Roman" w:hAnsi="Times New Roman" w:cs="Times New Roman"/>
          <w:sz w:val="20"/>
          <w:szCs w:val="20"/>
        </w:rPr>
        <w:t>e, not misleading, in each case, except insofar as such losses, claims, damages or liabilities arise out of, or are based upon, any untrue statement or omission or alleged untrue statement or omission made in reliance upon and in conformity with any inform</w:t>
      </w:r>
      <w:r>
        <w:rPr>
          <w:rFonts w:ascii="Times New Roman" w:eastAsia="Times New Roman" w:hAnsi="Times New Roman" w:cs="Times New Roman"/>
          <w:sz w:val="20"/>
          <w:szCs w:val="20"/>
        </w:rPr>
        <w:t xml:space="preserve">ation </w:t>
      </w:r>
      <w:r>
        <w:rPr>
          <w:rFonts w:ascii="Times New Roman" w:eastAsia="Times New Roman" w:hAnsi="Times New Roman" w:cs="Times New Roman"/>
          <w:sz w:val="20"/>
          <w:szCs w:val="20"/>
        </w:rPr>
        <w:lastRenderedPageBreak/>
        <w:t>relating to the Initial Purchaser or any Holder furnished to the Company in writing by the Initial Purchaser or any selling Holder expressly for use therein.</w:t>
      </w:r>
    </w:p>
    <w:p w14:paraId="6F4CA697"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6A9FD714" w14:textId="77777777" w:rsidR="004740A8" w:rsidRDefault="007C0112">
      <w:pPr>
        <w:pBdr>
          <w:top w:val="nil"/>
          <w:left w:val="nil"/>
          <w:bottom w:val="nil"/>
          <w:right w:val="nil"/>
          <w:between w:val="nil"/>
        </w:pBd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(b)                                 Each Holder agrees, severally and not jointly, to inde</w:t>
      </w:r>
      <w:r>
        <w:rPr>
          <w:rFonts w:ascii="Times New Roman" w:eastAsia="Times New Roman" w:hAnsi="Times New Roman" w:cs="Times New Roman"/>
          <w:sz w:val="20"/>
          <w:szCs w:val="20"/>
        </w:rPr>
        <w:t xml:space="preserve">mnify and hold harmless the Company, the Guarantors, the Initial Purchaser and the other selling Holders, their respective affiliates, the directors of the Company, each officer of the Company who signed the Registration Statement and each Person, if any, </w:t>
      </w:r>
      <w:r>
        <w:rPr>
          <w:rFonts w:ascii="Times New Roman" w:eastAsia="Times New Roman" w:hAnsi="Times New Roman" w:cs="Times New Roman"/>
          <w:sz w:val="20"/>
          <w:szCs w:val="20"/>
        </w:rPr>
        <w:t xml:space="preserve">who controls the Company, the Guarantors, the Initial Purchaser and any other selling Holder within the meaning of Section 15 of the Securities Act or Section 20 of the Exchange Act to the same extent as the indemnity set forth in paragraph (a) above, but </w:t>
      </w:r>
      <w:r>
        <w:rPr>
          <w:rFonts w:ascii="Times New Roman" w:eastAsia="Times New Roman" w:hAnsi="Times New Roman" w:cs="Times New Roman"/>
          <w:sz w:val="20"/>
          <w:szCs w:val="20"/>
        </w:rPr>
        <w:t>only with respect to any losses, claims, damages or liabilities that arise out of, or are based upon, any untrue statement or omission or alleged untrue statement or omission made in reliance upon and in conformity with any information relating to such Hol</w:t>
      </w:r>
      <w:r>
        <w:rPr>
          <w:rFonts w:ascii="Times New Roman" w:eastAsia="Times New Roman" w:hAnsi="Times New Roman" w:cs="Times New Roman"/>
          <w:sz w:val="20"/>
          <w:szCs w:val="20"/>
        </w:rPr>
        <w:t>der furnished to the Company in writing by or on behalf of such Holder expressly for use in any Registration Statement and any Prospectus.</w:t>
      </w:r>
    </w:p>
    <w:p w14:paraId="110B0D95"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7014D582" w14:textId="77777777" w:rsidR="004740A8" w:rsidRPr="007C0112" w:rsidRDefault="007C0112" w:rsidP="007C0112">
      <w:pPr>
        <w:pBdr>
          <w:top w:val="nil"/>
          <w:left w:val="nil"/>
          <w:bottom w:val="nil"/>
          <w:right w:val="nil"/>
          <w:between w:val="nil"/>
        </w:pBdr>
        <w:ind w:firstLine="720"/>
        <w:contextualSpacing w:val="0"/>
        <w:rPr>
          <w:rFonts w:ascii="Times New Roman" w:eastAsia="Times New Roman" w:hAnsi="Times New Roman" w:cs="Times New Roman"/>
        </w:rPr>
      </w:pPr>
      <w:r>
        <w:rPr>
          <w:rFonts w:ascii="Times New Roman" w:eastAsia="Times New Roman" w:hAnsi="Times New Roman" w:cs="Times New Roman"/>
          <w:sz w:val="20"/>
          <w:szCs w:val="20"/>
        </w:rPr>
        <w:t>(c)                                  If any suit, action, proceeding (including any governmental or regulatory inve</w:t>
      </w:r>
      <w:r>
        <w:rPr>
          <w:rFonts w:ascii="Times New Roman" w:eastAsia="Times New Roman" w:hAnsi="Times New Roman" w:cs="Times New Roman"/>
          <w:sz w:val="20"/>
          <w:szCs w:val="20"/>
        </w:rPr>
        <w:t>stigation), claim or demand shall be brought or asserted against any Person in respect of which indemnification may be sought pursuant to either paragraph (a) or (b) above, such Person (the “</w:t>
      </w:r>
      <w:r>
        <w:rPr>
          <w:rFonts w:ascii="Times New Roman" w:eastAsia="Times New Roman" w:hAnsi="Times New Roman" w:cs="Times New Roman"/>
          <w:sz w:val="20"/>
          <w:szCs w:val="20"/>
          <w:u w:val="single"/>
        </w:rPr>
        <w:t>Indemnified Person</w:t>
      </w:r>
      <w:r>
        <w:rPr>
          <w:rFonts w:ascii="Times New Roman" w:eastAsia="Times New Roman" w:hAnsi="Times New Roman" w:cs="Times New Roman"/>
          <w:sz w:val="20"/>
          <w:szCs w:val="20"/>
        </w:rPr>
        <w:t>”) shall promptly notify the Person against who</w:t>
      </w:r>
      <w:r>
        <w:rPr>
          <w:rFonts w:ascii="Times New Roman" w:eastAsia="Times New Roman" w:hAnsi="Times New Roman" w:cs="Times New Roman"/>
          <w:sz w:val="20"/>
          <w:szCs w:val="20"/>
        </w:rPr>
        <w:t>m such indemnification may be sought (the “</w:t>
      </w:r>
      <w:r>
        <w:rPr>
          <w:rFonts w:ascii="Times New Roman" w:eastAsia="Times New Roman" w:hAnsi="Times New Roman" w:cs="Times New Roman"/>
          <w:sz w:val="20"/>
          <w:szCs w:val="20"/>
          <w:u w:val="single"/>
        </w:rPr>
        <w:t>Indemnifying Person</w:t>
      </w:r>
      <w:r>
        <w:rPr>
          <w:rFonts w:ascii="Times New Roman" w:eastAsia="Times New Roman" w:hAnsi="Times New Roman" w:cs="Times New Roman"/>
          <w:sz w:val="20"/>
          <w:szCs w:val="20"/>
        </w:rPr>
        <w:t xml:space="preserve">”) in writing; provided that the failure to notify the Indemnifying Person shall not relieve it from any liability that it may have under this </w:t>
      </w:r>
      <w:r>
        <w:rPr>
          <w:rFonts w:ascii="Times New Roman" w:eastAsia="Times New Roman" w:hAnsi="Times New Roman" w:cs="Times New Roman"/>
          <w:sz w:val="20"/>
          <w:szCs w:val="20"/>
          <w:u w:val="single"/>
        </w:rPr>
        <w:t>Section 5</w:t>
      </w:r>
      <w:r>
        <w:rPr>
          <w:rFonts w:ascii="Times New Roman" w:eastAsia="Times New Roman" w:hAnsi="Times New Roman" w:cs="Times New Roman"/>
          <w:sz w:val="20"/>
          <w:szCs w:val="20"/>
        </w:rPr>
        <w:t xml:space="preserve"> except to the extent that it has been mat</w:t>
      </w:r>
      <w:r>
        <w:rPr>
          <w:rFonts w:ascii="Times New Roman" w:eastAsia="Times New Roman" w:hAnsi="Times New Roman" w:cs="Times New Roman"/>
          <w:sz w:val="20"/>
          <w:szCs w:val="20"/>
        </w:rPr>
        <w:t>erially prejudiced (through the forfeiture of substantive</w:t>
      </w:r>
      <w:r>
        <w:rPr>
          <w:rFonts w:ascii="Times New Roman" w:eastAsia="Times New Roman" w:hAnsi="Times New Roman" w:cs="Times New Roman" w:hint="eastAsia"/>
          <w:lang w:eastAsia="zh-CN"/>
        </w:rPr>
        <w:t xml:space="preserve"> </w:t>
      </w:r>
      <w:r>
        <w:rPr>
          <w:rFonts w:ascii="Times New Roman" w:eastAsia="Times New Roman" w:hAnsi="Times New Roman" w:cs="Times New Roman"/>
          <w:sz w:val="20"/>
          <w:szCs w:val="20"/>
        </w:rPr>
        <w:t>r</w:t>
      </w:r>
      <w:r>
        <w:rPr>
          <w:rFonts w:ascii="Times New Roman" w:eastAsia="Times New Roman" w:hAnsi="Times New Roman" w:cs="Times New Roman"/>
          <w:sz w:val="20"/>
          <w:szCs w:val="20"/>
        </w:rPr>
        <w:t xml:space="preserve">ights or defenses) by such failure; and provided, further, that the failure to notify the Indemnifying Person shall not relieve it from any liability that it may have to an Indemnified Person otherwise than under this </w:t>
      </w:r>
      <w:r>
        <w:rPr>
          <w:rFonts w:ascii="Times New Roman" w:eastAsia="Times New Roman" w:hAnsi="Times New Roman" w:cs="Times New Roman"/>
          <w:sz w:val="20"/>
          <w:szCs w:val="20"/>
          <w:u w:val="single"/>
        </w:rPr>
        <w:t>Section 5</w:t>
      </w:r>
      <w:r>
        <w:rPr>
          <w:rFonts w:ascii="Times New Roman" w:eastAsia="Times New Roman" w:hAnsi="Times New Roman" w:cs="Times New Roman"/>
          <w:sz w:val="20"/>
          <w:szCs w:val="20"/>
        </w:rPr>
        <w:t>. If any such proceeding sha</w:t>
      </w:r>
      <w:r>
        <w:rPr>
          <w:rFonts w:ascii="Times New Roman" w:eastAsia="Times New Roman" w:hAnsi="Times New Roman" w:cs="Times New Roman"/>
          <w:sz w:val="20"/>
          <w:szCs w:val="20"/>
        </w:rPr>
        <w:t>ll be brought or asserted against an Indemnified Person and it shall have notified the Indemnifying Person thereof, the Indemnifying Person shall retain counsel reasonably satisfactory to the Indemnified Person to represent the Indemnified Person and any o</w:t>
      </w:r>
      <w:r>
        <w:rPr>
          <w:rFonts w:ascii="Times New Roman" w:eastAsia="Times New Roman" w:hAnsi="Times New Roman" w:cs="Times New Roman"/>
          <w:sz w:val="20"/>
          <w:szCs w:val="20"/>
        </w:rPr>
        <w:t xml:space="preserve">thers entitled to indemnification pursuant to this </w:t>
      </w:r>
      <w:r>
        <w:rPr>
          <w:rFonts w:ascii="Times New Roman" w:eastAsia="Times New Roman" w:hAnsi="Times New Roman" w:cs="Times New Roman"/>
          <w:sz w:val="20"/>
          <w:szCs w:val="20"/>
          <w:u w:val="single"/>
        </w:rPr>
        <w:t>Section 5</w:t>
      </w:r>
      <w:r>
        <w:rPr>
          <w:rFonts w:ascii="Times New Roman" w:eastAsia="Times New Roman" w:hAnsi="Times New Roman" w:cs="Times New Roman"/>
          <w:sz w:val="20"/>
          <w:szCs w:val="20"/>
        </w:rPr>
        <w:t xml:space="preserve"> that the Indemnifying Person may designate in such proceeding and shall pay the fees and expenses of such counsel related to such proceeding, as incurred. In any such proceeding, any Indemnified </w:t>
      </w:r>
      <w:r>
        <w:rPr>
          <w:rFonts w:ascii="Times New Roman" w:eastAsia="Times New Roman" w:hAnsi="Times New Roman" w:cs="Times New Roman"/>
          <w:sz w:val="20"/>
          <w:szCs w:val="20"/>
        </w:rPr>
        <w:t>Person shall have the right to retain its own counsel, but the fees and expenses of such counsel shall be at the expense of such Indemnified Person unless (i) the Indemnifying Person and the Indemnified Person shall have mutually agreed to the contrary; (i</w:t>
      </w:r>
      <w:r>
        <w:rPr>
          <w:rFonts w:ascii="Times New Roman" w:eastAsia="Times New Roman" w:hAnsi="Times New Roman" w:cs="Times New Roman"/>
          <w:sz w:val="20"/>
          <w:szCs w:val="20"/>
        </w:rPr>
        <w:t>i) the Indemnifying Person has failed within a reasonable time to retain counsel reasonably satisfactory to the Indemnified Person; (iii) the Indemnified Person shall have reasonably concluded that there may be legal defenses available to it that are diffe</w:t>
      </w:r>
      <w:r>
        <w:rPr>
          <w:rFonts w:ascii="Times New Roman" w:eastAsia="Times New Roman" w:hAnsi="Times New Roman" w:cs="Times New Roman"/>
          <w:sz w:val="20"/>
          <w:szCs w:val="20"/>
        </w:rPr>
        <w:t>rent from or in addition to those available to the Indemnifying Person; or (iv) the named parties in any such proceeding (including any impleaded parties) include both the Indemnifying Person and the Indemnified Person and representation of both parties by</w:t>
      </w:r>
      <w:r>
        <w:rPr>
          <w:rFonts w:ascii="Times New Roman" w:eastAsia="Times New Roman" w:hAnsi="Times New Roman" w:cs="Times New Roman"/>
          <w:sz w:val="20"/>
          <w:szCs w:val="20"/>
        </w:rPr>
        <w:t xml:space="preserve"> the same counsel would be inappropriate due to actual or potential differing interests between them. It is understood and agreed that the Indemnifying Person shall not, in connection with any proceeding or related proceeding in the same jurisdiction, be l</w:t>
      </w:r>
      <w:r>
        <w:rPr>
          <w:rFonts w:ascii="Times New Roman" w:eastAsia="Times New Roman" w:hAnsi="Times New Roman" w:cs="Times New Roman"/>
          <w:sz w:val="20"/>
          <w:szCs w:val="20"/>
        </w:rPr>
        <w:t>iable for the fees and expenses of more than one separate firm (in addition to any local counsel) for all Indemnified Persons, and that all such fees and expenses shall be reimbursed as they are incurred. Any such separate firm (x) for the Initial Purchase</w:t>
      </w:r>
      <w:r>
        <w:rPr>
          <w:rFonts w:ascii="Times New Roman" w:eastAsia="Times New Roman" w:hAnsi="Times New Roman" w:cs="Times New Roman"/>
          <w:sz w:val="20"/>
          <w:szCs w:val="20"/>
        </w:rPr>
        <w:t>r, its affiliates, directors and officers and any control Persons of the Initial Purchaser shall be designated in writing by the Initial Purchaser, (y) for any Holder, its affiliates, directors and officers and any control Persons of such Holder shall be d</w:t>
      </w:r>
      <w:r>
        <w:rPr>
          <w:rFonts w:ascii="Times New Roman" w:eastAsia="Times New Roman" w:hAnsi="Times New Roman" w:cs="Times New Roman"/>
          <w:sz w:val="20"/>
          <w:szCs w:val="20"/>
        </w:rPr>
        <w:t>esignated in writing by the Majority Holders and (z) in all other cases shall be designated in writing by the Company. The Indemnifying Person shall not be liable for any settlement of any proceeding effected without its written consent, but if settled wit</w:t>
      </w:r>
      <w:r>
        <w:rPr>
          <w:rFonts w:ascii="Times New Roman" w:eastAsia="Times New Roman" w:hAnsi="Times New Roman" w:cs="Times New Roman"/>
          <w:sz w:val="20"/>
          <w:szCs w:val="20"/>
        </w:rPr>
        <w:t>h such consent or if there be a final judgment for the plaintiff, the Indemnifying Person agrees to indemnify each Indemnified Person from and against any loss or liability by reason of such settlement or judgment. Notwithstanding the foregoing sentence, i</w:t>
      </w:r>
      <w:r>
        <w:rPr>
          <w:rFonts w:ascii="Times New Roman" w:eastAsia="Times New Roman" w:hAnsi="Times New Roman" w:cs="Times New Roman"/>
          <w:sz w:val="20"/>
          <w:szCs w:val="20"/>
        </w:rPr>
        <w:t>f at any time an Indemnified Person shall have requested that an Indemnifying Person reimburse the Indemnified Person for fees and expenses of counsel as contemplated by this paragraph, the Indemnifying Person shall be liable for any settlement of any proc</w:t>
      </w:r>
      <w:r>
        <w:rPr>
          <w:rFonts w:ascii="Times New Roman" w:eastAsia="Times New Roman" w:hAnsi="Times New Roman" w:cs="Times New Roman"/>
          <w:sz w:val="20"/>
          <w:szCs w:val="20"/>
        </w:rPr>
        <w:t>eeding effected without its written consent if (1) such settlement is entered into more than 30 days after receipt by the Indemnifying Person of such request and (2) the Indemnifying Person shall not have reimbursed the Indemnified Person in accordance wit</w:t>
      </w:r>
      <w:r>
        <w:rPr>
          <w:rFonts w:ascii="Times New Roman" w:eastAsia="Times New Roman" w:hAnsi="Times New Roman" w:cs="Times New Roman"/>
          <w:sz w:val="20"/>
          <w:szCs w:val="20"/>
        </w:rPr>
        <w:t>h such request prior to the date of such settlement. No Indemnifying Person shall, without the written consent of the Indemnified Person, effect any settlement of any pending or threatened proceeding in respect of which any Indemnified Person is or could h</w:t>
      </w:r>
      <w:r>
        <w:rPr>
          <w:rFonts w:ascii="Times New Roman" w:eastAsia="Times New Roman" w:hAnsi="Times New Roman" w:cs="Times New Roman"/>
          <w:sz w:val="20"/>
          <w:szCs w:val="20"/>
        </w:rPr>
        <w:t>ave been a party and indemnification could have been sought hereunder by such Indemnified Person, unless such settlement (A) includes an unconditional release of such Indemnified Person, in form and substance reasonably satisfactory to such Indemnified Per</w:t>
      </w:r>
      <w:r>
        <w:rPr>
          <w:rFonts w:ascii="Times New Roman" w:eastAsia="Times New Roman" w:hAnsi="Times New Roman" w:cs="Times New Roman"/>
          <w:sz w:val="20"/>
          <w:szCs w:val="20"/>
        </w:rPr>
        <w:t>son, from all liability on claims that are the subject matter of such proceeding and (B) does not include any statement as to or any admission of fault, culpability or a failure to act by or on behalf of any Indemnified Person.</w:t>
      </w:r>
    </w:p>
    <w:p w14:paraId="6A4FC7E5"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11B49D25" w14:textId="77777777" w:rsidR="004740A8" w:rsidRPr="007C0112" w:rsidRDefault="007C0112" w:rsidP="007C0112">
      <w:pPr>
        <w:pBdr>
          <w:top w:val="nil"/>
          <w:left w:val="nil"/>
          <w:bottom w:val="nil"/>
          <w:right w:val="nil"/>
          <w:between w:val="nil"/>
        </w:pBdr>
        <w:ind w:firstLine="720"/>
        <w:contextualSpacing w:val="0"/>
        <w:rPr>
          <w:rFonts w:ascii="Times New Roman" w:eastAsia="Times New Roman" w:hAnsi="Times New Roman" w:cs="Times New Roman"/>
        </w:rPr>
      </w:pPr>
      <w:r>
        <w:rPr>
          <w:rFonts w:ascii="Times New Roman" w:eastAsia="Times New Roman" w:hAnsi="Times New Roman" w:cs="Times New Roman"/>
          <w:sz w:val="20"/>
          <w:szCs w:val="20"/>
        </w:rPr>
        <w:lastRenderedPageBreak/>
        <w:t>(d)                       </w:t>
      </w:r>
      <w:r>
        <w:rPr>
          <w:rFonts w:ascii="Times New Roman" w:eastAsia="Times New Roman" w:hAnsi="Times New Roman" w:cs="Times New Roman"/>
          <w:sz w:val="20"/>
          <w:szCs w:val="20"/>
        </w:rPr>
        <w:t>          If the indemnification provided for in paragraphs (a) and (b) above is unavailable to an Indemnified Person or insufficient in respect of any losses, claims, damages or liabilities referred to therein, then each Indemnifying Person under such par</w:t>
      </w:r>
      <w:r>
        <w:rPr>
          <w:rFonts w:ascii="Times New Roman" w:eastAsia="Times New Roman" w:hAnsi="Times New Roman" w:cs="Times New Roman"/>
          <w:sz w:val="20"/>
          <w:szCs w:val="20"/>
        </w:rPr>
        <w:t>agraph, in lieu of indemnifying</w:t>
      </w:r>
      <w:r>
        <w:rPr>
          <w:rFonts w:ascii="Times New Roman" w:eastAsia="Times New Roman" w:hAnsi="Times New Roman" w:cs="Times New Roman" w:hint="eastAsia"/>
          <w:lang w:eastAsia="zh-CN"/>
        </w:rPr>
        <w:t xml:space="preserve"> </w:t>
      </w:r>
      <w:r>
        <w:rPr>
          <w:rFonts w:ascii="Times New Roman" w:eastAsia="Times New Roman" w:hAnsi="Times New Roman" w:cs="Times New Roman"/>
          <w:sz w:val="20"/>
          <w:szCs w:val="20"/>
        </w:rPr>
        <w:t>s</w:t>
      </w:r>
      <w:r>
        <w:rPr>
          <w:rFonts w:ascii="Times New Roman" w:eastAsia="Times New Roman" w:hAnsi="Times New Roman" w:cs="Times New Roman"/>
          <w:sz w:val="20"/>
          <w:szCs w:val="20"/>
        </w:rPr>
        <w:t>uch Indemnified Person thereunder, shall contribute to the amount paid or payable by such Indemnified Person as a result of such losses, claims, damages or liabilities (i) in such proportion as is appropriate to reflect the relative benefits received by t</w:t>
      </w:r>
      <w:r>
        <w:rPr>
          <w:rFonts w:ascii="Times New Roman" w:eastAsia="Times New Roman" w:hAnsi="Times New Roman" w:cs="Times New Roman"/>
          <w:sz w:val="20"/>
          <w:szCs w:val="20"/>
        </w:rPr>
        <w:t>he Company and the Guarantors from the offering of the New Securities and the Exchange Securities, on the one hand, and by the Holders from receiving New Securities or Exchange Securities registered under the Securities Act, on the other hand, or (ii) if t</w:t>
      </w:r>
      <w:r>
        <w:rPr>
          <w:rFonts w:ascii="Times New Roman" w:eastAsia="Times New Roman" w:hAnsi="Times New Roman" w:cs="Times New Roman"/>
          <w:sz w:val="20"/>
          <w:szCs w:val="20"/>
        </w:rPr>
        <w:t xml:space="preserve">he allocation provided by clause (i) is not permitted by applicable law, in such proportion as is appropriate to reflect not only the relative benefits referred to in clause (i) but also the relative fault of the Company and the Guarantors on the one hand </w:t>
      </w:r>
      <w:r>
        <w:rPr>
          <w:rFonts w:ascii="Times New Roman" w:eastAsia="Times New Roman" w:hAnsi="Times New Roman" w:cs="Times New Roman"/>
          <w:sz w:val="20"/>
          <w:szCs w:val="20"/>
        </w:rPr>
        <w:t>and the Holders on the other in connection with the statements or omissions that resulted in such losses, claims, damages or liabilities, as well as any other relevant equitable considerations. The relative fault of the Company and the Guarantors on the on</w:t>
      </w:r>
      <w:r>
        <w:rPr>
          <w:rFonts w:ascii="Times New Roman" w:eastAsia="Times New Roman" w:hAnsi="Times New Roman" w:cs="Times New Roman"/>
          <w:sz w:val="20"/>
          <w:szCs w:val="20"/>
        </w:rPr>
        <w:t>e hand and the Holders on the other shall be determined by reference to, among other things, whether the untrue or alleged untrue statement of a material fact or the omission or alleged omission to state a material fact relates to information supplied by t</w:t>
      </w:r>
      <w:r>
        <w:rPr>
          <w:rFonts w:ascii="Times New Roman" w:eastAsia="Times New Roman" w:hAnsi="Times New Roman" w:cs="Times New Roman"/>
          <w:sz w:val="20"/>
          <w:szCs w:val="20"/>
        </w:rPr>
        <w:t>he Company and the Guarantors or by the Holders and the parties’ relative intent, knowledge, access to information and opportunity to correct or prevent such statement or omission.</w:t>
      </w:r>
    </w:p>
    <w:p w14:paraId="58FD5F12"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0B350C16" w14:textId="77777777" w:rsidR="004740A8" w:rsidRDefault="007C0112">
      <w:pPr>
        <w:pBdr>
          <w:top w:val="nil"/>
          <w:left w:val="nil"/>
          <w:bottom w:val="nil"/>
          <w:right w:val="nil"/>
          <w:between w:val="nil"/>
        </w:pBd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                                  The Company, the Guarantors and the Holders agree that it would not be just and equitable if contribution pursuant to this </w:t>
      </w:r>
      <w:r>
        <w:rPr>
          <w:rFonts w:ascii="Times New Roman" w:eastAsia="Times New Roman" w:hAnsi="Times New Roman" w:cs="Times New Roman"/>
          <w:sz w:val="20"/>
          <w:szCs w:val="20"/>
          <w:u w:val="single"/>
        </w:rPr>
        <w:t>Section 5</w:t>
      </w:r>
      <w:r>
        <w:rPr>
          <w:rFonts w:ascii="Times New Roman" w:eastAsia="Times New Roman" w:hAnsi="Times New Roman" w:cs="Times New Roman"/>
          <w:sz w:val="20"/>
          <w:szCs w:val="20"/>
        </w:rPr>
        <w:t xml:space="preserve"> were determined by pro rata allocation (even if the Holders were treated as one entity</w:t>
      </w:r>
      <w:r>
        <w:rPr>
          <w:rFonts w:ascii="Times New Roman" w:eastAsia="Times New Roman" w:hAnsi="Times New Roman" w:cs="Times New Roman"/>
          <w:sz w:val="20"/>
          <w:szCs w:val="20"/>
        </w:rPr>
        <w:t xml:space="preserve"> for such purpose) or by any other method of allocation that does not take account of the equitable considerations referred to in paragraph (d) above. The amount paid or payable by an Indemnified Person as a result of the losses, claims, damages and liabil</w:t>
      </w:r>
      <w:r>
        <w:rPr>
          <w:rFonts w:ascii="Times New Roman" w:eastAsia="Times New Roman" w:hAnsi="Times New Roman" w:cs="Times New Roman"/>
          <w:sz w:val="20"/>
          <w:szCs w:val="20"/>
        </w:rPr>
        <w:t xml:space="preserve">ities referred to in paragraph (d) above shall be deemed to include, subject to the limitations set forth above, any legal or other expenses incurred by such Indemnified Person in connection with any such action or claim. Notwithstanding the provisions of </w:t>
      </w:r>
      <w:r>
        <w:rPr>
          <w:rFonts w:ascii="Times New Roman" w:eastAsia="Times New Roman" w:hAnsi="Times New Roman" w:cs="Times New Roman"/>
          <w:sz w:val="20"/>
          <w:szCs w:val="20"/>
        </w:rPr>
        <w:t xml:space="preserve">this </w:t>
      </w:r>
      <w:r>
        <w:rPr>
          <w:rFonts w:ascii="Times New Roman" w:eastAsia="Times New Roman" w:hAnsi="Times New Roman" w:cs="Times New Roman"/>
          <w:sz w:val="20"/>
          <w:szCs w:val="20"/>
          <w:u w:val="single"/>
        </w:rPr>
        <w:t>Section 5</w:t>
      </w:r>
      <w:r>
        <w:rPr>
          <w:rFonts w:ascii="Times New Roman" w:eastAsia="Times New Roman" w:hAnsi="Times New Roman" w:cs="Times New Roman"/>
          <w:sz w:val="20"/>
          <w:szCs w:val="20"/>
        </w:rPr>
        <w:t>, in no event shall a Holder be required to contribute any amount in excess of the amount by which the total price at which the New Securities or Exchange Securities sold by such Holder exceeds the amount of any damages that such Holder has o</w:t>
      </w:r>
      <w:r>
        <w:rPr>
          <w:rFonts w:ascii="Times New Roman" w:eastAsia="Times New Roman" w:hAnsi="Times New Roman" w:cs="Times New Roman"/>
          <w:sz w:val="20"/>
          <w:szCs w:val="20"/>
        </w:rPr>
        <w:t>therwise been required to pay by reason of such untrue or alleged untrue statement or omission or alleged omission. No Person guilty of fraudulent misrepresentation (within the meaning of Section 11(f) of the Securities Act) shall be entitled to contributi</w:t>
      </w:r>
      <w:r>
        <w:rPr>
          <w:rFonts w:ascii="Times New Roman" w:eastAsia="Times New Roman" w:hAnsi="Times New Roman" w:cs="Times New Roman"/>
          <w:sz w:val="20"/>
          <w:szCs w:val="20"/>
        </w:rPr>
        <w:t xml:space="preserve">on from any Person who was not guilty of such fraudulent misrepresentation. The Holders’ obligations to contribute pursuant to this </w:t>
      </w:r>
      <w:r>
        <w:rPr>
          <w:rFonts w:ascii="Times New Roman" w:eastAsia="Times New Roman" w:hAnsi="Times New Roman" w:cs="Times New Roman"/>
          <w:sz w:val="20"/>
          <w:szCs w:val="20"/>
          <w:u w:val="single"/>
        </w:rPr>
        <w:t>Section 5</w:t>
      </w:r>
      <w:r>
        <w:rPr>
          <w:rFonts w:ascii="Times New Roman" w:eastAsia="Times New Roman" w:hAnsi="Times New Roman" w:cs="Times New Roman"/>
          <w:sz w:val="20"/>
          <w:szCs w:val="20"/>
        </w:rPr>
        <w:t xml:space="preserve"> are several and not joint.</w:t>
      </w:r>
    </w:p>
    <w:p w14:paraId="0D1D539B"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391D09D8" w14:textId="77777777" w:rsidR="004740A8" w:rsidRDefault="007C0112">
      <w:pPr>
        <w:pBdr>
          <w:top w:val="nil"/>
          <w:left w:val="nil"/>
          <w:bottom w:val="nil"/>
          <w:right w:val="nil"/>
          <w:between w:val="nil"/>
        </w:pBd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                                   The remedies provided for in this </w:t>
      </w:r>
      <w:r>
        <w:rPr>
          <w:rFonts w:ascii="Times New Roman" w:eastAsia="Times New Roman" w:hAnsi="Times New Roman" w:cs="Times New Roman"/>
          <w:sz w:val="20"/>
          <w:szCs w:val="20"/>
          <w:u w:val="single"/>
        </w:rPr>
        <w:t>Section 5</w:t>
      </w:r>
      <w:r>
        <w:rPr>
          <w:rFonts w:ascii="Times New Roman" w:eastAsia="Times New Roman" w:hAnsi="Times New Roman" w:cs="Times New Roman"/>
          <w:sz w:val="20"/>
          <w:szCs w:val="20"/>
        </w:rPr>
        <w:t xml:space="preserve"> are</w:t>
      </w:r>
      <w:r>
        <w:rPr>
          <w:rFonts w:ascii="Times New Roman" w:eastAsia="Times New Roman" w:hAnsi="Times New Roman" w:cs="Times New Roman"/>
          <w:sz w:val="20"/>
          <w:szCs w:val="20"/>
        </w:rPr>
        <w:t xml:space="preserve"> not exclusive and shall not limit any rights or remedies that may otherwise be available to any Indemnified Person at law or in equity.</w:t>
      </w:r>
    </w:p>
    <w:p w14:paraId="2A0F8793"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30D0DFA8" w14:textId="77777777" w:rsidR="007C0112" w:rsidRDefault="007C0112" w:rsidP="007C0112">
      <w:pPr>
        <w:pBdr>
          <w:top w:val="nil"/>
          <w:left w:val="nil"/>
          <w:bottom w:val="nil"/>
          <w:right w:val="nil"/>
          <w:between w:val="nil"/>
        </w:pBdr>
        <w:ind w:firstLine="720"/>
        <w:contextualSpacing w:val="0"/>
        <w:rPr>
          <w:rFonts w:ascii="Times New Roman" w:eastAsia="Times New Roman" w:hAnsi="Times New Roman" w:cs="Times New Roman"/>
          <w:sz w:val="20"/>
          <w:szCs w:val="20"/>
          <w:lang w:eastAsia="zh-CN"/>
        </w:rPr>
      </w:pPr>
      <w:r>
        <w:rPr>
          <w:rFonts w:ascii="Times New Roman" w:eastAsia="Times New Roman" w:hAnsi="Times New Roman" w:cs="Times New Roman"/>
          <w:sz w:val="20"/>
          <w:szCs w:val="20"/>
        </w:rPr>
        <w:t xml:space="preserve">(g)                                  The indemnity and contribution provisions contained in this </w:t>
      </w:r>
      <w:r>
        <w:rPr>
          <w:rFonts w:ascii="Times New Roman" w:eastAsia="Times New Roman" w:hAnsi="Times New Roman" w:cs="Times New Roman"/>
          <w:sz w:val="20"/>
          <w:szCs w:val="20"/>
          <w:u w:val="single"/>
        </w:rPr>
        <w:t>Section 5</w:t>
      </w:r>
      <w:r>
        <w:rPr>
          <w:rFonts w:ascii="Times New Roman" w:eastAsia="Times New Roman" w:hAnsi="Times New Roman" w:cs="Times New Roman"/>
          <w:sz w:val="20"/>
          <w:szCs w:val="20"/>
        </w:rPr>
        <w:t xml:space="preserve"> shall rema</w:t>
      </w:r>
      <w:r>
        <w:rPr>
          <w:rFonts w:ascii="Times New Roman" w:eastAsia="Times New Roman" w:hAnsi="Times New Roman" w:cs="Times New Roman"/>
          <w:sz w:val="20"/>
          <w:szCs w:val="20"/>
        </w:rPr>
        <w:t>in operative and in full force and effect regardless of (i) any termination of this Agreement, (ii) any investigation made by or on behalf of the Initial Purchaser or any Holder, their respective affiliates or any Person controlling any Initial Purchaser o</w:t>
      </w:r>
      <w:r>
        <w:rPr>
          <w:rFonts w:ascii="Times New Roman" w:eastAsia="Times New Roman" w:hAnsi="Times New Roman" w:cs="Times New Roman"/>
          <w:sz w:val="20"/>
          <w:szCs w:val="20"/>
        </w:rPr>
        <w:t>r any Holder, or by or on behalf of the Company, their respective affiliates or the officers or directors of or any Person controlling the Company, (iii) acceptance of any of the Exchange Securities and (iv) any sale of Registrable Securities pursuant to a</w:t>
      </w:r>
      <w:r>
        <w:rPr>
          <w:rFonts w:ascii="Times New Roman" w:eastAsia="Times New Roman" w:hAnsi="Times New Roman" w:cs="Times New Roman"/>
          <w:sz w:val="20"/>
          <w:szCs w:val="20"/>
        </w:rPr>
        <w:t xml:space="preserve"> Shelf Registration Statement.</w:t>
      </w:r>
    </w:p>
    <w:p w14:paraId="5820EDEC" w14:textId="77777777" w:rsidR="004740A8" w:rsidRDefault="007C0112" w:rsidP="007C0112">
      <w:pPr>
        <w:pBdr>
          <w:top w:val="nil"/>
          <w:left w:val="nil"/>
          <w:bottom w:val="nil"/>
          <w:right w:val="nil"/>
          <w:between w:val="nil"/>
        </w:pBd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025451ED"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77D7A6BE" w14:textId="77777777" w:rsidR="004740A8" w:rsidRDefault="007C0112">
      <w:pPr>
        <w:pBdr>
          <w:top w:val="nil"/>
          <w:left w:val="nil"/>
          <w:bottom w:val="nil"/>
          <w:right w:val="nil"/>
          <w:between w:val="nil"/>
        </w:pBd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6.                                      </w:t>
      </w:r>
      <w:r>
        <w:rPr>
          <w:rFonts w:ascii="Times New Roman" w:eastAsia="Times New Roman" w:hAnsi="Times New Roman" w:cs="Times New Roman"/>
          <w:sz w:val="20"/>
          <w:szCs w:val="20"/>
          <w:u w:val="single"/>
        </w:rPr>
        <w:t>General</w:t>
      </w:r>
      <w:r>
        <w:rPr>
          <w:rFonts w:ascii="Times New Roman" w:eastAsia="Times New Roman" w:hAnsi="Times New Roman" w:cs="Times New Roman"/>
          <w:sz w:val="20"/>
          <w:szCs w:val="20"/>
        </w:rPr>
        <w:t>.</w:t>
      </w:r>
    </w:p>
    <w:p w14:paraId="2724C954"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494C6120" w14:textId="77777777" w:rsidR="004740A8" w:rsidRDefault="007C0112">
      <w:pPr>
        <w:pBdr>
          <w:top w:val="nil"/>
          <w:left w:val="nil"/>
          <w:bottom w:val="nil"/>
          <w:right w:val="nil"/>
          <w:between w:val="nil"/>
        </w:pBd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                                 </w:t>
      </w:r>
      <w:r>
        <w:rPr>
          <w:rFonts w:ascii="Times New Roman" w:eastAsia="Times New Roman" w:hAnsi="Times New Roman" w:cs="Times New Roman"/>
          <w:sz w:val="20"/>
          <w:szCs w:val="20"/>
          <w:u w:val="single"/>
        </w:rPr>
        <w:t>Rule 144A</w:t>
      </w:r>
      <w:r>
        <w:rPr>
          <w:rFonts w:ascii="Times New Roman" w:eastAsia="Times New Roman" w:hAnsi="Times New Roman" w:cs="Times New Roman"/>
          <w:sz w:val="20"/>
          <w:szCs w:val="20"/>
        </w:rPr>
        <w:t>. Each of the Company and the Guarantors hereby agrees with each Holder, for so long as any Registrable Securities remain outstanding, if the Company is no longer required to file reports under the Exchange Act, to make available upon request to any Holder</w:t>
      </w:r>
      <w:r>
        <w:rPr>
          <w:rFonts w:ascii="Times New Roman" w:eastAsia="Times New Roman" w:hAnsi="Times New Roman" w:cs="Times New Roman"/>
          <w:sz w:val="20"/>
          <w:szCs w:val="20"/>
        </w:rPr>
        <w:t xml:space="preserve"> or beneficial owner of Registrable Securities in connection with any sale thereof and any prospective purchaser of such Registrable Securities from such Holder or beneficial owner, the information required by Rule 144A(d)(4) under the Securities Act in or</w:t>
      </w:r>
      <w:r>
        <w:rPr>
          <w:rFonts w:ascii="Times New Roman" w:eastAsia="Times New Roman" w:hAnsi="Times New Roman" w:cs="Times New Roman"/>
          <w:sz w:val="20"/>
          <w:szCs w:val="20"/>
        </w:rPr>
        <w:t>der to permit resales of such Registrable Securities pursuant to Rule 144A under the Securities Act.</w:t>
      </w:r>
    </w:p>
    <w:p w14:paraId="1236D8A7"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5D2231D8" w14:textId="77777777" w:rsidR="004740A8" w:rsidRDefault="007C0112">
      <w:pPr>
        <w:pBdr>
          <w:top w:val="nil"/>
          <w:left w:val="nil"/>
          <w:bottom w:val="nil"/>
          <w:right w:val="nil"/>
          <w:between w:val="nil"/>
        </w:pBd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                                 </w:t>
      </w:r>
      <w:r>
        <w:rPr>
          <w:rFonts w:ascii="Times New Roman" w:eastAsia="Times New Roman" w:hAnsi="Times New Roman" w:cs="Times New Roman"/>
          <w:sz w:val="20"/>
          <w:szCs w:val="20"/>
          <w:u w:val="single"/>
        </w:rPr>
        <w:t>Adjustments Affecting the New Securities</w:t>
      </w:r>
      <w:r>
        <w:rPr>
          <w:rFonts w:ascii="Times New Roman" w:eastAsia="Times New Roman" w:hAnsi="Times New Roman" w:cs="Times New Roman"/>
          <w:sz w:val="20"/>
          <w:szCs w:val="20"/>
        </w:rPr>
        <w:t>. The Company will not take any action, or permit any change to occur, with r</w:t>
      </w:r>
      <w:r>
        <w:rPr>
          <w:rFonts w:ascii="Times New Roman" w:eastAsia="Times New Roman" w:hAnsi="Times New Roman" w:cs="Times New Roman"/>
          <w:sz w:val="20"/>
          <w:szCs w:val="20"/>
        </w:rPr>
        <w:t>espect to the New Securities that would materially and adversely affect the ability of the Holders to Consummate any Exchange Offer.</w:t>
      </w:r>
    </w:p>
    <w:p w14:paraId="03DF07A2"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1E34955D" w14:textId="77777777" w:rsidR="004740A8" w:rsidRDefault="007C0112">
      <w:pPr>
        <w:pBdr>
          <w:top w:val="nil"/>
          <w:left w:val="nil"/>
          <w:bottom w:val="nil"/>
          <w:right w:val="nil"/>
          <w:between w:val="nil"/>
        </w:pBd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(c)                                  </w:t>
      </w:r>
      <w:r>
        <w:rPr>
          <w:rFonts w:ascii="Times New Roman" w:eastAsia="Times New Roman" w:hAnsi="Times New Roman" w:cs="Times New Roman"/>
          <w:sz w:val="20"/>
          <w:szCs w:val="20"/>
          <w:u w:val="single"/>
        </w:rPr>
        <w:t>No Inconsistent Agreements</w:t>
      </w:r>
      <w:r>
        <w:rPr>
          <w:rFonts w:ascii="Times New Roman" w:eastAsia="Times New Roman" w:hAnsi="Times New Roman" w:cs="Times New Roman"/>
          <w:sz w:val="20"/>
          <w:szCs w:val="20"/>
        </w:rPr>
        <w:t>. The Company and the Guarantors have not as of the date h</w:t>
      </w:r>
      <w:r>
        <w:rPr>
          <w:rFonts w:ascii="Times New Roman" w:eastAsia="Times New Roman" w:hAnsi="Times New Roman" w:cs="Times New Roman"/>
          <w:sz w:val="20"/>
          <w:szCs w:val="20"/>
        </w:rPr>
        <w:t xml:space="preserve">ereof entered into, nor shall it on or after the date of this Agreement enter into, any agreement with respect to its securities that is inconsistent with the rights granted to the Holders of Registrable Securities in this Agreement or otherwise conflicts </w:t>
      </w:r>
      <w:r>
        <w:rPr>
          <w:rFonts w:ascii="Times New Roman" w:eastAsia="Times New Roman" w:hAnsi="Times New Roman" w:cs="Times New Roman"/>
          <w:sz w:val="20"/>
          <w:szCs w:val="20"/>
        </w:rPr>
        <w:t>with the provisions hereof.</w:t>
      </w:r>
    </w:p>
    <w:p w14:paraId="6252DD83"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2008C46E" w14:textId="77777777" w:rsidR="004740A8" w:rsidRDefault="007C0112">
      <w:pPr>
        <w:pBdr>
          <w:top w:val="nil"/>
          <w:left w:val="nil"/>
          <w:bottom w:val="nil"/>
          <w:right w:val="nil"/>
          <w:between w:val="nil"/>
        </w:pBd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                                 </w:t>
      </w:r>
      <w:r>
        <w:rPr>
          <w:rFonts w:ascii="Times New Roman" w:eastAsia="Times New Roman" w:hAnsi="Times New Roman" w:cs="Times New Roman"/>
          <w:sz w:val="20"/>
          <w:szCs w:val="20"/>
          <w:u w:val="single"/>
        </w:rPr>
        <w:t>Amendments and Waivers</w:t>
      </w:r>
      <w:r>
        <w:rPr>
          <w:rFonts w:ascii="Times New Roman" w:eastAsia="Times New Roman" w:hAnsi="Times New Roman" w:cs="Times New Roman"/>
          <w:sz w:val="20"/>
          <w:szCs w:val="20"/>
        </w:rPr>
        <w:t xml:space="preserve">. The provisions of this Agreement, including the provisions of this sentence, may not be amended, modified or supplemented, and waivers or consents to departures from </w:t>
      </w:r>
      <w:r>
        <w:rPr>
          <w:rFonts w:ascii="Times New Roman" w:eastAsia="Times New Roman" w:hAnsi="Times New Roman" w:cs="Times New Roman"/>
          <w:sz w:val="20"/>
          <w:szCs w:val="20"/>
        </w:rPr>
        <w:t>the provisions hereof may not be given unless the Company has obtained the written consent of Holders of at least a majority in aggregate principal amount of the outstanding Registrable Securities affected by such amendment, modification, supplement, waive</w:t>
      </w:r>
      <w:r>
        <w:rPr>
          <w:rFonts w:ascii="Times New Roman" w:eastAsia="Times New Roman" w:hAnsi="Times New Roman" w:cs="Times New Roman"/>
          <w:sz w:val="20"/>
          <w:szCs w:val="20"/>
        </w:rPr>
        <w:t xml:space="preserve">r or consent; provided that no amendment, modification, supplement, waiver or consent to any departure from the provisions of this </w:t>
      </w:r>
      <w:r>
        <w:rPr>
          <w:rFonts w:ascii="Times New Roman" w:eastAsia="Times New Roman" w:hAnsi="Times New Roman" w:cs="Times New Roman"/>
          <w:sz w:val="20"/>
          <w:szCs w:val="20"/>
          <w:u w:val="single"/>
        </w:rPr>
        <w:t>Section 6(d)</w:t>
      </w:r>
      <w:r>
        <w:rPr>
          <w:rFonts w:ascii="Times New Roman" w:eastAsia="Times New Roman" w:hAnsi="Times New Roman" w:cs="Times New Roman"/>
          <w:sz w:val="20"/>
          <w:szCs w:val="20"/>
        </w:rPr>
        <w:t xml:space="preserve"> or </w:t>
      </w:r>
      <w:r>
        <w:rPr>
          <w:rFonts w:ascii="Times New Roman" w:eastAsia="Times New Roman" w:hAnsi="Times New Roman" w:cs="Times New Roman"/>
          <w:sz w:val="20"/>
          <w:szCs w:val="20"/>
          <w:u w:val="single"/>
        </w:rPr>
        <w:t>Section 5</w:t>
      </w:r>
      <w:r>
        <w:rPr>
          <w:rFonts w:ascii="Times New Roman" w:eastAsia="Times New Roman" w:hAnsi="Times New Roman" w:cs="Times New Roman"/>
          <w:sz w:val="20"/>
          <w:szCs w:val="20"/>
        </w:rPr>
        <w:t xml:space="preserve"> hereof shall be effective as against any Holder of Registrable Securities unless consented to in writing by such Holder. Notwithstanding the foregoing, a waiver or consent to departure from the provisions hereof that relates exclusively to the rights of H</w:t>
      </w:r>
      <w:r>
        <w:rPr>
          <w:rFonts w:ascii="Times New Roman" w:eastAsia="Times New Roman" w:hAnsi="Times New Roman" w:cs="Times New Roman"/>
          <w:sz w:val="20"/>
          <w:szCs w:val="20"/>
        </w:rPr>
        <w:t>olders whose securities are being tendered pursuant to the Exchange Offer and that does not affect directly or indirectly the rights of other Holders whose securities are not being tendered pursuant to such Exchange Offer may be given by the Holders of a m</w:t>
      </w:r>
      <w:r>
        <w:rPr>
          <w:rFonts w:ascii="Times New Roman" w:eastAsia="Times New Roman" w:hAnsi="Times New Roman" w:cs="Times New Roman"/>
          <w:sz w:val="20"/>
          <w:szCs w:val="20"/>
        </w:rPr>
        <w:t xml:space="preserve">ajority of the outstanding principal amount of Registrable Securities being tendered or registered; </w:t>
      </w:r>
      <w:r>
        <w:rPr>
          <w:rFonts w:ascii="Times New Roman" w:eastAsia="Times New Roman" w:hAnsi="Times New Roman" w:cs="Times New Roman"/>
          <w:i/>
          <w:sz w:val="20"/>
          <w:szCs w:val="20"/>
        </w:rPr>
        <w:t>provided</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however</w:t>
      </w:r>
      <w:r>
        <w:rPr>
          <w:rFonts w:ascii="Times New Roman" w:eastAsia="Times New Roman" w:hAnsi="Times New Roman" w:cs="Times New Roman"/>
          <w:sz w:val="20"/>
          <w:szCs w:val="20"/>
        </w:rPr>
        <w:t>, that, with respect to any matter that directly or indirectly affects the rights of any Initial Purchaser hereunder, the Company shall obt</w:t>
      </w:r>
      <w:r>
        <w:rPr>
          <w:rFonts w:ascii="Times New Roman" w:eastAsia="Times New Roman" w:hAnsi="Times New Roman" w:cs="Times New Roman"/>
          <w:sz w:val="20"/>
          <w:szCs w:val="20"/>
        </w:rPr>
        <w:t xml:space="preserve">ain the written consent of the Initial Purchaser with respect to which such amendment, qualification, supplement, waiver, consent or departure is to be effective. Any amendments, modifications, supplements, waivers or consents pursuant to this </w:t>
      </w:r>
      <w:r>
        <w:rPr>
          <w:rFonts w:ascii="Times New Roman" w:eastAsia="Times New Roman" w:hAnsi="Times New Roman" w:cs="Times New Roman"/>
          <w:sz w:val="20"/>
          <w:szCs w:val="20"/>
          <w:u w:val="single"/>
        </w:rPr>
        <w:t>Section 6(d)</w:t>
      </w:r>
      <w:r>
        <w:rPr>
          <w:rFonts w:ascii="Times New Roman" w:eastAsia="Times New Roman" w:hAnsi="Times New Roman" w:cs="Times New Roman"/>
          <w:sz w:val="20"/>
          <w:szCs w:val="20"/>
        </w:rPr>
        <w:t> shall be by a writing executed by each of the parties hereto.</w:t>
      </w:r>
    </w:p>
    <w:p w14:paraId="0B6481A3"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29CDFD3E" w14:textId="77777777" w:rsidR="004740A8" w:rsidRPr="007C0112" w:rsidRDefault="007C0112" w:rsidP="007C0112">
      <w:pPr>
        <w:pBdr>
          <w:top w:val="nil"/>
          <w:left w:val="nil"/>
          <w:bottom w:val="nil"/>
          <w:right w:val="nil"/>
          <w:between w:val="nil"/>
        </w:pBdr>
        <w:ind w:firstLine="720"/>
        <w:contextualSpacing w:val="0"/>
        <w:rPr>
          <w:rFonts w:ascii="Times New Roman" w:eastAsia="Times New Roman" w:hAnsi="Times New Roman" w:cs="Times New Roman"/>
        </w:rPr>
      </w:pPr>
      <w:r>
        <w:rPr>
          <w:rFonts w:ascii="Times New Roman" w:eastAsia="Times New Roman" w:hAnsi="Times New Roman" w:cs="Times New Roman"/>
          <w:sz w:val="20"/>
          <w:szCs w:val="20"/>
        </w:rPr>
        <w:t xml:space="preserve">(e)                                  </w:t>
      </w:r>
      <w:r>
        <w:rPr>
          <w:rFonts w:ascii="Times New Roman" w:eastAsia="Times New Roman" w:hAnsi="Times New Roman" w:cs="Times New Roman"/>
          <w:sz w:val="20"/>
          <w:szCs w:val="20"/>
          <w:u w:val="single"/>
        </w:rPr>
        <w:t>Notices</w:t>
      </w:r>
      <w:r>
        <w:rPr>
          <w:rFonts w:ascii="Times New Roman" w:eastAsia="Times New Roman" w:hAnsi="Times New Roman" w:cs="Times New Roman"/>
          <w:sz w:val="20"/>
          <w:szCs w:val="20"/>
        </w:rPr>
        <w:t xml:space="preserve">. All notices and other communications provided for or permitted hereunder shall be made in writing by hand-delivery, registered first-class mail, </w:t>
      </w:r>
      <w:r>
        <w:rPr>
          <w:rFonts w:ascii="Times New Roman" w:eastAsia="Times New Roman" w:hAnsi="Times New Roman" w:cs="Times New Roman"/>
          <w:sz w:val="20"/>
          <w:szCs w:val="20"/>
        </w:rPr>
        <w:t xml:space="preserve">facsimile, or any courier guaranteeing overnight delivery (i) if to a Holder, at the most current address given by such Holder to the Company by means of a notice given in accordance with the provisions of this </w:t>
      </w:r>
      <w:r>
        <w:rPr>
          <w:rFonts w:ascii="Times New Roman" w:eastAsia="Times New Roman" w:hAnsi="Times New Roman" w:cs="Times New Roman"/>
          <w:sz w:val="20"/>
          <w:szCs w:val="20"/>
          <w:u w:val="single"/>
        </w:rPr>
        <w:t>Section 6(e)</w:t>
      </w:r>
      <w:r>
        <w:rPr>
          <w:rFonts w:ascii="Times New Roman" w:eastAsia="Times New Roman" w:hAnsi="Times New Roman" w:cs="Times New Roman"/>
          <w:sz w:val="20"/>
          <w:szCs w:val="20"/>
        </w:rPr>
        <w:t>, which address initially is, wit</w:t>
      </w:r>
      <w:r>
        <w:rPr>
          <w:rFonts w:ascii="Times New Roman" w:eastAsia="Times New Roman" w:hAnsi="Times New Roman" w:cs="Times New Roman"/>
          <w:sz w:val="20"/>
          <w:szCs w:val="20"/>
        </w:rPr>
        <w:t>h respect to the Initial Purchaser, the address set forth in the Purchase Agreement; (ii) if to the Company, initially at the Company’s address set forth in the Purchase Agreement and thereafter at such other address, notice of which is given in accordance</w:t>
      </w:r>
      <w:r>
        <w:rPr>
          <w:rFonts w:ascii="Times New Roman" w:eastAsia="Times New Roman" w:hAnsi="Times New Roman" w:cs="Times New Roman"/>
          <w:sz w:val="20"/>
          <w:szCs w:val="20"/>
        </w:rPr>
        <w:t xml:space="preserve"> with the provisions of this </w:t>
      </w:r>
      <w:r>
        <w:rPr>
          <w:rFonts w:ascii="Times New Roman" w:eastAsia="Times New Roman" w:hAnsi="Times New Roman" w:cs="Times New Roman"/>
          <w:sz w:val="20"/>
          <w:szCs w:val="20"/>
          <w:u w:val="single"/>
        </w:rPr>
        <w:t>Section 6(e)</w:t>
      </w:r>
      <w:r>
        <w:rPr>
          <w:rFonts w:ascii="Times New Roman" w:eastAsia="Times New Roman" w:hAnsi="Times New Roman" w:cs="Times New Roman"/>
          <w:sz w:val="20"/>
          <w:szCs w:val="20"/>
        </w:rPr>
        <w:t xml:space="preserve">; and (iii) to such other persons at their respective addresses as provided in the Purchase Agreement and thereafter at such other address, notice of which is given in accordance with the provisions of this </w:t>
      </w:r>
      <w:r>
        <w:rPr>
          <w:rFonts w:ascii="Times New Roman" w:eastAsia="Times New Roman" w:hAnsi="Times New Roman" w:cs="Times New Roman"/>
          <w:sz w:val="20"/>
          <w:szCs w:val="20"/>
          <w:u w:val="single"/>
        </w:rPr>
        <w:t xml:space="preserve">Section </w:t>
      </w:r>
      <w:r>
        <w:rPr>
          <w:rFonts w:ascii="Times New Roman" w:eastAsia="Times New Roman" w:hAnsi="Times New Roman" w:cs="Times New Roman"/>
          <w:sz w:val="20"/>
          <w:szCs w:val="20"/>
          <w:u w:val="single"/>
        </w:rPr>
        <w:t>6(e)</w:t>
      </w:r>
      <w:r>
        <w:rPr>
          <w:rFonts w:ascii="Times New Roman" w:eastAsia="Times New Roman" w:hAnsi="Times New Roman" w:cs="Times New Roman"/>
          <w:sz w:val="20"/>
          <w:szCs w:val="20"/>
        </w:rPr>
        <w:t>. All such notices</w:t>
      </w:r>
      <w:r>
        <w:rPr>
          <w:rFonts w:ascii="Times New Roman" w:eastAsia="Times New Roman" w:hAnsi="Times New Roman" w:cs="Times New Roman" w:hint="eastAsia"/>
          <w:lang w:eastAsia="zh-CN"/>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z w:val="20"/>
          <w:szCs w:val="20"/>
        </w:rPr>
        <w:t>nd communications shall be deemed to have been duly given at the time delivered by hand, if personally delivered; five Business Days after being deposited in the mail, postage prepaid, if mailed; when receipt is acknowledged, if delivered by facsimile; an</w:t>
      </w:r>
      <w:r>
        <w:rPr>
          <w:rFonts w:ascii="Times New Roman" w:eastAsia="Times New Roman" w:hAnsi="Times New Roman" w:cs="Times New Roman"/>
          <w:sz w:val="20"/>
          <w:szCs w:val="20"/>
        </w:rPr>
        <w:t>d on the next Business Day if timely delivered to an air courier guaranteeing overnight delivery. Copies of all such notices, demands or other communications shall be concurrently delivered by the Person giving the same to the Trustee, at the address speci</w:t>
      </w:r>
      <w:r>
        <w:rPr>
          <w:rFonts w:ascii="Times New Roman" w:eastAsia="Times New Roman" w:hAnsi="Times New Roman" w:cs="Times New Roman"/>
          <w:sz w:val="20"/>
          <w:szCs w:val="20"/>
        </w:rPr>
        <w:t>fied in the Indenture.</w:t>
      </w:r>
    </w:p>
    <w:p w14:paraId="5E7901BF"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6344EE80" w14:textId="77777777" w:rsidR="004740A8" w:rsidRDefault="007C0112">
      <w:pPr>
        <w:pBdr>
          <w:top w:val="nil"/>
          <w:left w:val="nil"/>
          <w:bottom w:val="nil"/>
          <w:right w:val="nil"/>
          <w:between w:val="nil"/>
        </w:pBd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                                   </w:t>
      </w:r>
      <w:r>
        <w:rPr>
          <w:rFonts w:ascii="Times New Roman" w:eastAsia="Times New Roman" w:hAnsi="Times New Roman" w:cs="Times New Roman"/>
          <w:sz w:val="20"/>
          <w:szCs w:val="20"/>
          <w:u w:val="single"/>
        </w:rPr>
        <w:t>Successors and Assigns</w:t>
      </w:r>
      <w:r>
        <w:rPr>
          <w:rFonts w:ascii="Times New Roman" w:eastAsia="Times New Roman" w:hAnsi="Times New Roman" w:cs="Times New Roman"/>
          <w:sz w:val="20"/>
          <w:szCs w:val="20"/>
        </w:rPr>
        <w:t>. This Agreement shall inure to the benefit of and be binding upon the successors, assigns and transferees of each of the parties, including, without limitation and withou</w:t>
      </w:r>
      <w:r>
        <w:rPr>
          <w:rFonts w:ascii="Times New Roman" w:eastAsia="Times New Roman" w:hAnsi="Times New Roman" w:cs="Times New Roman"/>
          <w:sz w:val="20"/>
          <w:szCs w:val="20"/>
        </w:rPr>
        <w:t>t the need for an express assignment, subsequent Holders; provided that nothing herein shall be deemed to permit any assignment, transfer or other disposition of Registrable Securities in violation of the terms of the Purchase Agreement or the Indenture. I</w:t>
      </w:r>
      <w:r>
        <w:rPr>
          <w:rFonts w:ascii="Times New Roman" w:eastAsia="Times New Roman" w:hAnsi="Times New Roman" w:cs="Times New Roman"/>
          <w:sz w:val="20"/>
          <w:szCs w:val="20"/>
        </w:rPr>
        <w:t>f any transferee of any Holder shall acquire Registrable Securities in any manner, whether by operation of law or otherwise, such Registrable Securities shall be held subject to all the terms of this Agreement, and by taking and holding such Registrable Se</w:t>
      </w:r>
      <w:r>
        <w:rPr>
          <w:rFonts w:ascii="Times New Roman" w:eastAsia="Times New Roman" w:hAnsi="Times New Roman" w:cs="Times New Roman"/>
          <w:sz w:val="20"/>
          <w:szCs w:val="20"/>
        </w:rPr>
        <w:t>curities such Person shall be conclusively deemed to have agreed to be bound by and to perform all of the terms and provisions of this Agreement and such Person shall be entitled to receive the benefits hereof. The Initial Purchaser (in its capacity as the</w:t>
      </w:r>
      <w:r>
        <w:rPr>
          <w:rFonts w:ascii="Times New Roman" w:eastAsia="Times New Roman" w:hAnsi="Times New Roman" w:cs="Times New Roman"/>
          <w:sz w:val="20"/>
          <w:szCs w:val="20"/>
        </w:rPr>
        <w:t xml:space="preserve"> Initial Purchaser) shall have no liability or obligation to the Company or the Guarantors with respect to any failure by a Holder to comply with, or any breach by any Holder of, any of the obligations of such Holder under this Agreement.</w:t>
      </w:r>
    </w:p>
    <w:p w14:paraId="667E96D7"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216D96FD" w14:textId="77777777" w:rsidR="004740A8" w:rsidRDefault="007C0112">
      <w:pPr>
        <w:pBdr>
          <w:top w:val="nil"/>
          <w:left w:val="nil"/>
          <w:bottom w:val="nil"/>
          <w:right w:val="nil"/>
          <w:between w:val="nil"/>
        </w:pBd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(g)            </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u w:val="single"/>
        </w:rPr>
        <w:t>Third Party Beneficiaries</w:t>
      </w:r>
      <w:r>
        <w:rPr>
          <w:rFonts w:ascii="Times New Roman" w:eastAsia="Times New Roman" w:hAnsi="Times New Roman" w:cs="Times New Roman"/>
          <w:sz w:val="20"/>
          <w:szCs w:val="20"/>
        </w:rPr>
        <w:t>. Each Holder shall be a third party beneficiary to the agreements made hereunder between the Company, on the one hand, and the Initial Purchaser, on the other hand, and shall have the right to enforce such ag</w:t>
      </w:r>
      <w:r>
        <w:rPr>
          <w:rFonts w:ascii="Times New Roman" w:eastAsia="Times New Roman" w:hAnsi="Times New Roman" w:cs="Times New Roman"/>
          <w:sz w:val="20"/>
          <w:szCs w:val="20"/>
        </w:rPr>
        <w:t>reements directly to the extent it deems such enforcement necessary or advisable to protect its rights or the rights of other Holders hereunder.</w:t>
      </w:r>
    </w:p>
    <w:p w14:paraId="04463C6F"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15891D9B" w14:textId="77777777" w:rsidR="004740A8" w:rsidRDefault="007C0112">
      <w:pPr>
        <w:pBdr>
          <w:top w:val="nil"/>
          <w:left w:val="nil"/>
          <w:bottom w:val="nil"/>
          <w:right w:val="nil"/>
          <w:between w:val="nil"/>
        </w:pBd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                                 </w:t>
      </w:r>
      <w:r>
        <w:rPr>
          <w:rFonts w:ascii="Times New Roman" w:eastAsia="Times New Roman" w:hAnsi="Times New Roman" w:cs="Times New Roman"/>
          <w:sz w:val="20"/>
          <w:szCs w:val="20"/>
          <w:u w:val="single"/>
        </w:rPr>
        <w:t>Counterparts</w:t>
      </w:r>
      <w:r>
        <w:rPr>
          <w:rFonts w:ascii="Times New Roman" w:eastAsia="Times New Roman" w:hAnsi="Times New Roman" w:cs="Times New Roman"/>
          <w:sz w:val="20"/>
          <w:szCs w:val="20"/>
        </w:rPr>
        <w:t>. This Agreement may be executed in any number of counterpart</w:t>
      </w:r>
      <w:r>
        <w:rPr>
          <w:rFonts w:ascii="Times New Roman" w:eastAsia="Times New Roman" w:hAnsi="Times New Roman" w:cs="Times New Roman"/>
          <w:sz w:val="20"/>
          <w:szCs w:val="20"/>
        </w:rPr>
        <w:t xml:space="preserve">s and </w:t>
      </w:r>
      <w:r>
        <w:rPr>
          <w:rFonts w:ascii="Times New Roman" w:eastAsia="Times New Roman" w:hAnsi="Times New Roman" w:cs="Times New Roman"/>
          <w:sz w:val="20"/>
          <w:szCs w:val="20"/>
        </w:rPr>
        <w:lastRenderedPageBreak/>
        <w:t>by the parties hereto in separate counterparts, each of which when so executed shall be deemed to be an original and all of which taken together shall constitute one and the same agreement.</w:t>
      </w:r>
    </w:p>
    <w:p w14:paraId="48418E63"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160045F5" w14:textId="77777777" w:rsidR="004740A8" w:rsidRDefault="007C0112">
      <w:pPr>
        <w:pBdr>
          <w:top w:val="nil"/>
          <w:left w:val="nil"/>
          <w:bottom w:val="nil"/>
          <w:right w:val="nil"/>
          <w:between w:val="nil"/>
        </w:pBd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                                     </w:t>
      </w:r>
      <w:r>
        <w:rPr>
          <w:rFonts w:ascii="Times New Roman" w:eastAsia="Times New Roman" w:hAnsi="Times New Roman" w:cs="Times New Roman"/>
          <w:sz w:val="20"/>
          <w:szCs w:val="20"/>
          <w:u w:val="single"/>
        </w:rPr>
        <w:t>Headings</w:t>
      </w:r>
      <w:r>
        <w:rPr>
          <w:rFonts w:ascii="Times New Roman" w:eastAsia="Times New Roman" w:hAnsi="Times New Roman" w:cs="Times New Roman"/>
          <w:sz w:val="20"/>
          <w:szCs w:val="20"/>
        </w:rPr>
        <w:t>. The headings in this Agreement are for convenience of reference only, are not a part of this Agreement and shall not limit or otherwise affect the meaning hereof.</w:t>
      </w:r>
    </w:p>
    <w:p w14:paraId="23888140"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46D34566" w14:textId="77777777" w:rsidR="004740A8" w:rsidRDefault="007C0112">
      <w:pPr>
        <w:pBdr>
          <w:top w:val="nil"/>
          <w:left w:val="nil"/>
          <w:bottom w:val="nil"/>
          <w:right w:val="nil"/>
          <w:between w:val="nil"/>
        </w:pBd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(j)                                    </w:t>
      </w:r>
      <w:r>
        <w:rPr>
          <w:rFonts w:ascii="Times New Roman" w:eastAsia="Times New Roman" w:hAnsi="Times New Roman" w:cs="Times New Roman"/>
          <w:sz w:val="20"/>
          <w:szCs w:val="20"/>
          <w:u w:val="single"/>
        </w:rPr>
        <w:t>Governing Law</w:t>
      </w:r>
      <w:r>
        <w:rPr>
          <w:rFonts w:ascii="Times New Roman" w:eastAsia="Times New Roman" w:hAnsi="Times New Roman" w:cs="Times New Roman"/>
          <w:sz w:val="20"/>
          <w:szCs w:val="20"/>
        </w:rPr>
        <w:t>. This Agreement and any claim, controversy or dispute arising under or related to this Agreement shall be governed by and construed in accordance with the laws of the State of New York.</w:t>
      </w:r>
    </w:p>
    <w:p w14:paraId="321A2908"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30A4DC9E" w14:textId="77777777" w:rsidR="004740A8" w:rsidRPr="007C0112" w:rsidRDefault="007C0112" w:rsidP="007C0112">
      <w:pPr>
        <w:pBdr>
          <w:top w:val="nil"/>
          <w:left w:val="nil"/>
          <w:bottom w:val="nil"/>
          <w:right w:val="nil"/>
          <w:between w:val="nil"/>
        </w:pBdr>
        <w:ind w:firstLine="720"/>
        <w:contextualSpacing w:val="0"/>
        <w:rPr>
          <w:rFonts w:ascii="Times New Roman" w:eastAsia="Times New Roman" w:hAnsi="Times New Roman" w:cs="Times New Roman"/>
        </w:rPr>
      </w:pPr>
      <w:r>
        <w:rPr>
          <w:rFonts w:ascii="Times New Roman" w:eastAsia="Times New Roman" w:hAnsi="Times New Roman" w:cs="Times New Roman"/>
          <w:sz w:val="20"/>
          <w:szCs w:val="20"/>
        </w:rPr>
        <w:t xml:space="preserve">(k)                                 </w:t>
      </w:r>
      <w:r>
        <w:rPr>
          <w:rFonts w:ascii="Times New Roman" w:eastAsia="Times New Roman" w:hAnsi="Times New Roman" w:cs="Times New Roman"/>
          <w:sz w:val="20"/>
          <w:szCs w:val="20"/>
          <w:u w:val="single"/>
        </w:rPr>
        <w:t>Miscellaneous</w:t>
      </w:r>
      <w:r>
        <w:rPr>
          <w:rFonts w:ascii="Times New Roman" w:eastAsia="Times New Roman" w:hAnsi="Times New Roman" w:cs="Times New Roman"/>
          <w:sz w:val="20"/>
          <w:szCs w:val="20"/>
        </w:rPr>
        <w:t>. This Agreement c</w:t>
      </w:r>
      <w:r>
        <w:rPr>
          <w:rFonts w:ascii="Times New Roman" w:eastAsia="Times New Roman" w:hAnsi="Times New Roman" w:cs="Times New Roman"/>
          <w:sz w:val="20"/>
          <w:szCs w:val="20"/>
        </w:rPr>
        <w:t>ontains the entire agreement between the parties relating to the subject matter hereof and supersedes all oral statements and prior writings with respect thereto. If any term, provision, covenant or restriction contained in this Agreement is held by a cour</w:t>
      </w:r>
      <w:r>
        <w:rPr>
          <w:rFonts w:ascii="Times New Roman" w:eastAsia="Times New Roman" w:hAnsi="Times New Roman" w:cs="Times New Roman"/>
          <w:sz w:val="20"/>
          <w:szCs w:val="20"/>
        </w:rPr>
        <w:t>t of competent jurisdiction to be invalid, void or unenforceable or against public policy, the remainder of the terms, provisions, covenants and restrictions contained herein shall remain in full force and effect and shall in no way be affected, impaired o</w:t>
      </w:r>
      <w:r>
        <w:rPr>
          <w:rFonts w:ascii="Times New Roman" w:eastAsia="Times New Roman" w:hAnsi="Times New Roman" w:cs="Times New Roman"/>
          <w:sz w:val="20"/>
          <w:szCs w:val="20"/>
        </w:rPr>
        <w:t>r invalidated. The Company and the Initial Purchaser shall endeavor in good faith negotiations to replace the</w:t>
      </w:r>
      <w:r>
        <w:rPr>
          <w:rFonts w:ascii="Times New Roman" w:eastAsia="Times New Roman" w:hAnsi="Times New Roman" w:cs="Times New Roman" w:hint="eastAsia"/>
          <w:lang w:eastAsia="zh-CN"/>
        </w:rPr>
        <w:t xml:space="preserve"> </w:t>
      </w:r>
      <w:r>
        <w:rPr>
          <w:rFonts w:ascii="Times New Roman" w:eastAsia="Times New Roman" w:hAnsi="Times New Roman" w:cs="Times New Roman"/>
          <w:sz w:val="20"/>
          <w:szCs w:val="20"/>
        </w:rPr>
        <w:t>i</w:t>
      </w:r>
      <w:r>
        <w:rPr>
          <w:rFonts w:ascii="Times New Roman" w:eastAsia="Times New Roman" w:hAnsi="Times New Roman" w:cs="Times New Roman"/>
          <w:sz w:val="20"/>
          <w:szCs w:val="20"/>
        </w:rPr>
        <w:t>nvalid, void or unenforceable provisions with valid provisions the economic effect of which comes as close as possible to that of the invalid, void or unenforceable provisions.</w:t>
      </w:r>
    </w:p>
    <w:p w14:paraId="3FB06287"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6CC0B9AB" w14:textId="77777777" w:rsidR="004740A8" w:rsidRDefault="007C0112">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[Remainder of This Page is Intentionally Left Blank]</w:t>
      </w:r>
    </w:p>
    <w:p w14:paraId="389FD327" w14:textId="77777777" w:rsidR="004740A8" w:rsidRDefault="007C0112" w:rsidP="007C0112">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rPr>
        <w:t> </w:t>
      </w:r>
    </w:p>
    <w:p w14:paraId="667446B9" w14:textId="77777777" w:rsidR="004740A8" w:rsidRDefault="004740A8">
      <w:pPr>
        <w:pBdr>
          <w:top w:val="nil"/>
          <w:left w:val="nil"/>
          <w:bottom w:val="nil"/>
          <w:right w:val="nil"/>
          <w:between w:val="nil"/>
        </w:pBdr>
        <w:contextualSpacing w:val="0"/>
        <w:rPr>
          <w:rFonts w:ascii="Times New Roman" w:eastAsia="Times New Roman" w:hAnsi="Times New Roman" w:cs="Times New Roman"/>
          <w:sz w:val="20"/>
          <w:szCs w:val="20"/>
        </w:rPr>
      </w:pPr>
    </w:p>
    <w:p w14:paraId="15CA12F5"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0445FC20" w14:textId="77777777" w:rsidR="004740A8" w:rsidRDefault="007C0112">
      <w:pPr>
        <w:pBdr>
          <w:top w:val="nil"/>
          <w:left w:val="nil"/>
          <w:bottom w:val="nil"/>
          <w:right w:val="nil"/>
          <w:between w:val="nil"/>
        </w:pBd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IN WITNESS W</w:t>
      </w:r>
      <w:r>
        <w:rPr>
          <w:rFonts w:ascii="Times New Roman" w:eastAsia="Times New Roman" w:hAnsi="Times New Roman" w:cs="Times New Roman"/>
          <w:sz w:val="20"/>
          <w:szCs w:val="20"/>
        </w:rPr>
        <w:t>HEREOF, the parties have executed this Agreement as of the date first written above.</w:t>
      </w:r>
    </w:p>
    <w:p w14:paraId="0BE6172B"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tbl>
      <w:tblPr>
        <w:tblStyle w:val="a"/>
        <w:tblW w:w="9266" w:type="dxa"/>
        <w:tblInd w:w="-100" w:type="dxa"/>
        <w:tblLayout w:type="fixed"/>
        <w:tblLook w:val="0600" w:firstRow="0" w:lastRow="0" w:firstColumn="0" w:lastColumn="0" w:noHBand="1" w:noVBand="1"/>
      </w:tblPr>
      <w:tblGrid>
        <w:gridCol w:w="4681"/>
        <w:gridCol w:w="561"/>
        <w:gridCol w:w="4024"/>
      </w:tblGrid>
      <w:tr w:rsidR="004740A8" w14:paraId="3BC433C1" w14:textId="77777777">
        <w:tc>
          <w:tcPr>
            <w:tcW w:w="4680" w:type="dxa"/>
            <w:shd w:val="clear" w:color="auto" w:fill="auto"/>
            <w:tcMar>
              <w:top w:w="0" w:type="dxa"/>
              <w:left w:w="0" w:type="dxa"/>
              <w:bottom w:w="0" w:type="dxa"/>
              <w:right w:w="0" w:type="dxa"/>
            </w:tcMar>
          </w:tcPr>
          <w:p w14:paraId="1513814C"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tc>
        <w:tc>
          <w:tcPr>
            <w:tcW w:w="4585" w:type="dxa"/>
            <w:gridSpan w:val="2"/>
            <w:shd w:val="clear" w:color="auto" w:fill="auto"/>
            <w:tcMar>
              <w:top w:w="0" w:type="dxa"/>
              <w:left w:w="0" w:type="dxa"/>
              <w:bottom w:w="0" w:type="dxa"/>
              <w:right w:w="0" w:type="dxa"/>
            </w:tcMar>
          </w:tcPr>
          <w:p w14:paraId="28540EB0" w14:textId="77777777" w:rsidR="004740A8" w:rsidRDefault="007C0112">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Very truly yours,</w:t>
            </w:r>
          </w:p>
        </w:tc>
      </w:tr>
      <w:tr w:rsidR="004740A8" w14:paraId="22DE16BB" w14:textId="77777777">
        <w:tc>
          <w:tcPr>
            <w:tcW w:w="4680" w:type="dxa"/>
            <w:shd w:val="clear" w:color="auto" w:fill="auto"/>
            <w:tcMar>
              <w:top w:w="0" w:type="dxa"/>
              <w:left w:w="0" w:type="dxa"/>
              <w:bottom w:w="0" w:type="dxa"/>
              <w:right w:w="0" w:type="dxa"/>
            </w:tcMar>
          </w:tcPr>
          <w:p w14:paraId="71024754"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tc>
        <w:tc>
          <w:tcPr>
            <w:tcW w:w="4585" w:type="dxa"/>
            <w:gridSpan w:val="2"/>
            <w:shd w:val="clear" w:color="auto" w:fill="auto"/>
            <w:tcMar>
              <w:top w:w="0" w:type="dxa"/>
              <w:left w:w="0" w:type="dxa"/>
              <w:bottom w:w="0" w:type="dxa"/>
              <w:right w:w="0" w:type="dxa"/>
            </w:tcMar>
          </w:tcPr>
          <w:p w14:paraId="7F776802" w14:textId="77777777" w:rsidR="004740A8" w:rsidRDefault="007C0112">
            <w:pPr>
              <w:pBdr>
                <w:top w:val="nil"/>
                <w:left w:val="nil"/>
                <w:bottom w:val="nil"/>
                <w:right w:val="nil"/>
                <w:between w:val="nil"/>
              </w:pBdr>
              <w:contextualSpacing w:val="0"/>
              <w:rPr>
                <w:rFonts w:ascii="Times New Roman" w:eastAsia="Times New Roman" w:hAnsi="Times New Roman" w:cs="Times New Roman"/>
                <w:b/>
              </w:rPr>
            </w:pPr>
            <w:r>
              <w:rPr>
                <w:rFonts w:ascii="Times New Roman" w:eastAsia="Times New Roman" w:hAnsi="Times New Roman" w:cs="Times New Roman"/>
                <w:b/>
              </w:rPr>
              <w:t> </w:t>
            </w:r>
          </w:p>
        </w:tc>
      </w:tr>
      <w:tr w:rsidR="004740A8" w14:paraId="2A758302" w14:textId="77777777">
        <w:tc>
          <w:tcPr>
            <w:tcW w:w="4680" w:type="dxa"/>
            <w:shd w:val="clear" w:color="auto" w:fill="auto"/>
            <w:tcMar>
              <w:top w:w="0" w:type="dxa"/>
              <w:left w:w="0" w:type="dxa"/>
              <w:bottom w:w="0" w:type="dxa"/>
              <w:right w:w="0" w:type="dxa"/>
            </w:tcMar>
          </w:tcPr>
          <w:p w14:paraId="3D1ABD1B"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tc>
        <w:tc>
          <w:tcPr>
            <w:tcW w:w="4585" w:type="dxa"/>
            <w:gridSpan w:val="2"/>
            <w:shd w:val="clear" w:color="auto" w:fill="auto"/>
            <w:tcMar>
              <w:top w:w="0" w:type="dxa"/>
              <w:left w:w="0" w:type="dxa"/>
              <w:bottom w:w="0" w:type="dxa"/>
              <w:right w:w="0" w:type="dxa"/>
            </w:tcMar>
          </w:tcPr>
          <w:p w14:paraId="45D57EFD" w14:textId="77777777" w:rsidR="004740A8" w:rsidRDefault="007C0112">
            <w:pPr>
              <w:pBdr>
                <w:top w:val="nil"/>
                <w:left w:val="nil"/>
                <w:bottom w:val="nil"/>
                <w:right w:val="nil"/>
                <w:between w:val="nil"/>
              </w:pBdr>
              <w:contextualSpacing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WILDHORSE RESOURCE DEVELOPMENT CORPORATION</w:t>
            </w:r>
          </w:p>
        </w:tc>
      </w:tr>
      <w:tr w:rsidR="004740A8" w14:paraId="582D2D1C" w14:textId="77777777">
        <w:tc>
          <w:tcPr>
            <w:tcW w:w="4680" w:type="dxa"/>
            <w:shd w:val="clear" w:color="auto" w:fill="auto"/>
            <w:tcMar>
              <w:top w:w="0" w:type="dxa"/>
              <w:left w:w="0" w:type="dxa"/>
              <w:bottom w:w="0" w:type="dxa"/>
              <w:right w:w="0" w:type="dxa"/>
            </w:tcMar>
          </w:tcPr>
          <w:p w14:paraId="792FA80F"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tc>
        <w:tc>
          <w:tcPr>
            <w:tcW w:w="561" w:type="dxa"/>
            <w:shd w:val="clear" w:color="auto" w:fill="auto"/>
            <w:tcMar>
              <w:top w:w="0" w:type="dxa"/>
              <w:left w:w="0" w:type="dxa"/>
              <w:bottom w:w="0" w:type="dxa"/>
              <w:right w:w="0" w:type="dxa"/>
            </w:tcMar>
          </w:tcPr>
          <w:p w14:paraId="344F3A77"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tc>
        <w:tc>
          <w:tcPr>
            <w:tcW w:w="4024" w:type="dxa"/>
            <w:shd w:val="clear" w:color="auto" w:fill="auto"/>
            <w:tcMar>
              <w:top w:w="0" w:type="dxa"/>
              <w:left w:w="0" w:type="dxa"/>
              <w:bottom w:w="0" w:type="dxa"/>
              <w:right w:w="0" w:type="dxa"/>
            </w:tcMar>
          </w:tcPr>
          <w:p w14:paraId="5E82BA2D"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tc>
      </w:tr>
      <w:tr w:rsidR="004740A8" w14:paraId="29ADDF47" w14:textId="77777777">
        <w:tc>
          <w:tcPr>
            <w:tcW w:w="4680" w:type="dxa"/>
            <w:shd w:val="clear" w:color="auto" w:fill="auto"/>
            <w:tcMar>
              <w:top w:w="0" w:type="dxa"/>
              <w:left w:w="0" w:type="dxa"/>
              <w:bottom w:w="0" w:type="dxa"/>
              <w:right w:w="0" w:type="dxa"/>
            </w:tcMar>
          </w:tcPr>
          <w:p w14:paraId="58286011"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tc>
        <w:tc>
          <w:tcPr>
            <w:tcW w:w="561" w:type="dxa"/>
            <w:shd w:val="clear" w:color="auto" w:fill="auto"/>
            <w:tcMar>
              <w:top w:w="0" w:type="dxa"/>
              <w:left w:w="0" w:type="dxa"/>
              <w:bottom w:w="0" w:type="dxa"/>
              <w:right w:w="0" w:type="dxa"/>
            </w:tcMar>
          </w:tcPr>
          <w:p w14:paraId="1FFA3E4D" w14:textId="77777777" w:rsidR="004740A8" w:rsidRDefault="007C0112">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By:</w:t>
            </w:r>
          </w:p>
        </w:tc>
        <w:tc>
          <w:tcPr>
            <w:tcW w:w="4024" w:type="dxa"/>
            <w:tcBorders>
              <w:top w:val="nil"/>
              <w:left w:val="nil"/>
              <w:bottom w:val="single" w:sz="8" w:space="0" w:color="000000"/>
              <w:right w:val="nil"/>
            </w:tcBorders>
            <w:shd w:val="clear" w:color="auto" w:fill="auto"/>
            <w:tcMar>
              <w:top w:w="0" w:type="dxa"/>
              <w:left w:w="0" w:type="dxa"/>
              <w:bottom w:w="0" w:type="dxa"/>
              <w:right w:w="0" w:type="dxa"/>
            </w:tcMar>
          </w:tcPr>
          <w:p w14:paraId="5E34C672" w14:textId="77777777" w:rsidR="004740A8" w:rsidRDefault="007C0112">
            <w:pPr>
              <w:pBdr>
                <w:top w:val="nil"/>
                <w:left w:val="nil"/>
                <w:bottom w:val="nil"/>
                <w:right w:val="nil"/>
                <w:between w:val="nil"/>
              </w:pBdr>
              <w:ind w:left="60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/s/ Jay C. Graham</w:t>
            </w:r>
          </w:p>
        </w:tc>
      </w:tr>
      <w:tr w:rsidR="004740A8" w14:paraId="2EE1CEBA" w14:textId="77777777">
        <w:tc>
          <w:tcPr>
            <w:tcW w:w="4680" w:type="dxa"/>
            <w:shd w:val="clear" w:color="auto" w:fill="auto"/>
            <w:tcMar>
              <w:top w:w="0" w:type="dxa"/>
              <w:left w:w="0" w:type="dxa"/>
              <w:bottom w:w="0" w:type="dxa"/>
              <w:right w:w="0" w:type="dxa"/>
            </w:tcMar>
          </w:tcPr>
          <w:p w14:paraId="0E5B74CC"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tc>
        <w:tc>
          <w:tcPr>
            <w:tcW w:w="561" w:type="dxa"/>
            <w:shd w:val="clear" w:color="auto" w:fill="auto"/>
            <w:tcMar>
              <w:top w:w="0" w:type="dxa"/>
              <w:left w:w="0" w:type="dxa"/>
              <w:bottom w:w="0" w:type="dxa"/>
              <w:right w:w="0" w:type="dxa"/>
            </w:tcMar>
          </w:tcPr>
          <w:p w14:paraId="659C6CF4" w14:textId="77777777" w:rsidR="004740A8" w:rsidRDefault="007C0112">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Name:</w:t>
            </w:r>
          </w:p>
        </w:tc>
        <w:tc>
          <w:tcPr>
            <w:tcW w:w="4024" w:type="dxa"/>
            <w:shd w:val="clear" w:color="auto" w:fill="auto"/>
            <w:tcMar>
              <w:top w:w="0" w:type="dxa"/>
              <w:left w:w="0" w:type="dxa"/>
              <w:bottom w:w="0" w:type="dxa"/>
              <w:right w:w="0" w:type="dxa"/>
            </w:tcMar>
          </w:tcPr>
          <w:p w14:paraId="3D0CCB58" w14:textId="77777777" w:rsidR="004740A8" w:rsidRDefault="007C0112">
            <w:pPr>
              <w:pBdr>
                <w:top w:val="nil"/>
                <w:left w:val="nil"/>
                <w:bottom w:val="nil"/>
                <w:right w:val="nil"/>
                <w:between w:val="nil"/>
              </w:pBdr>
              <w:ind w:left="60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Jay C. Graham</w:t>
            </w:r>
          </w:p>
        </w:tc>
      </w:tr>
      <w:tr w:rsidR="004740A8" w14:paraId="3376FED8" w14:textId="77777777">
        <w:tc>
          <w:tcPr>
            <w:tcW w:w="4680" w:type="dxa"/>
            <w:shd w:val="clear" w:color="auto" w:fill="auto"/>
            <w:tcMar>
              <w:top w:w="0" w:type="dxa"/>
              <w:left w:w="0" w:type="dxa"/>
              <w:bottom w:w="0" w:type="dxa"/>
              <w:right w:w="0" w:type="dxa"/>
            </w:tcMar>
          </w:tcPr>
          <w:p w14:paraId="27C494A8"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tc>
        <w:tc>
          <w:tcPr>
            <w:tcW w:w="561" w:type="dxa"/>
            <w:shd w:val="clear" w:color="auto" w:fill="auto"/>
            <w:tcMar>
              <w:top w:w="0" w:type="dxa"/>
              <w:left w:w="0" w:type="dxa"/>
              <w:bottom w:w="0" w:type="dxa"/>
              <w:right w:w="0" w:type="dxa"/>
            </w:tcMar>
          </w:tcPr>
          <w:p w14:paraId="3B87B7C4" w14:textId="77777777" w:rsidR="004740A8" w:rsidRDefault="007C0112">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Title:</w:t>
            </w:r>
          </w:p>
        </w:tc>
        <w:tc>
          <w:tcPr>
            <w:tcW w:w="4024" w:type="dxa"/>
            <w:shd w:val="clear" w:color="auto" w:fill="auto"/>
            <w:tcMar>
              <w:top w:w="0" w:type="dxa"/>
              <w:left w:w="0" w:type="dxa"/>
              <w:bottom w:w="0" w:type="dxa"/>
              <w:right w:w="0" w:type="dxa"/>
            </w:tcMar>
          </w:tcPr>
          <w:p w14:paraId="60A19FA9" w14:textId="77777777" w:rsidR="004740A8" w:rsidRDefault="007C0112">
            <w:pPr>
              <w:pBdr>
                <w:top w:val="nil"/>
                <w:left w:val="nil"/>
                <w:bottom w:val="nil"/>
                <w:right w:val="nil"/>
                <w:between w:val="nil"/>
              </w:pBdr>
              <w:ind w:left="60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Chief Executive Officer</w:t>
            </w:r>
          </w:p>
        </w:tc>
      </w:tr>
      <w:tr w:rsidR="004740A8" w14:paraId="17C3E450" w14:textId="77777777">
        <w:tc>
          <w:tcPr>
            <w:tcW w:w="4680" w:type="dxa"/>
            <w:shd w:val="clear" w:color="auto" w:fill="auto"/>
            <w:tcMar>
              <w:top w:w="0" w:type="dxa"/>
              <w:left w:w="0" w:type="dxa"/>
              <w:bottom w:w="0" w:type="dxa"/>
              <w:right w:w="0" w:type="dxa"/>
            </w:tcMar>
          </w:tcPr>
          <w:p w14:paraId="771B863F"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tc>
        <w:tc>
          <w:tcPr>
            <w:tcW w:w="4585" w:type="dxa"/>
            <w:gridSpan w:val="2"/>
            <w:shd w:val="clear" w:color="auto" w:fill="auto"/>
            <w:tcMar>
              <w:top w:w="0" w:type="dxa"/>
              <w:left w:w="0" w:type="dxa"/>
              <w:bottom w:w="0" w:type="dxa"/>
              <w:right w:w="0" w:type="dxa"/>
            </w:tcMar>
          </w:tcPr>
          <w:p w14:paraId="75FA20A9" w14:textId="77777777" w:rsidR="004740A8" w:rsidRDefault="007C0112">
            <w:pPr>
              <w:pBdr>
                <w:top w:val="nil"/>
                <w:left w:val="nil"/>
                <w:bottom w:val="nil"/>
                <w:right w:val="nil"/>
                <w:between w:val="nil"/>
              </w:pBdr>
              <w:contextualSpacing w:val="0"/>
              <w:rPr>
                <w:rFonts w:ascii="Times New Roman" w:eastAsia="Times New Roman" w:hAnsi="Times New Roman" w:cs="Times New Roman"/>
                <w:b/>
              </w:rPr>
            </w:pPr>
            <w:r>
              <w:rPr>
                <w:rFonts w:ascii="Times New Roman" w:eastAsia="Times New Roman" w:hAnsi="Times New Roman" w:cs="Times New Roman"/>
                <w:b/>
              </w:rPr>
              <w:t> </w:t>
            </w:r>
          </w:p>
        </w:tc>
      </w:tr>
      <w:tr w:rsidR="004740A8" w14:paraId="23E2061E" w14:textId="77777777">
        <w:tc>
          <w:tcPr>
            <w:tcW w:w="4680" w:type="dxa"/>
            <w:shd w:val="clear" w:color="auto" w:fill="auto"/>
            <w:tcMar>
              <w:top w:w="0" w:type="dxa"/>
              <w:left w:w="0" w:type="dxa"/>
              <w:bottom w:w="0" w:type="dxa"/>
              <w:right w:w="0" w:type="dxa"/>
            </w:tcMar>
          </w:tcPr>
          <w:p w14:paraId="511AA0B6"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tc>
        <w:tc>
          <w:tcPr>
            <w:tcW w:w="4585" w:type="dxa"/>
            <w:gridSpan w:val="2"/>
            <w:shd w:val="clear" w:color="auto" w:fill="auto"/>
            <w:tcMar>
              <w:top w:w="0" w:type="dxa"/>
              <w:left w:w="0" w:type="dxa"/>
              <w:bottom w:w="0" w:type="dxa"/>
              <w:right w:w="0" w:type="dxa"/>
            </w:tcMar>
          </w:tcPr>
          <w:p w14:paraId="0594432F" w14:textId="77777777" w:rsidR="004740A8" w:rsidRDefault="007C0112">
            <w:pPr>
              <w:pBdr>
                <w:top w:val="nil"/>
                <w:left w:val="nil"/>
                <w:bottom w:val="nil"/>
                <w:right w:val="nil"/>
                <w:between w:val="nil"/>
              </w:pBdr>
              <w:contextualSpacing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GUARANTORS</w:t>
            </w:r>
          </w:p>
        </w:tc>
      </w:tr>
      <w:tr w:rsidR="004740A8" w14:paraId="623C4595" w14:textId="77777777">
        <w:tc>
          <w:tcPr>
            <w:tcW w:w="4680" w:type="dxa"/>
            <w:shd w:val="clear" w:color="auto" w:fill="auto"/>
            <w:tcMar>
              <w:top w:w="0" w:type="dxa"/>
              <w:left w:w="0" w:type="dxa"/>
              <w:bottom w:w="0" w:type="dxa"/>
              <w:right w:w="0" w:type="dxa"/>
            </w:tcMar>
          </w:tcPr>
          <w:p w14:paraId="31116E89"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tc>
        <w:tc>
          <w:tcPr>
            <w:tcW w:w="4585" w:type="dxa"/>
            <w:gridSpan w:val="2"/>
            <w:shd w:val="clear" w:color="auto" w:fill="auto"/>
            <w:tcMar>
              <w:top w:w="0" w:type="dxa"/>
              <w:left w:w="0" w:type="dxa"/>
              <w:bottom w:w="0" w:type="dxa"/>
              <w:right w:w="0" w:type="dxa"/>
            </w:tcMar>
          </w:tcPr>
          <w:p w14:paraId="04CA5C1C"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tc>
      </w:tr>
      <w:tr w:rsidR="004740A8" w14:paraId="61F81332" w14:textId="77777777">
        <w:tc>
          <w:tcPr>
            <w:tcW w:w="4680" w:type="dxa"/>
            <w:shd w:val="clear" w:color="auto" w:fill="auto"/>
            <w:tcMar>
              <w:top w:w="0" w:type="dxa"/>
              <w:left w:w="0" w:type="dxa"/>
              <w:bottom w:w="0" w:type="dxa"/>
              <w:right w:w="0" w:type="dxa"/>
            </w:tcMar>
          </w:tcPr>
          <w:p w14:paraId="3D4653CC"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tc>
        <w:tc>
          <w:tcPr>
            <w:tcW w:w="4585" w:type="dxa"/>
            <w:gridSpan w:val="2"/>
            <w:shd w:val="clear" w:color="auto" w:fill="auto"/>
            <w:tcMar>
              <w:top w:w="0" w:type="dxa"/>
              <w:left w:w="0" w:type="dxa"/>
              <w:bottom w:w="0" w:type="dxa"/>
              <w:right w:w="0" w:type="dxa"/>
            </w:tcMar>
          </w:tcPr>
          <w:p w14:paraId="4E099DD0" w14:textId="77777777" w:rsidR="004740A8" w:rsidRDefault="007C0112">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WILDHORSE RESOURCES II, LLC,</w:t>
            </w:r>
          </w:p>
        </w:tc>
      </w:tr>
      <w:tr w:rsidR="004740A8" w14:paraId="113F0898" w14:textId="77777777">
        <w:tc>
          <w:tcPr>
            <w:tcW w:w="4680" w:type="dxa"/>
            <w:shd w:val="clear" w:color="auto" w:fill="auto"/>
            <w:tcMar>
              <w:top w:w="0" w:type="dxa"/>
              <w:left w:w="0" w:type="dxa"/>
              <w:bottom w:w="0" w:type="dxa"/>
              <w:right w:w="0" w:type="dxa"/>
            </w:tcMar>
          </w:tcPr>
          <w:p w14:paraId="05054ED1"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tc>
        <w:tc>
          <w:tcPr>
            <w:tcW w:w="4585" w:type="dxa"/>
            <w:gridSpan w:val="2"/>
            <w:shd w:val="clear" w:color="auto" w:fill="auto"/>
            <w:tcMar>
              <w:top w:w="0" w:type="dxa"/>
              <w:left w:w="0" w:type="dxa"/>
              <w:bottom w:w="0" w:type="dxa"/>
              <w:right w:w="0" w:type="dxa"/>
            </w:tcMar>
          </w:tcPr>
          <w:p w14:paraId="37AD5FC0" w14:textId="77777777" w:rsidR="004740A8" w:rsidRDefault="007C0112">
            <w:pPr>
              <w:pBdr>
                <w:top w:val="nil"/>
                <w:left w:val="nil"/>
                <w:bottom w:val="nil"/>
                <w:right w:val="nil"/>
                <w:between w:val="nil"/>
              </w:pBdr>
              <w:ind w:left="216"/>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By: WildHorse Resource Development Corporation, its sole member</w:t>
            </w:r>
          </w:p>
        </w:tc>
      </w:tr>
      <w:tr w:rsidR="004740A8" w14:paraId="1D732A31" w14:textId="77777777">
        <w:tc>
          <w:tcPr>
            <w:tcW w:w="4680" w:type="dxa"/>
            <w:shd w:val="clear" w:color="auto" w:fill="auto"/>
            <w:tcMar>
              <w:top w:w="0" w:type="dxa"/>
              <w:left w:w="0" w:type="dxa"/>
              <w:bottom w:w="0" w:type="dxa"/>
              <w:right w:w="0" w:type="dxa"/>
            </w:tcMar>
          </w:tcPr>
          <w:p w14:paraId="3A395967"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tc>
        <w:tc>
          <w:tcPr>
            <w:tcW w:w="4585" w:type="dxa"/>
            <w:gridSpan w:val="2"/>
            <w:shd w:val="clear" w:color="auto" w:fill="auto"/>
            <w:tcMar>
              <w:top w:w="0" w:type="dxa"/>
              <w:left w:w="0" w:type="dxa"/>
              <w:bottom w:w="0" w:type="dxa"/>
              <w:right w:w="0" w:type="dxa"/>
            </w:tcMar>
          </w:tcPr>
          <w:p w14:paraId="4527A85F" w14:textId="77777777" w:rsidR="004740A8" w:rsidRDefault="007C0112">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ESQUISTO RESOURCES II, LLC,</w:t>
            </w:r>
          </w:p>
        </w:tc>
      </w:tr>
      <w:tr w:rsidR="004740A8" w14:paraId="1E6AA366" w14:textId="77777777">
        <w:tc>
          <w:tcPr>
            <w:tcW w:w="4680" w:type="dxa"/>
            <w:shd w:val="clear" w:color="auto" w:fill="auto"/>
            <w:tcMar>
              <w:top w:w="0" w:type="dxa"/>
              <w:left w:w="0" w:type="dxa"/>
              <w:bottom w:w="0" w:type="dxa"/>
              <w:right w:w="0" w:type="dxa"/>
            </w:tcMar>
          </w:tcPr>
          <w:p w14:paraId="66265FEF"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tc>
        <w:tc>
          <w:tcPr>
            <w:tcW w:w="4585" w:type="dxa"/>
            <w:gridSpan w:val="2"/>
            <w:shd w:val="clear" w:color="auto" w:fill="auto"/>
            <w:tcMar>
              <w:top w:w="0" w:type="dxa"/>
              <w:left w:w="0" w:type="dxa"/>
              <w:bottom w:w="0" w:type="dxa"/>
              <w:right w:w="0" w:type="dxa"/>
            </w:tcMar>
          </w:tcPr>
          <w:p w14:paraId="693B2E43" w14:textId="77777777" w:rsidR="004740A8" w:rsidRDefault="007C0112">
            <w:pPr>
              <w:pBdr>
                <w:top w:val="nil"/>
                <w:left w:val="nil"/>
                <w:bottom w:val="nil"/>
                <w:right w:val="nil"/>
                <w:between w:val="nil"/>
              </w:pBdr>
              <w:ind w:left="216"/>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By: WildHorse Resource Development Corporation, its sole member</w:t>
            </w:r>
          </w:p>
        </w:tc>
      </w:tr>
      <w:tr w:rsidR="004740A8" w14:paraId="084AB771" w14:textId="77777777">
        <w:tc>
          <w:tcPr>
            <w:tcW w:w="4680" w:type="dxa"/>
            <w:shd w:val="clear" w:color="auto" w:fill="auto"/>
            <w:tcMar>
              <w:top w:w="0" w:type="dxa"/>
              <w:left w:w="0" w:type="dxa"/>
              <w:bottom w:w="0" w:type="dxa"/>
              <w:right w:w="0" w:type="dxa"/>
            </w:tcMar>
          </w:tcPr>
          <w:p w14:paraId="7C0B3879"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tc>
        <w:tc>
          <w:tcPr>
            <w:tcW w:w="4585" w:type="dxa"/>
            <w:gridSpan w:val="2"/>
            <w:shd w:val="clear" w:color="auto" w:fill="auto"/>
            <w:tcMar>
              <w:top w:w="0" w:type="dxa"/>
              <w:left w:w="0" w:type="dxa"/>
              <w:bottom w:w="0" w:type="dxa"/>
              <w:right w:w="0" w:type="dxa"/>
            </w:tcMar>
          </w:tcPr>
          <w:p w14:paraId="5582718B" w14:textId="77777777" w:rsidR="004740A8" w:rsidRDefault="007C0112">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WHE ACQCO., LLC,</w:t>
            </w:r>
          </w:p>
        </w:tc>
      </w:tr>
      <w:tr w:rsidR="004740A8" w14:paraId="265FC9BD" w14:textId="77777777">
        <w:tc>
          <w:tcPr>
            <w:tcW w:w="4680" w:type="dxa"/>
            <w:shd w:val="clear" w:color="auto" w:fill="auto"/>
            <w:tcMar>
              <w:top w:w="0" w:type="dxa"/>
              <w:left w:w="0" w:type="dxa"/>
              <w:bottom w:w="0" w:type="dxa"/>
              <w:right w:w="0" w:type="dxa"/>
            </w:tcMar>
          </w:tcPr>
          <w:p w14:paraId="356C2AA4"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tc>
        <w:tc>
          <w:tcPr>
            <w:tcW w:w="4585" w:type="dxa"/>
            <w:gridSpan w:val="2"/>
            <w:shd w:val="clear" w:color="auto" w:fill="auto"/>
            <w:tcMar>
              <w:top w:w="0" w:type="dxa"/>
              <w:left w:w="0" w:type="dxa"/>
              <w:bottom w:w="0" w:type="dxa"/>
              <w:right w:w="0" w:type="dxa"/>
            </w:tcMar>
          </w:tcPr>
          <w:p w14:paraId="11AC9F16" w14:textId="77777777" w:rsidR="004740A8" w:rsidRDefault="007C0112">
            <w:pPr>
              <w:pBdr>
                <w:top w:val="nil"/>
                <w:left w:val="nil"/>
                <w:bottom w:val="nil"/>
                <w:right w:val="nil"/>
                <w:between w:val="nil"/>
              </w:pBdr>
              <w:ind w:left="216"/>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By: WildHorse Resource Development Corporation, its sole member</w:t>
            </w:r>
          </w:p>
        </w:tc>
      </w:tr>
      <w:tr w:rsidR="004740A8" w14:paraId="0ECC2B9E" w14:textId="77777777">
        <w:tc>
          <w:tcPr>
            <w:tcW w:w="4680" w:type="dxa"/>
            <w:shd w:val="clear" w:color="auto" w:fill="auto"/>
            <w:tcMar>
              <w:top w:w="0" w:type="dxa"/>
              <w:left w:w="0" w:type="dxa"/>
              <w:bottom w:w="0" w:type="dxa"/>
              <w:right w:w="0" w:type="dxa"/>
            </w:tcMar>
          </w:tcPr>
          <w:p w14:paraId="43CB1AB9"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tc>
        <w:tc>
          <w:tcPr>
            <w:tcW w:w="4585" w:type="dxa"/>
            <w:gridSpan w:val="2"/>
            <w:shd w:val="clear" w:color="auto" w:fill="auto"/>
            <w:tcMar>
              <w:top w:w="0" w:type="dxa"/>
              <w:left w:w="0" w:type="dxa"/>
              <w:bottom w:w="0" w:type="dxa"/>
              <w:right w:w="0" w:type="dxa"/>
            </w:tcMar>
          </w:tcPr>
          <w:p w14:paraId="61CCF47C" w14:textId="77777777" w:rsidR="004740A8" w:rsidRDefault="007C0112">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WHR EAGLE FORD LLC,</w:t>
            </w:r>
          </w:p>
        </w:tc>
      </w:tr>
      <w:tr w:rsidR="004740A8" w14:paraId="046354F3" w14:textId="77777777">
        <w:tc>
          <w:tcPr>
            <w:tcW w:w="4680" w:type="dxa"/>
            <w:shd w:val="clear" w:color="auto" w:fill="auto"/>
            <w:tcMar>
              <w:top w:w="0" w:type="dxa"/>
              <w:left w:w="0" w:type="dxa"/>
              <w:bottom w:w="0" w:type="dxa"/>
              <w:right w:w="0" w:type="dxa"/>
            </w:tcMar>
          </w:tcPr>
          <w:p w14:paraId="49B1F575"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tc>
        <w:tc>
          <w:tcPr>
            <w:tcW w:w="4585" w:type="dxa"/>
            <w:gridSpan w:val="2"/>
            <w:shd w:val="clear" w:color="auto" w:fill="auto"/>
            <w:tcMar>
              <w:top w:w="0" w:type="dxa"/>
              <w:left w:w="0" w:type="dxa"/>
              <w:bottom w:w="0" w:type="dxa"/>
              <w:right w:w="0" w:type="dxa"/>
            </w:tcMar>
          </w:tcPr>
          <w:p w14:paraId="4B227806" w14:textId="77777777" w:rsidR="004740A8" w:rsidRDefault="007C0112">
            <w:pPr>
              <w:pBdr>
                <w:top w:val="nil"/>
                <w:left w:val="nil"/>
                <w:bottom w:val="nil"/>
                <w:right w:val="nil"/>
                <w:between w:val="nil"/>
              </w:pBdr>
              <w:ind w:left="216"/>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By: WildHorse Resource Development Corporation, its sole member</w:t>
            </w:r>
          </w:p>
        </w:tc>
      </w:tr>
      <w:tr w:rsidR="004740A8" w14:paraId="49C80362" w14:textId="77777777">
        <w:tc>
          <w:tcPr>
            <w:tcW w:w="4680" w:type="dxa"/>
            <w:shd w:val="clear" w:color="auto" w:fill="auto"/>
            <w:tcMar>
              <w:top w:w="0" w:type="dxa"/>
              <w:left w:w="0" w:type="dxa"/>
              <w:bottom w:w="0" w:type="dxa"/>
              <w:right w:w="0" w:type="dxa"/>
            </w:tcMar>
          </w:tcPr>
          <w:p w14:paraId="71BEAECA"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tc>
        <w:tc>
          <w:tcPr>
            <w:tcW w:w="4585" w:type="dxa"/>
            <w:gridSpan w:val="2"/>
            <w:shd w:val="clear" w:color="auto" w:fill="auto"/>
            <w:tcMar>
              <w:top w:w="0" w:type="dxa"/>
              <w:left w:w="0" w:type="dxa"/>
              <w:bottom w:w="0" w:type="dxa"/>
              <w:right w:w="0" w:type="dxa"/>
            </w:tcMar>
          </w:tcPr>
          <w:p w14:paraId="3B446448" w14:textId="77777777" w:rsidR="004740A8" w:rsidRDefault="007C0112">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BURLESON SAND LLC,</w:t>
            </w:r>
          </w:p>
        </w:tc>
      </w:tr>
      <w:tr w:rsidR="004740A8" w14:paraId="5150EA66" w14:textId="77777777">
        <w:tc>
          <w:tcPr>
            <w:tcW w:w="4680" w:type="dxa"/>
            <w:shd w:val="clear" w:color="auto" w:fill="auto"/>
            <w:tcMar>
              <w:top w:w="0" w:type="dxa"/>
              <w:left w:w="0" w:type="dxa"/>
              <w:bottom w:w="0" w:type="dxa"/>
              <w:right w:w="0" w:type="dxa"/>
            </w:tcMar>
          </w:tcPr>
          <w:p w14:paraId="1936AFA7"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tc>
        <w:tc>
          <w:tcPr>
            <w:tcW w:w="4585" w:type="dxa"/>
            <w:gridSpan w:val="2"/>
            <w:shd w:val="clear" w:color="auto" w:fill="auto"/>
            <w:tcMar>
              <w:top w:w="0" w:type="dxa"/>
              <w:left w:w="0" w:type="dxa"/>
              <w:bottom w:w="0" w:type="dxa"/>
              <w:right w:w="0" w:type="dxa"/>
            </w:tcMar>
          </w:tcPr>
          <w:p w14:paraId="61FD6678" w14:textId="77777777" w:rsidR="004740A8" w:rsidRDefault="007C0112">
            <w:pPr>
              <w:pBdr>
                <w:top w:val="nil"/>
                <w:left w:val="nil"/>
                <w:bottom w:val="nil"/>
                <w:right w:val="nil"/>
                <w:between w:val="nil"/>
              </w:pBdr>
              <w:ind w:left="216"/>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By: WildHorse Resource Development Corporation, its sole member</w:t>
            </w:r>
          </w:p>
        </w:tc>
      </w:tr>
      <w:tr w:rsidR="004740A8" w14:paraId="04ADE2A4" w14:textId="77777777">
        <w:tc>
          <w:tcPr>
            <w:tcW w:w="4680" w:type="dxa"/>
            <w:shd w:val="clear" w:color="auto" w:fill="auto"/>
            <w:tcMar>
              <w:top w:w="0" w:type="dxa"/>
              <w:left w:w="0" w:type="dxa"/>
              <w:bottom w:w="0" w:type="dxa"/>
              <w:right w:w="0" w:type="dxa"/>
            </w:tcMar>
          </w:tcPr>
          <w:p w14:paraId="283D3EF8"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tc>
        <w:tc>
          <w:tcPr>
            <w:tcW w:w="561" w:type="dxa"/>
            <w:shd w:val="clear" w:color="auto" w:fill="auto"/>
            <w:tcMar>
              <w:top w:w="0" w:type="dxa"/>
              <w:left w:w="0" w:type="dxa"/>
              <w:bottom w:w="0" w:type="dxa"/>
              <w:right w:w="0" w:type="dxa"/>
            </w:tcMar>
          </w:tcPr>
          <w:p w14:paraId="50A589DB" w14:textId="77777777" w:rsidR="004740A8" w:rsidRDefault="007C0112">
            <w:pPr>
              <w:pBdr>
                <w:top w:val="nil"/>
                <w:left w:val="nil"/>
                <w:bottom w:val="nil"/>
                <w:right w:val="nil"/>
                <w:between w:val="nil"/>
              </w:pBdr>
              <w:ind w:left="400"/>
              <w:contextualSpacing w:val="0"/>
              <w:rPr>
                <w:rFonts w:ascii="Times New Roman" w:eastAsia="Times New Roman" w:hAnsi="Times New Roman" w:cs="Times New Roman"/>
              </w:rPr>
            </w:pPr>
            <w:r>
              <w:rPr>
                <w:rFonts w:ascii="Times New Roman" w:eastAsia="Times New Roman" w:hAnsi="Times New Roman" w:cs="Times New Roman"/>
              </w:rPr>
              <w:t> </w:t>
            </w:r>
          </w:p>
        </w:tc>
        <w:tc>
          <w:tcPr>
            <w:tcW w:w="4024" w:type="dxa"/>
            <w:shd w:val="clear" w:color="auto" w:fill="auto"/>
            <w:tcMar>
              <w:top w:w="0" w:type="dxa"/>
              <w:left w:w="0" w:type="dxa"/>
              <w:bottom w:w="0" w:type="dxa"/>
              <w:right w:w="0" w:type="dxa"/>
            </w:tcMar>
          </w:tcPr>
          <w:p w14:paraId="79A6879F" w14:textId="77777777" w:rsidR="004740A8" w:rsidRDefault="007C0112">
            <w:pPr>
              <w:pBdr>
                <w:top w:val="nil"/>
                <w:left w:val="nil"/>
                <w:bottom w:val="nil"/>
                <w:right w:val="nil"/>
                <w:between w:val="nil"/>
              </w:pBdr>
              <w:ind w:left="400"/>
              <w:contextualSpacing w:val="0"/>
              <w:rPr>
                <w:rFonts w:ascii="Times New Roman" w:eastAsia="Times New Roman" w:hAnsi="Times New Roman" w:cs="Times New Roman"/>
              </w:rPr>
            </w:pPr>
            <w:r>
              <w:rPr>
                <w:rFonts w:ascii="Times New Roman" w:eastAsia="Times New Roman" w:hAnsi="Times New Roman" w:cs="Times New Roman"/>
              </w:rPr>
              <w:t> </w:t>
            </w:r>
          </w:p>
        </w:tc>
      </w:tr>
      <w:tr w:rsidR="004740A8" w14:paraId="2E25F06F" w14:textId="77777777">
        <w:tc>
          <w:tcPr>
            <w:tcW w:w="4680" w:type="dxa"/>
            <w:shd w:val="clear" w:color="auto" w:fill="auto"/>
            <w:tcMar>
              <w:top w:w="0" w:type="dxa"/>
              <w:left w:w="0" w:type="dxa"/>
              <w:bottom w:w="0" w:type="dxa"/>
              <w:right w:w="0" w:type="dxa"/>
            </w:tcMar>
          </w:tcPr>
          <w:p w14:paraId="1DDC5511"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tc>
        <w:tc>
          <w:tcPr>
            <w:tcW w:w="561" w:type="dxa"/>
            <w:shd w:val="clear" w:color="auto" w:fill="auto"/>
            <w:tcMar>
              <w:top w:w="0" w:type="dxa"/>
              <w:left w:w="0" w:type="dxa"/>
              <w:bottom w:w="0" w:type="dxa"/>
              <w:right w:w="0" w:type="dxa"/>
            </w:tcMar>
          </w:tcPr>
          <w:p w14:paraId="28B83C74" w14:textId="77777777" w:rsidR="004740A8" w:rsidRDefault="007C0112">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By:</w:t>
            </w:r>
          </w:p>
        </w:tc>
        <w:tc>
          <w:tcPr>
            <w:tcW w:w="4024" w:type="dxa"/>
            <w:tcBorders>
              <w:top w:val="nil"/>
              <w:left w:val="nil"/>
              <w:bottom w:val="single" w:sz="8" w:space="0" w:color="000000"/>
              <w:right w:val="nil"/>
            </w:tcBorders>
            <w:shd w:val="clear" w:color="auto" w:fill="auto"/>
            <w:tcMar>
              <w:top w:w="0" w:type="dxa"/>
              <w:left w:w="0" w:type="dxa"/>
              <w:bottom w:w="0" w:type="dxa"/>
              <w:right w:w="0" w:type="dxa"/>
            </w:tcMar>
          </w:tcPr>
          <w:p w14:paraId="3EF3E85C" w14:textId="77777777" w:rsidR="004740A8" w:rsidRDefault="007C0112">
            <w:pPr>
              <w:pBdr>
                <w:top w:val="nil"/>
                <w:left w:val="nil"/>
                <w:bottom w:val="nil"/>
                <w:right w:val="nil"/>
                <w:between w:val="nil"/>
              </w:pBdr>
              <w:ind w:left="60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/s/ Jay C. Graham</w:t>
            </w:r>
          </w:p>
        </w:tc>
      </w:tr>
      <w:tr w:rsidR="004740A8" w14:paraId="2A2B6D5C" w14:textId="77777777">
        <w:tc>
          <w:tcPr>
            <w:tcW w:w="4680" w:type="dxa"/>
            <w:shd w:val="clear" w:color="auto" w:fill="auto"/>
            <w:tcMar>
              <w:top w:w="0" w:type="dxa"/>
              <w:left w:w="0" w:type="dxa"/>
              <w:bottom w:w="0" w:type="dxa"/>
              <w:right w:w="0" w:type="dxa"/>
            </w:tcMar>
          </w:tcPr>
          <w:p w14:paraId="00859218"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lastRenderedPageBreak/>
              <w:t> </w:t>
            </w:r>
          </w:p>
        </w:tc>
        <w:tc>
          <w:tcPr>
            <w:tcW w:w="561" w:type="dxa"/>
            <w:shd w:val="clear" w:color="auto" w:fill="auto"/>
            <w:tcMar>
              <w:top w:w="0" w:type="dxa"/>
              <w:left w:w="0" w:type="dxa"/>
              <w:bottom w:w="0" w:type="dxa"/>
              <w:right w:w="0" w:type="dxa"/>
            </w:tcMar>
          </w:tcPr>
          <w:p w14:paraId="1F4245F0" w14:textId="77777777" w:rsidR="004740A8" w:rsidRDefault="007C0112">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Name:</w:t>
            </w:r>
          </w:p>
        </w:tc>
        <w:tc>
          <w:tcPr>
            <w:tcW w:w="4024" w:type="dxa"/>
            <w:tcBorders>
              <w:top w:val="nil"/>
              <w:left w:val="nil"/>
              <w:bottom w:val="single" w:sz="8" w:space="0" w:color="000000"/>
              <w:right w:val="nil"/>
            </w:tcBorders>
            <w:shd w:val="clear" w:color="auto" w:fill="auto"/>
            <w:tcMar>
              <w:top w:w="0" w:type="dxa"/>
              <w:left w:w="0" w:type="dxa"/>
              <w:bottom w:w="0" w:type="dxa"/>
              <w:right w:w="0" w:type="dxa"/>
            </w:tcMar>
          </w:tcPr>
          <w:p w14:paraId="4C81C9E6" w14:textId="77777777" w:rsidR="004740A8" w:rsidRDefault="007C0112">
            <w:pPr>
              <w:pBdr>
                <w:top w:val="nil"/>
                <w:left w:val="nil"/>
                <w:bottom w:val="nil"/>
                <w:right w:val="nil"/>
                <w:between w:val="nil"/>
              </w:pBdr>
              <w:ind w:left="60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Jay C. Graham</w:t>
            </w:r>
          </w:p>
        </w:tc>
      </w:tr>
      <w:tr w:rsidR="004740A8" w14:paraId="22842CA7" w14:textId="77777777">
        <w:tc>
          <w:tcPr>
            <w:tcW w:w="4680" w:type="dxa"/>
            <w:shd w:val="clear" w:color="auto" w:fill="auto"/>
            <w:tcMar>
              <w:top w:w="0" w:type="dxa"/>
              <w:left w:w="0" w:type="dxa"/>
              <w:bottom w:w="0" w:type="dxa"/>
              <w:right w:w="0" w:type="dxa"/>
            </w:tcMar>
          </w:tcPr>
          <w:p w14:paraId="5F0F3AB0"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tc>
        <w:tc>
          <w:tcPr>
            <w:tcW w:w="561" w:type="dxa"/>
            <w:shd w:val="clear" w:color="auto" w:fill="auto"/>
            <w:tcMar>
              <w:top w:w="0" w:type="dxa"/>
              <w:left w:w="0" w:type="dxa"/>
              <w:bottom w:w="0" w:type="dxa"/>
              <w:right w:w="0" w:type="dxa"/>
            </w:tcMar>
          </w:tcPr>
          <w:p w14:paraId="664B4ABA" w14:textId="77777777" w:rsidR="004740A8" w:rsidRDefault="007C0112">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Title:</w:t>
            </w:r>
          </w:p>
        </w:tc>
        <w:tc>
          <w:tcPr>
            <w:tcW w:w="4024" w:type="dxa"/>
            <w:tcBorders>
              <w:top w:val="nil"/>
              <w:left w:val="nil"/>
              <w:bottom w:val="single" w:sz="8" w:space="0" w:color="000000"/>
              <w:right w:val="nil"/>
            </w:tcBorders>
            <w:shd w:val="clear" w:color="auto" w:fill="auto"/>
            <w:tcMar>
              <w:top w:w="0" w:type="dxa"/>
              <w:left w:w="0" w:type="dxa"/>
              <w:bottom w:w="0" w:type="dxa"/>
              <w:right w:w="0" w:type="dxa"/>
            </w:tcMar>
          </w:tcPr>
          <w:p w14:paraId="717EA4C6" w14:textId="77777777" w:rsidR="004740A8" w:rsidRDefault="007C0112">
            <w:pPr>
              <w:pBdr>
                <w:top w:val="nil"/>
                <w:left w:val="nil"/>
                <w:bottom w:val="nil"/>
                <w:right w:val="nil"/>
                <w:between w:val="nil"/>
              </w:pBdr>
              <w:ind w:left="60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Chief Executive Officer</w:t>
            </w:r>
          </w:p>
        </w:tc>
      </w:tr>
    </w:tbl>
    <w:p w14:paraId="43B1CBB9"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16E155DF" w14:textId="77777777" w:rsidR="004740A8" w:rsidRDefault="007C0112">
      <w:pPr>
        <w:pBdr>
          <w:top w:val="nil"/>
          <w:left w:val="nil"/>
          <w:bottom w:val="nil"/>
          <w:right w:val="nil"/>
          <w:between w:val="nil"/>
        </w:pBdr>
        <w:contextualSpacing w:val="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Signature Page to Registration Rights Agreement</w:t>
      </w:r>
    </w:p>
    <w:p w14:paraId="5DA8016F"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114BECB9" w14:textId="77777777" w:rsidR="004740A8" w:rsidRDefault="004740A8">
      <w:pPr>
        <w:pBdr>
          <w:top w:val="nil"/>
          <w:left w:val="nil"/>
          <w:bottom w:val="nil"/>
          <w:right w:val="nil"/>
          <w:between w:val="nil"/>
        </w:pBdr>
        <w:contextualSpacing w:val="0"/>
        <w:rPr>
          <w:rFonts w:ascii="Times New Roman" w:eastAsia="Times New Roman" w:hAnsi="Times New Roman" w:cs="Times New Roman"/>
        </w:rPr>
      </w:pPr>
    </w:p>
    <w:p w14:paraId="28C5302D" w14:textId="77777777" w:rsidR="004740A8" w:rsidRDefault="004740A8">
      <w:pPr>
        <w:pBdr>
          <w:top w:val="nil"/>
          <w:left w:val="nil"/>
          <w:bottom w:val="nil"/>
          <w:right w:val="nil"/>
          <w:between w:val="nil"/>
        </w:pBdr>
        <w:contextualSpacing w:val="0"/>
        <w:rPr>
          <w:rFonts w:ascii="Times New Roman" w:eastAsia="Times New Roman" w:hAnsi="Times New Roman" w:cs="Times New Roman"/>
        </w:rPr>
      </w:pPr>
    </w:p>
    <w:p w14:paraId="2FD60651" w14:textId="77777777" w:rsidR="004740A8" w:rsidRDefault="004740A8">
      <w:pPr>
        <w:pBdr>
          <w:top w:val="nil"/>
          <w:left w:val="nil"/>
          <w:bottom w:val="nil"/>
          <w:right w:val="nil"/>
          <w:between w:val="nil"/>
        </w:pBdr>
        <w:contextualSpacing w:val="0"/>
        <w:rPr>
          <w:rFonts w:ascii="Times New Roman" w:eastAsia="Times New Roman" w:hAnsi="Times New Roman" w:cs="Times New Roman"/>
        </w:rPr>
      </w:pPr>
    </w:p>
    <w:p w14:paraId="40BD0E58"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tbl>
      <w:tblPr>
        <w:tblStyle w:val="a0"/>
        <w:tblW w:w="9266" w:type="dxa"/>
        <w:tblInd w:w="-100" w:type="dxa"/>
        <w:tblLayout w:type="fixed"/>
        <w:tblLook w:val="0600" w:firstRow="0" w:lastRow="0" w:firstColumn="0" w:lastColumn="0" w:noHBand="1" w:noVBand="1"/>
      </w:tblPr>
      <w:tblGrid>
        <w:gridCol w:w="4681"/>
        <w:gridCol w:w="561"/>
        <w:gridCol w:w="4024"/>
      </w:tblGrid>
      <w:tr w:rsidR="004740A8" w14:paraId="43A745A9" w14:textId="77777777">
        <w:tc>
          <w:tcPr>
            <w:tcW w:w="4680" w:type="dxa"/>
            <w:shd w:val="clear" w:color="auto" w:fill="auto"/>
            <w:tcMar>
              <w:top w:w="0" w:type="dxa"/>
              <w:left w:w="0" w:type="dxa"/>
              <w:bottom w:w="0" w:type="dxa"/>
              <w:right w:w="0" w:type="dxa"/>
            </w:tcMar>
          </w:tcPr>
          <w:p w14:paraId="2FDC134C"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tc>
        <w:tc>
          <w:tcPr>
            <w:tcW w:w="4585" w:type="dxa"/>
            <w:gridSpan w:val="2"/>
            <w:shd w:val="clear" w:color="auto" w:fill="auto"/>
            <w:tcMar>
              <w:top w:w="0" w:type="dxa"/>
              <w:left w:w="0" w:type="dxa"/>
              <w:bottom w:w="0" w:type="dxa"/>
              <w:right w:w="0" w:type="dxa"/>
            </w:tcMar>
          </w:tcPr>
          <w:p w14:paraId="28DD0F78" w14:textId="77777777" w:rsidR="004740A8" w:rsidRDefault="007C0112">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WILDHORSE RESOURCES MANAGEMENT COMPANY, LLC,</w:t>
            </w:r>
          </w:p>
        </w:tc>
      </w:tr>
      <w:tr w:rsidR="004740A8" w14:paraId="467DC645" w14:textId="77777777">
        <w:tc>
          <w:tcPr>
            <w:tcW w:w="4680" w:type="dxa"/>
            <w:shd w:val="clear" w:color="auto" w:fill="auto"/>
            <w:tcMar>
              <w:top w:w="0" w:type="dxa"/>
              <w:left w:w="0" w:type="dxa"/>
              <w:bottom w:w="0" w:type="dxa"/>
              <w:right w:w="0" w:type="dxa"/>
            </w:tcMar>
          </w:tcPr>
          <w:p w14:paraId="032840C9"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tc>
        <w:tc>
          <w:tcPr>
            <w:tcW w:w="4585" w:type="dxa"/>
            <w:gridSpan w:val="2"/>
            <w:shd w:val="clear" w:color="auto" w:fill="auto"/>
            <w:tcMar>
              <w:top w:w="0" w:type="dxa"/>
              <w:left w:w="0" w:type="dxa"/>
              <w:bottom w:w="0" w:type="dxa"/>
              <w:right w:w="0" w:type="dxa"/>
            </w:tcMar>
          </w:tcPr>
          <w:p w14:paraId="3A4A1113" w14:textId="77777777" w:rsidR="004740A8" w:rsidRDefault="007C0112">
            <w:pPr>
              <w:pBdr>
                <w:top w:val="nil"/>
                <w:left w:val="nil"/>
                <w:bottom w:val="nil"/>
                <w:right w:val="nil"/>
                <w:between w:val="nil"/>
              </w:pBdr>
              <w:ind w:left="417"/>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By: WildHorse Resources II, LLC, its sole member,</w:t>
            </w:r>
          </w:p>
        </w:tc>
      </w:tr>
      <w:tr w:rsidR="004740A8" w14:paraId="3C1F81CE" w14:textId="77777777">
        <w:tc>
          <w:tcPr>
            <w:tcW w:w="4680" w:type="dxa"/>
            <w:shd w:val="clear" w:color="auto" w:fill="auto"/>
            <w:tcMar>
              <w:top w:w="0" w:type="dxa"/>
              <w:left w:w="0" w:type="dxa"/>
              <w:bottom w:w="0" w:type="dxa"/>
              <w:right w:w="0" w:type="dxa"/>
            </w:tcMar>
          </w:tcPr>
          <w:p w14:paraId="622C10AB"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tc>
        <w:tc>
          <w:tcPr>
            <w:tcW w:w="4585" w:type="dxa"/>
            <w:gridSpan w:val="2"/>
            <w:shd w:val="clear" w:color="auto" w:fill="auto"/>
            <w:tcMar>
              <w:top w:w="0" w:type="dxa"/>
              <w:left w:w="0" w:type="dxa"/>
              <w:bottom w:w="0" w:type="dxa"/>
              <w:right w:w="0" w:type="dxa"/>
            </w:tcMar>
          </w:tcPr>
          <w:p w14:paraId="4F885486" w14:textId="77777777" w:rsidR="004740A8" w:rsidRDefault="007C0112">
            <w:pPr>
              <w:pBdr>
                <w:top w:val="nil"/>
                <w:left w:val="nil"/>
                <w:bottom w:val="nil"/>
                <w:right w:val="nil"/>
                <w:between w:val="nil"/>
              </w:pBdr>
              <w:ind w:left="503"/>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By: WildHorse Resource Development Corporation, its sole member</w:t>
            </w:r>
          </w:p>
        </w:tc>
      </w:tr>
      <w:tr w:rsidR="004740A8" w14:paraId="305FEF8E" w14:textId="77777777">
        <w:tc>
          <w:tcPr>
            <w:tcW w:w="4680" w:type="dxa"/>
            <w:shd w:val="clear" w:color="auto" w:fill="auto"/>
            <w:tcMar>
              <w:top w:w="0" w:type="dxa"/>
              <w:left w:w="0" w:type="dxa"/>
              <w:bottom w:w="0" w:type="dxa"/>
              <w:right w:w="0" w:type="dxa"/>
            </w:tcMar>
          </w:tcPr>
          <w:p w14:paraId="1FC38F9C"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tc>
        <w:tc>
          <w:tcPr>
            <w:tcW w:w="561" w:type="dxa"/>
            <w:shd w:val="clear" w:color="auto" w:fill="auto"/>
            <w:tcMar>
              <w:top w:w="0" w:type="dxa"/>
              <w:left w:w="0" w:type="dxa"/>
              <w:bottom w:w="0" w:type="dxa"/>
              <w:right w:w="0" w:type="dxa"/>
            </w:tcMar>
          </w:tcPr>
          <w:p w14:paraId="2C6909FF"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tc>
        <w:tc>
          <w:tcPr>
            <w:tcW w:w="4024" w:type="dxa"/>
            <w:shd w:val="clear" w:color="auto" w:fill="auto"/>
            <w:tcMar>
              <w:top w:w="0" w:type="dxa"/>
              <w:left w:w="0" w:type="dxa"/>
              <w:bottom w:w="0" w:type="dxa"/>
              <w:right w:w="0" w:type="dxa"/>
            </w:tcMar>
          </w:tcPr>
          <w:p w14:paraId="54B14990"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tc>
      </w:tr>
      <w:tr w:rsidR="004740A8" w14:paraId="1BB900B3" w14:textId="77777777">
        <w:tc>
          <w:tcPr>
            <w:tcW w:w="4680" w:type="dxa"/>
            <w:shd w:val="clear" w:color="auto" w:fill="auto"/>
            <w:tcMar>
              <w:top w:w="0" w:type="dxa"/>
              <w:left w:w="0" w:type="dxa"/>
              <w:bottom w:w="0" w:type="dxa"/>
              <w:right w:w="0" w:type="dxa"/>
            </w:tcMar>
          </w:tcPr>
          <w:p w14:paraId="6B75F70C"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tc>
        <w:tc>
          <w:tcPr>
            <w:tcW w:w="561" w:type="dxa"/>
            <w:shd w:val="clear" w:color="auto" w:fill="auto"/>
            <w:tcMar>
              <w:top w:w="0" w:type="dxa"/>
              <w:left w:w="0" w:type="dxa"/>
              <w:bottom w:w="0" w:type="dxa"/>
              <w:right w:w="0" w:type="dxa"/>
            </w:tcMar>
          </w:tcPr>
          <w:p w14:paraId="279366BF" w14:textId="77777777" w:rsidR="004740A8" w:rsidRDefault="007C0112">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By:</w:t>
            </w:r>
          </w:p>
        </w:tc>
        <w:tc>
          <w:tcPr>
            <w:tcW w:w="4024" w:type="dxa"/>
            <w:tcBorders>
              <w:top w:val="nil"/>
              <w:left w:val="nil"/>
              <w:bottom w:val="single" w:sz="8" w:space="0" w:color="000000"/>
              <w:right w:val="nil"/>
            </w:tcBorders>
            <w:shd w:val="clear" w:color="auto" w:fill="auto"/>
            <w:tcMar>
              <w:top w:w="0" w:type="dxa"/>
              <w:left w:w="0" w:type="dxa"/>
              <w:bottom w:w="0" w:type="dxa"/>
              <w:right w:w="0" w:type="dxa"/>
            </w:tcMar>
          </w:tcPr>
          <w:p w14:paraId="5CD969B4" w14:textId="77777777" w:rsidR="004740A8" w:rsidRDefault="007C0112">
            <w:pPr>
              <w:pBdr>
                <w:top w:val="nil"/>
                <w:left w:val="nil"/>
                <w:bottom w:val="nil"/>
                <w:right w:val="nil"/>
                <w:between w:val="nil"/>
              </w:pBdr>
              <w:ind w:left="60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/s/ Jay C. Graham</w:t>
            </w:r>
          </w:p>
        </w:tc>
      </w:tr>
      <w:tr w:rsidR="004740A8" w14:paraId="4815C490" w14:textId="77777777">
        <w:tc>
          <w:tcPr>
            <w:tcW w:w="4680" w:type="dxa"/>
            <w:shd w:val="clear" w:color="auto" w:fill="auto"/>
            <w:tcMar>
              <w:top w:w="0" w:type="dxa"/>
              <w:left w:w="0" w:type="dxa"/>
              <w:bottom w:w="0" w:type="dxa"/>
              <w:right w:w="0" w:type="dxa"/>
            </w:tcMar>
          </w:tcPr>
          <w:p w14:paraId="235C927E"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tc>
        <w:tc>
          <w:tcPr>
            <w:tcW w:w="561" w:type="dxa"/>
            <w:shd w:val="clear" w:color="auto" w:fill="auto"/>
            <w:tcMar>
              <w:top w:w="0" w:type="dxa"/>
              <w:left w:w="0" w:type="dxa"/>
              <w:bottom w:w="0" w:type="dxa"/>
              <w:right w:w="0" w:type="dxa"/>
            </w:tcMar>
          </w:tcPr>
          <w:p w14:paraId="316CBFD8" w14:textId="77777777" w:rsidR="004740A8" w:rsidRDefault="007C0112">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Name:</w:t>
            </w:r>
          </w:p>
        </w:tc>
        <w:tc>
          <w:tcPr>
            <w:tcW w:w="4024" w:type="dxa"/>
            <w:tcBorders>
              <w:top w:val="nil"/>
              <w:left w:val="nil"/>
              <w:bottom w:val="single" w:sz="8" w:space="0" w:color="000000"/>
              <w:right w:val="nil"/>
            </w:tcBorders>
            <w:shd w:val="clear" w:color="auto" w:fill="auto"/>
            <w:tcMar>
              <w:top w:w="0" w:type="dxa"/>
              <w:left w:w="0" w:type="dxa"/>
              <w:bottom w:w="0" w:type="dxa"/>
              <w:right w:w="0" w:type="dxa"/>
            </w:tcMar>
          </w:tcPr>
          <w:p w14:paraId="340893AB" w14:textId="77777777" w:rsidR="004740A8" w:rsidRDefault="007C0112">
            <w:pPr>
              <w:pBdr>
                <w:top w:val="nil"/>
                <w:left w:val="nil"/>
                <w:bottom w:val="nil"/>
                <w:right w:val="nil"/>
                <w:between w:val="nil"/>
              </w:pBdr>
              <w:ind w:left="60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Jay C. Graham</w:t>
            </w:r>
          </w:p>
        </w:tc>
      </w:tr>
      <w:tr w:rsidR="004740A8" w14:paraId="215518C3" w14:textId="77777777">
        <w:tc>
          <w:tcPr>
            <w:tcW w:w="4680" w:type="dxa"/>
            <w:shd w:val="clear" w:color="auto" w:fill="auto"/>
            <w:tcMar>
              <w:top w:w="0" w:type="dxa"/>
              <w:left w:w="0" w:type="dxa"/>
              <w:bottom w:w="0" w:type="dxa"/>
              <w:right w:w="0" w:type="dxa"/>
            </w:tcMar>
          </w:tcPr>
          <w:p w14:paraId="0622A00F"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tc>
        <w:tc>
          <w:tcPr>
            <w:tcW w:w="561" w:type="dxa"/>
            <w:shd w:val="clear" w:color="auto" w:fill="auto"/>
            <w:tcMar>
              <w:top w:w="0" w:type="dxa"/>
              <w:left w:w="0" w:type="dxa"/>
              <w:bottom w:w="0" w:type="dxa"/>
              <w:right w:w="0" w:type="dxa"/>
            </w:tcMar>
          </w:tcPr>
          <w:p w14:paraId="79630775" w14:textId="77777777" w:rsidR="004740A8" w:rsidRDefault="007C0112">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Title:</w:t>
            </w:r>
          </w:p>
        </w:tc>
        <w:tc>
          <w:tcPr>
            <w:tcW w:w="4024" w:type="dxa"/>
            <w:tcBorders>
              <w:top w:val="nil"/>
              <w:left w:val="nil"/>
              <w:bottom w:val="single" w:sz="8" w:space="0" w:color="000000"/>
              <w:right w:val="nil"/>
            </w:tcBorders>
            <w:shd w:val="clear" w:color="auto" w:fill="auto"/>
            <w:tcMar>
              <w:top w:w="0" w:type="dxa"/>
              <w:left w:w="0" w:type="dxa"/>
              <w:bottom w:w="0" w:type="dxa"/>
              <w:right w:w="0" w:type="dxa"/>
            </w:tcMar>
          </w:tcPr>
          <w:p w14:paraId="6722138E" w14:textId="77777777" w:rsidR="004740A8" w:rsidRDefault="007C0112">
            <w:pPr>
              <w:pBdr>
                <w:top w:val="nil"/>
                <w:left w:val="nil"/>
                <w:bottom w:val="nil"/>
                <w:right w:val="nil"/>
                <w:between w:val="nil"/>
              </w:pBdr>
              <w:ind w:left="60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Chief Executive Officer</w:t>
            </w:r>
          </w:p>
        </w:tc>
      </w:tr>
      <w:tr w:rsidR="004740A8" w14:paraId="483ED9EF" w14:textId="77777777">
        <w:tc>
          <w:tcPr>
            <w:tcW w:w="4680" w:type="dxa"/>
            <w:shd w:val="clear" w:color="auto" w:fill="auto"/>
            <w:tcMar>
              <w:top w:w="0" w:type="dxa"/>
              <w:left w:w="0" w:type="dxa"/>
              <w:bottom w:w="0" w:type="dxa"/>
              <w:right w:w="0" w:type="dxa"/>
            </w:tcMar>
          </w:tcPr>
          <w:p w14:paraId="58A3B313"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tc>
        <w:tc>
          <w:tcPr>
            <w:tcW w:w="4585" w:type="dxa"/>
            <w:gridSpan w:val="2"/>
            <w:shd w:val="clear" w:color="auto" w:fill="auto"/>
            <w:tcMar>
              <w:top w:w="0" w:type="dxa"/>
              <w:left w:w="0" w:type="dxa"/>
              <w:bottom w:w="0" w:type="dxa"/>
              <w:right w:w="0" w:type="dxa"/>
            </w:tcMar>
          </w:tcPr>
          <w:p w14:paraId="1B19CF9F"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tc>
      </w:tr>
      <w:tr w:rsidR="004740A8" w14:paraId="10460C91" w14:textId="77777777">
        <w:tc>
          <w:tcPr>
            <w:tcW w:w="4680" w:type="dxa"/>
            <w:shd w:val="clear" w:color="auto" w:fill="auto"/>
            <w:tcMar>
              <w:top w:w="0" w:type="dxa"/>
              <w:left w:w="0" w:type="dxa"/>
              <w:bottom w:w="0" w:type="dxa"/>
              <w:right w:w="0" w:type="dxa"/>
            </w:tcMar>
          </w:tcPr>
          <w:p w14:paraId="2E3B7121"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tc>
        <w:tc>
          <w:tcPr>
            <w:tcW w:w="4585" w:type="dxa"/>
            <w:gridSpan w:val="2"/>
            <w:shd w:val="clear" w:color="auto" w:fill="auto"/>
            <w:tcMar>
              <w:top w:w="0" w:type="dxa"/>
              <w:left w:w="0" w:type="dxa"/>
              <w:bottom w:w="0" w:type="dxa"/>
              <w:right w:w="0" w:type="dxa"/>
            </w:tcMar>
          </w:tcPr>
          <w:p w14:paraId="396FC785" w14:textId="77777777" w:rsidR="004740A8" w:rsidRDefault="007C0112">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PETROMAX E&amp;P BURLESON, LLC,</w:t>
            </w:r>
          </w:p>
        </w:tc>
      </w:tr>
      <w:tr w:rsidR="004740A8" w14:paraId="6E3F4989" w14:textId="77777777">
        <w:tc>
          <w:tcPr>
            <w:tcW w:w="4680" w:type="dxa"/>
            <w:shd w:val="clear" w:color="auto" w:fill="auto"/>
            <w:tcMar>
              <w:top w:w="0" w:type="dxa"/>
              <w:left w:w="0" w:type="dxa"/>
              <w:bottom w:w="0" w:type="dxa"/>
              <w:right w:w="0" w:type="dxa"/>
            </w:tcMar>
          </w:tcPr>
          <w:p w14:paraId="6A5CC295"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tc>
        <w:tc>
          <w:tcPr>
            <w:tcW w:w="4585" w:type="dxa"/>
            <w:gridSpan w:val="2"/>
            <w:shd w:val="clear" w:color="auto" w:fill="auto"/>
            <w:tcMar>
              <w:top w:w="0" w:type="dxa"/>
              <w:left w:w="0" w:type="dxa"/>
              <w:bottom w:w="0" w:type="dxa"/>
              <w:right w:w="0" w:type="dxa"/>
            </w:tcMar>
          </w:tcPr>
          <w:p w14:paraId="03A1B8E8" w14:textId="77777777" w:rsidR="004740A8" w:rsidRDefault="007C0112">
            <w:pPr>
              <w:pBdr>
                <w:top w:val="nil"/>
                <w:left w:val="nil"/>
                <w:bottom w:val="nil"/>
                <w:right w:val="nil"/>
                <w:between w:val="nil"/>
              </w:pBdr>
              <w:ind w:left="417"/>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By: Esquisto Resources II, LLC, its sole member,</w:t>
            </w:r>
          </w:p>
        </w:tc>
      </w:tr>
      <w:tr w:rsidR="004740A8" w14:paraId="36E4396E" w14:textId="77777777">
        <w:tc>
          <w:tcPr>
            <w:tcW w:w="4680" w:type="dxa"/>
            <w:shd w:val="clear" w:color="auto" w:fill="auto"/>
            <w:tcMar>
              <w:top w:w="0" w:type="dxa"/>
              <w:left w:w="0" w:type="dxa"/>
              <w:bottom w:w="0" w:type="dxa"/>
              <w:right w:w="0" w:type="dxa"/>
            </w:tcMar>
          </w:tcPr>
          <w:p w14:paraId="0CF501E3"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tc>
        <w:tc>
          <w:tcPr>
            <w:tcW w:w="4585" w:type="dxa"/>
            <w:gridSpan w:val="2"/>
            <w:shd w:val="clear" w:color="auto" w:fill="auto"/>
            <w:tcMar>
              <w:top w:w="0" w:type="dxa"/>
              <w:left w:w="0" w:type="dxa"/>
              <w:bottom w:w="0" w:type="dxa"/>
              <w:right w:w="0" w:type="dxa"/>
            </w:tcMar>
          </w:tcPr>
          <w:p w14:paraId="2E561158" w14:textId="77777777" w:rsidR="004740A8" w:rsidRDefault="007C0112">
            <w:pPr>
              <w:pBdr>
                <w:top w:val="nil"/>
                <w:left w:val="nil"/>
                <w:bottom w:val="nil"/>
                <w:right w:val="nil"/>
                <w:between w:val="nil"/>
              </w:pBdr>
              <w:ind w:left="503"/>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By: WildHorse Resource Development Corporation, its sole member</w:t>
            </w:r>
          </w:p>
        </w:tc>
      </w:tr>
      <w:tr w:rsidR="004740A8" w14:paraId="540FC8AF" w14:textId="77777777">
        <w:tc>
          <w:tcPr>
            <w:tcW w:w="4680" w:type="dxa"/>
            <w:shd w:val="clear" w:color="auto" w:fill="auto"/>
            <w:tcMar>
              <w:top w:w="0" w:type="dxa"/>
              <w:left w:w="0" w:type="dxa"/>
              <w:bottom w:w="0" w:type="dxa"/>
              <w:right w:w="0" w:type="dxa"/>
            </w:tcMar>
          </w:tcPr>
          <w:p w14:paraId="6C7C1058"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tc>
        <w:tc>
          <w:tcPr>
            <w:tcW w:w="561" w:type="dxa"/>
            <w:shd w:val="clear" w:color="auto" w:fill="auto"/>
            <w:tcMar>
              <w:top w:w="0" w:type="dxa"/>
              <w:left w:w="0" w:type="dxa"/>
              <w:bottom w:w="0" w:type="dxa"/>
              <w:right w:w="0" w:type="dxa"/>
            </w:tcMar>
          </w:tcPr>
          <w:p w14:paraId="6E8BE292"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tc>
        <w:tc>
          <w:tcPr>
            <w:tcW w:w="4024" w:type="dxa"/>
            <w:shd w:val="clear" w:color="auto" w:fill="auto"/>
            <w:tcMar>
              <w:top w:w="0" w:type="dxa"/>
              <w:left w:w="0" w:type="dxa"/>
              <w:bottom w:w="0" w:type="dxa"/>
              <w:right w:w="0" w:type="dxa"/>
            </w:tcMar>
          </w:tcPr>
          <w:p w14:paraId="077FFCBE"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tc>
      </w:tr>
      <w:tr w:rsidR="004740A8" w14:paraId="7C1E06C5" w14:textId="77777777">
        <w:tc>
          <w:tcPr>
            <w:tcW w:w="4680" w:type="dxa"/>
            <w:shd w:val="clear" w:color="auto" w:fill="auto"/>
            <w:tcMar>
              <w:top w:w="0" w:type="dxa"/>
              <w:left w:w="0" w:type="dxa"/>
              <w:bottom w:w="0" w:type="dxa"/>
              <w:right w:w="0" w:type="dxa"/>
            </w:tcMar>
          </w:tcPr>
          <w:p w14:paraId="7C92BC3C"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tc>
        <w:tc>
          <w:tcPr>
            <w:tcW w:w="561" w:type="dxa"/>
            <w:shd w:val="clear" w:color="auto" w:fill="auto"/>
            <w:tcMar>
              <w:top w:w="0" w:type="dxa"/>
              <w:left w:w="0" w:type="dxa"/>
              <w:bottom w:w="0" w:type="dxa"/>
              <w:right w:w="0" w:type="dxa"/>
            </w:tcMar>
          </w:tcPr>
          <w:p w14:paraId="244C41C2" w14:textId="77777777" w:rsidR="004740A8" w:rsidRDefault="007C0112">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By:</w:t>
            </w:r>
          </w:p>
        </w:tc>
        <w:tc>
          <w:tcPr>
            <w:tcW w:w="4024" w:type="dxa"/>
            <w:tcBorders>
              <w:top w:val="nil"/>
              <w:left w:val="nil"/>
              <w:bottom w:val="single" w:sz="8" w:space="0" w:color="000000"/>
              <w:right w:val="nil"/>
            </w:tcBorders>
            <w:shd w:val="clear" w:color="auto" w:fill="auto"/>
            <w:tcMar>
              <w:top w:w="0" w:type="dxa"/>
              <w:left w:w="0" w:type="dxa"/>
              <w:bottom w:w="0" w:type="dxa"/>
              <w:right w:w="0" w:type="dxa"/>
            </w:tcMar>
          </w:tcPr>
          <w:p w14:paraId="1C8381FA" w14:textId="77777777" w:rsidR="004740A8" w:rsidRDefault="007C0112">
            <w:pPr>
              <w:pBdr>
                <w:top w:val="nil"/>
                <w:left w:val="nil"/>
                <w:bottom w:val="nil"/>
                <w:right w:val="nil"/>
                <w:between w:val="nil"/>
              </w:pBdr>
              <w:ind w:left="60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/s/ Jay C. Graham</w:t>
            </w:r>
          </w:p>
        </w:tc>
      </w:tr>
      <w:tr w:rsidR="004740A8" w14:paraId="79285E0D" w14:textId="77777777">
        <w:tc>
          <w:tcPr>
            <w:tcW w:w="4680" w:type="dxa"/>
            <w:shd w:val="clear" w:color="auto" w:fill="auto"/>
            <w:tcMar>
              <w:top w:w="0" w:type="dxa"/>
              <w:left w:w="0" w:type="dxa"/>
              <w:bottom w:w="0" w:type="dxa"/>
              <w:right w:w="0" w:type="dxa"/>
            </w:tcMar>
          </w:tcPr>
          <w:p w14:paraId="26F6A130"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tc>
        <w:tc>
          <w:tcPr>
            <w:tcW w:w="561" w:type="dxa"/>
            <w:shd w:val="clear" w:color="auto" w:fill="auto"/>
            <w:tcMar>
              <w:top w:w="0" w:type="dxa"/>
              <w:left w:w="0" w:type="dxa"/>
              <w:bottom w:w="0" w:type="dxa"/>
              <w:right w:w="0" w:type="dxa"/>
            </w:tcMar>
          </w:tcPr>
          <w:p w14:paraId="5E927E62" w14:textId="77777777" w:rsidR="004740A8" w:rsidRDefault="007C0112">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Name:</w:t>
            </w:r>
          </w:p>
        </w:tc>
        <w:tc>
          <w:tcPr>
            <w:tcW w:w="4024" w:type="dxa"/>
            <w:tcBorders>
              <w:top w:val="nil"/>
              <w:left w:val="nil"/>
              <w:bottom w:val="single" w:sz="8" w:space="0" w:color="000000"/>
              <w:right w:val="nil"/>
            </w:tcBorders>
            <w:shd w:val="clear" w:color="auto" w:fill="auto"/>
            <w:tcMar>
              <w:top w:w="0" w:type="dxa"/>
              <w:left w:w="0" w:type="dxa"/>
              <w:bottom w:w="0" w:type="dxa"/>
              <w:right w:w="0" w:type="dxa"/>
            </w:tcMar>
          </w:tcPr>
          <w:p w14:paraId="35076E89" w14:textId="77777777" w:rsidR="004740A8" w:rsidRDefault="007C0112">
            <w:pPr>
              <w:pBdr>
                <w:top w:val="nil"/>
                <w:left w:val="nil"/>
                <w:bottom w:val="nil"/>
                <w:right w:val="nil"/>
                <w:between w:val="nil"/>
              </w:pBdr>
              <w:ind w:left="60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Jay C. Graham</w:t>
            </w:r>
          </w:p>
        </w:tc>
      </w:tr>
      <w:tr w:rsidR="004740A8" w14:paraId="610BF2CA" w14:textId="77777777">
        <w:tc>
          <w:tcPr>
            <w:tcW w:w="4680" w:type="dxa"/>
            <w:shd w:val="clear" w:color="auto" w:fill="auto"/>
            <w:tcMar>
              <w:top w:w="0" w:type="dxa"/>
              <w:left w:w="0" w:type="dxa"/>
              <w:bottom w:w="0" w:type="dxa"/>
              <w:right w:w="0" w:type="dxa"/>
            </w:tcMar>
          </w:tcPr>
          <w:p w14:paraId="1CAD0239"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tc>
        <w:tc>
          <w:tcPr>
            <w:tcW w:w="561" w:type="dxa"/>
            <w:shd w:val="clear" w:color="auto" w:fill="auto"/>
            <w:tcMar>
              <w:top w:w="0" w:type="dxa"/>
              <w:left w:w="0" w:type="dxa"/>
              <w:bottom w:w="0" w:type="dxa"/>
              <w:right w:w="0" w:type="dxa"/>
            </w:tcMar>
          </w:tcPr>
          <w:p w14:paraId="343B14F5" w14:textId="77777777" w:rsidR="004740A8" w:rsidRDefault="007C0112">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Title:</w:t>
            </w:r>
          </w:p>
        </w:tc>
        <w:tc>
          <w:tcPr>
            <w:tcW w:w="4024" w:type="dxa"/>
            <w:tcBorders>
              <w:top w:val="nil"/>
              <w:left w:val="nil"/>
              <w:bottom w:val="single" w:sz="8" w:space="0" w:color="000000"/>
              <w:right w:val="nil"/>
            </w:tcBorders>
            <w:shd w:val="clear" w:color="auto" w:fill="auto"/>
            <w:tcMar>
              <w:top w:w="0" w:type="dxa"/>
              <w:left w:w="0" w:type="dxa"/>
              <w:bottom w:w="0" w:type="dxa"/>
              <w:right w:w="0" w:type="dxa"/>
            </w:tcMar>
          </w:tcPr>
          <w:p w14:paraId="599FC315" w14:textId="77777777" w:rsidR="004740A8" w:rsidRDefault="007C0112">
            <w:pPr>
              <w:pBdr>
                <w:top w:val="nil"/>
                <w:left w:val="nil"/>
                <w:bottom w:val="nil"/>
                <w:right w:val="nil"/>
                <w:between w:val="nil"/>
              </w:pBdr>
              <w:ind w:left="60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Chief Executive Officer</w:t>
            </w:r>
          </w:p>
        </w:tc>
      </w:tr>
      <w:tr w:rsidR="004740A8" w14:paraId="3E8C9897" w14:textId="77777777">
        <w:tc>
          <w:tcPr>
            <w:tcW w:w="4680" w:type="dxa"/>
            <w:shd w:val="clear" w:color="auto" w:fill="auto"/>
            <w:tcMar>
              <w:top w:w="0" w:type="dxa"/>
              <w:left w:w="0" w:type="dxa"/>
              <w:bottom w:w="0" w:type="dxa"/>
              <w:right w:w="0" w:type="dxa"/>
            </w:tcMar>
          </w:tcPr>
          <w:p w14:paraId="226E1A62"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tc>
        <w:tc>
          <w:tcPr>
            <w:tcW w:w="4585" w:type="dxa"/>
            <w:gridSpan w:val="2"/>
            <w:shd w:val="clear" w:color="auto" w:fill="auto"/>
            <w:tcMar>
              <w:top w:w="0" w:type="dxa"/>
              <w:left w:w="0" w:type="dxa"/>
              <w:bottom w:w="0" w:type="dxa"/>
              <w:right w:w="0" w:type="dxa"/>
            </w:tcMar>
          </w:tcPr>
          <w:p w14:paraId="74F6E3C3"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tc>
      </w:tr>
      <w:tr w:rsidR="004740A8" w14:paraId="69C50821" w14:textId="77777777">
        <w:tc>
          <w:tcPr>
            <w:tcW w:w="4680" w:type="dxa"/>
            <w:shd w:val="clear" w:color="auto" w:fill="auto"/>
            <w:tcMar>
              <w:top w:w="0" w:type="dxa"/>
              <w:left w:w="0" w:type="dxa"/>
              <w:bottom w:w="0" w:type="dxa"/>
              <w:right w:w="0" w:type="dxa"/>
            </w:tcMar>
          </w:tcPr>
          <w:p w14:paraId="32C6B04C"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tc>
        <w:tc>
          <w:tcPr>
            <w:tcW w:w="4585" w:type="dxa"/>
            <w:gridSpan w:val="2"/>
            <w:shd w:val="clear" w:color="auto" w:fill="auto"/>
            <w:tcMar>
              <w:top w:w="0" w:type="dxa"/>
              <w:left w:w="0" w:type="dxa"/>
              <w:bottom w:w="0" w:type="dxa"/>
              <w:right w:w="0" w:type="dxa"/>
            </w:tcMar>
          </w:tcPr>
          <w:p w14:paraId="0B662C7A" w14:textId="77777777" w:rsidR="004740A8" w:rsidRDefault="007C0112">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BURLESON WATER RESOURCES, LLC,</w:t>
            </w:r>
          </w:p>
        </w:tc>
      </w:tr>
      <w:tr w:rsidR="004740A8" w14:paraId="64BDBEC9" w14:textId="77777777">
        <w:tc>
          <w:tcPr>
            <w:tcW w:w="4680" w:type="dxa"/>
            <w:shd w:val="clear" w:color="auto" w:fill="auto"/>
            <w:tcMar>
              <w:top w:w="0" w:type="dxa"/>
              <w:left w:w="0" w:type="dxa"/>
              <w:bottom w:w="0" w:type="dxa"/>
              <w:right w:w="0" w:type="dxa"/>
            </w:tcMar>
          </w:tcPr>
          <w:p w14:paraId="46D5C297"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tc>
        <w:tc>
          <w:tcPr>
            <w:tcW w:w="4585" w:type="dxa"/>
            <w:gridSpan w:val="2"/>
            <w:shd w:val="clear" w:color="auto" w:fill="auto"/>
            <w:tcMar>
              <w:top w:w="0" w:type="dxa"/>
              <w:left w:w="0" w:type="dxa"/>
              <w:bottom w:w="0" w:type="dxa"/>
              <w:right w:w="0" w:type="dxa"/>
            </w:tcMar>
          </w:tcPr>
          <w:p w14:paraId="1196E437" w14:textId="77777777" w:rsidR="004740A8" w:rsidRDefault="007C0112">
            <w:pPr>
              <w:pBdr>
                <w:top w:val="nil"/>
                <w:left w:val="nil"/>
                <w:bottom w:val="nil"/>
                <w:right w:val="nil"/>
                <w:between w:val="nil"/>
              </w:pBdr>
              <w:ind w:left="417"/>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By: Esquisto Resources II, LLC, its sole member,</w:t>
            </w:r>
          </w:p>
        </w:tc>
      </w:tr>
      <w:tr w:rsidR="004740A8" w14:paraId="260C9CD7" w14:textId="77777777">
        <w:tc>
          <w:tcPr>
            <w:tcW w:w="4680" w:type="dxa"/>
            <w:shd w:val="clear" w:color="auto" w:fill="auto"/>
            <w:tcMar>
              <w:top w:w="0" w:type="dxa"/>
              <w:left w:w="0" w:type="dxa"/>
              <w:bottom w:w="0" w:type="dxa"/>
              <w:right w:w="0" w:type="dxa"/>
            </w:tcMar>
          </w:tcPr>
          <w:p w14:paraId="5E4D16AF"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tc>
        <w:tc>
          <w:tcPr>
            <w:tcW w:w="4585" w:type="dxa"/>
            <w:gridSpan w:val="2"/>
            <w:shd w:val="clear" w:color="auto" w:fill="auto"/>
            <w:tcMar>
              <w:top w:w="0" w:type="dxa"/>
              <w:left w:w="0" w:type="dxa"/>
              <w:bottom w:w="0" w:type="dxa"/>
              <w:right w:w="0" w:type="dxa"/>
            </w:tcMar>
          </w:tcPr>
          <w:p w14:paraId="4E6C2678" w14:textId="77777777" w:rsidR="004740A8" w:rsidRDefault="007C0112">
            <w:pPr>
              <w:pBdr>
                <w:top w:val="nil"/>
                <w:left w:val="nil"/>
                <w:bottom w:val="nil"/>
                <w:right w:val="nil"/>
                <w:between w:val="nil"/>
              </w:pBdr>
              <w:ind w:left="503"/>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By: WildHorse Resource Development Corporation, its sole member</w:t>
            </w:r>
          </w:p>
        </w:tc>
      </w:tr>
      <w:tr w:rsidR="004740A8" w14:paraId="0C7D5CDA" w14:textId="77777777">
        <w:tc>
          <w:tcPr>
            <w:tcW w:w="4680" w:type="dxa"/>
            <w:shd w:val="clear" w:color="auto" w:fill="auto"/>
            <w:tcMar>
              <w:top w:w="0" w:type="dxa"/>
              <w:left w:w="0" w:type="dxa"/>
              <w:bottom w:w="0" w:type="dxa"/>
              <w:right w:w="0" w:type="dxa"/>
            </w:tcMar>
          </w:tcPr>
          <w:p w14:paraId="4CE9B660"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tc>
        <w:tc>
          <w:tcPr>
            <w:tcW w:w="561" w:type="dxa"/>
            <w:shd w:val="clear" w:color="auto" w:fill="auto"/>
            <w:tcMar>
              <w:top w:w="0" w:type="dxa"/>
              <w:left w:w="0" w:type="dxa"/>
              <w:bottom w:w="0" w:type="dxa"/>
              <w:right w:w="0" w:type="dxa"/>
            </w:tcMar>
          </w:tcPr>
          <w:p w14:paraId="3D066BA6" w14:textId="77777777" w:rsidR="004740A8" w:rsidRDefault="007C0112">
            <w:pPr>
              <w:pBdr>
                <w:top w:val="nil"/>
                <w:left w:val="nil"/>
                <w:bottom w:val="nil"/>
                <w:right w:val="nil"/>
                <w:between w:val="nil"/>
              </w:pBdr>
              <w:ind w:left="503"/>
              <w:contextualSpacing w:val="0"/>
              <w:rPr>
                <w:rFonts w:ascii="Times New Roman" w:eastAsia="Times New Roman" w:hAnsi="Times New Roman" w:cs="Times New Roman"/>
              </w:rPr>
            </w:pPr>
            <w:r>
              <w:rPr>
                <w:rFonts w:ascii="Times New Roman" w:eastAsia="Times New Roman" w:hAnsi="Times New Roman" w:cs="Times New Roman"/>
              </w:rPr>
              <w:t> </w:t>
            </w:r>
          </w:p>
        </w:tc>
        <w:tc>
          <w:tcPr>
            <w:tcW w:w="4024" w:type="dxa"/>
            <w:shd w:val="clear" w:color="auto" w:fill="auto"/>
            <w:tcMar>
              <w:top w:w="0" w:type="dxa"/>
              <w:left w:w="0" w:type="dxa"/>
              <w:bottom w:w="0" w:type="dxa"/>
              <w:right w:w="0" w:type="dxa"/>
            </w:tcMar>
          </w:tcPr>
          <w:p w14:paraId="3A5C92ED" w14:textId="77777777" w:rsidR="004740A8" w:rsidRDefault="007C0112">
            <w:pPr>
              <w:pBdr>
                <w:top w:val="nil"/>
                <w:left w:val="nil"/>
                <w:bottom w:val="nil"/>
                <w:right w:val="nil"/>
                <w:between w:val="nil"/>
              </w:pBdr>
              <w:ind w:left="503"/>
              <w:contextualSpacing w:val="0"/>
              <w:rPr>
                <w:rFonts w:ascii="Times New Roman" w:eastAsia="Times New Roman" w:hAnsi="Times New Roman" w:cs="Times New Roman"/>
              </w:rPr>
            </w:pPr>
            <w:r>
              <w:rPr>
                <w:rFonts w:ascii="Times New Roman" w:eastAsia="Times New Roman" w:hAnsi="Times New Roman" w:cs="Times New Roman"/>
              </w:rPr>
              <w:t> </w:t>
            </w:r>
          </w:p>
        </w:tc>
      </w:tr>
      <w:tr w:rsidR="004740A8" w14:paraId="688B3706" w14:textId="77777777">
        <w:tc>
          <w:tcPr>
            <w:tcW w:w="4680" w:type="dxa"/>
            <w:shd w:val="clear" w:color="auto" w:fill="auto"/>
            <w:tcMar>
              <w:top w:w="0" w:type="dxa"/>
              <w:left w:w="0" w:type="dxa"/>
              <w:bottom w:w="0" w:type="dxa"/>
              <w:right w:w="0" w:type="dxa"/>
            </w:tcMar>
          </w:tcPr>
          <w:p w14:paraId="405FC700"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tc>
        <w:tc>
          <w:tcPr>
            <w:tcW w:w="561" w:type="dxa"/>
            <w:shd w:val="clear" w:color="auto" w:fill="auto"/>
            <w:tcMar>
              <w:top w:w="0" w:type="dxa"/>
              <w:left w:w="0" w:type="dxa"/>
              <w:bottom w:w="0" w:type="dxa"/>
              <w:right w:w="0" w:type="dxa"/>
            </w:tcMar>
          </w:tcPr>
          <w:p w14:paraId="3562207F" w14:textId="77777777" w:rsidR="004740A8" w:rsidRDefault="007C0112">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By:</w:t>
            </w:r>
          </w:p>
        </w:tc>
        <w:tc>
          <w:tcPr>
            <w:tcW w:w="4024" w:type="dxa"/>
            <w:tcBorders>
              <w:top w:val="nil"/>
              <w:left w:val="nil"/>
              <w:bottom w:val="single" w:sz="8" w:space="0" w:color="000000"/>
              <w:right w:val="nil"/>
            </w:tcBorders>
            <w:shd w:val="clear" w:color="auto" w:fill="auto"/>
            <w:tcMar>
              <w:top w:w="0" w:type="dxa"/>
              <w:left w:w="0" w:type="dxa"/>
              <w:bottom w:w="0" w:type="dxa"/>
              <w:right w:w="0" w:type="dxa"/>
            </w:tcMar>
          </w:tcPr>
          <w:p w14:paraId="10856548" w14:textId="77777777" w:rsidR="004740A8" w:rsidRDefault="007C0112">
            <w:pPr>
              <w:pBdr>
                <w:top w:val="nil"/>
                <w:left w:val="nil"/>
                <w:bottom w:val="nil"/>
                <w:right w:val="nil"/>
                <w:between w:val="nil"/>
              </w:pBdr>
              <w:ind w:left="60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/s/ Jay C. Graham</w:t>
            </w:r>
          </w:p>
        </w:tc>
      </w:tr>
      <w:tr w:rsidR="004740A8" w14:paraId="3556C849" w14:textId="77777777">
        <w:tc>
          <w:tcPr>
            <w:tcW w:w="4680" w:type="dxa"/>
            <w:shd w:val="clear" w:color="auto" w:fill="auto"/>
            <w:tcMar>
              <w:top w:w="0" w:type="dxa"/>
              <w:left w:w="0" w:type="dxa"/>
              <w:bottom w:w="0" w:type="dxa"/>
              <w:right w:w="0" w:type="dxa"/>
            </w:tcMar>
          </w:tcPr>
          <w:p w14:paraId="3FCAC00A"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tc>
        <w:tc>
          <w:tcPr>
            <w:tcW w:w="561" w:type="dxa"/>
            <w:shd w:val="clear" w:color="auto" w:fill="auto"/>
            <w:tcMar>
              <w:top w:w="0" w:type="dxa"/>
              <w:left w:w="0" w:type="dxa"/>
              <w:bottom w:w="0" w:type="dxa"/>
              <w:right w:w="0" w:type="dxa"/>
            </w:tcMar>
          </w:tcPr>
          <w:p w14:paraId="603617D2" w14:textId="77777777" w:rsidR="004740A8" w:rsidRDefault="007C0112">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Name:</w:t>
            </w:r>
          </w:p>
        </w:tc>
        <w:tc>
          <w:tcPr>
            <w:tcW w:w="4024" w:type="dxa"/>
            <w:tcBorders>
              <w:top w:val="nil"/>
              <w:left w:val="nil"/>
              <w:bottom w:val="single" w:sz="8" w:space="0" w:color="000000"/>
              <w:right w:val="nil"/>
            </w:tcBorders>
            <w:shd w:val="clear" w:color="auto" w:fill="auto"/>
            <w:tcMar>
              <w:top w:w="0" w:type="dxa"/>
              <w:left w:w="0" w:type="dxa"/>
              <w:bottom w:w="0" w:type="dxa"/>
              <w:right w:w="0" w:type="dxa"/>
            </w:tcMar>
          </w:tcPr>
          <w:p w14:paraId="163CCB7A" w14:textId="77777777" w:rsidR="004740A8" w:rsidRDefault="007C0112">
            <w:pPr>
              <w:pBdr>
                <w:top w:val="nil"/>
                <w:left w:val="nil"/>
                <w:bottom w:val="nil"/>
                <w:right w:val="nil"/>
                <w:between w:val="nil"/>
              </w:pBdr>
              <w:ind w:left="60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Jay C. Graham</w:t>
            </w:r>
          </w:p>
        </w:tc>
      </w:tr>
      <w:tr w:rsidR="004740A8" w14:paraId="19E251AB" w14:textId="77777777">
        <w:tc>
          <w:tcPr>
            <w:tcW w:w="4680" w:type="dxa"/>
            <w:shd w:val="clear" w:color="auto" w:fill="auto"/>
            <w:tcMar>
              <w:top w:w="0" w:type="dxa"/>
              <w:left w:w="0" w:type="dxa"/>
              <w:bottom w:w="0" w:type="dxa"/>
              <w:right w:w="0" w:type="dxa"/>
            </w:tcMar>
          </w:tcPr>
          <w:p w14:paraId="5D4E5E80"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tc>
        <w:tc>
          <w:tcPr>
            <w:tcW w:w="561" w:type="dxa"/>
            <w:shd w:val="clear" w:color="auto" w:fill="auto"/>
            <w:tcMar>
              <w:top w:w="0" w:type="dxa"/>
              <w:left w:w="0" w:type="dxa"/>
              <w:bottom w:w="0" w:type="dxa"/>
              <w:right w:w="0" w:type="dxa"/>
            </w:tcMar>
          </w:tcPr>
          <w:p w14:paraId="228C475E" w14:textId="77777777" w:rsidR="004740A8" w:rsidRDefault="007C0112">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Title:</w:t>
            </w:r>
          </w:p>
        </w:tc>
        <w:tc>
          <w:tcPr>
            <w:tcW w:w="4024" w:type="dxa"/>
            <w:tcBorders>
              <w:top w:val="nil"/>
              <w:left w:val="nil"/>
              <w:bottom w:val="single" w:sz="8" w:space="0" w:color="000000"/>
              <w:right w:val="nil"/>
            </w:tcBorders>
            <w:shd w:val="clear" w:color="auto" w:fill="auto"/>
            <w:tcMar>
              <w:top w:w="0" w:type="dxa"/>
              <w:left w:w="0" w:type="dxa"/>
              <w:bottom w:w="0" w:type="dxa"/>
              <w:right w:w="0" w:type="dxa"/>
            </w:tcMar>
          </w:tcPr>
          <w:p w14:paraId="7A9AA614" w14:textId="77777777" w:rsidR="004740A8" w:rsidRDefault="007C0112">
            <w:pPr>
              <w:pBdr>
                <w:top w:val="nil"/>
                <w:left w:val="nil"/>
                <w:bottom w:val="nil"/>
                <w:right w:val="nil"/>
                <w:between w:val="nil"/>
              </w:pBdr>
              <w:ind w:left="60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Chief Executive Officer</w:t>
            </w:r>
          </w:p>
        </w:tc>
      </w:tr>
    </w:tbl>
    <w:p w14:paraId="1A63BF1A"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7FA701D6" w14:textId="77777777" w:rsidR="004740A8" w:rsidRDefault="007C0112">
      <w:pPr>
        <w:pBdr>
          <w:top w:val="nil"/>
          <w:left w:val="nil"/>
          <w:bottom w:val="nil"/>
          <w:right w:val="nil"/>
          <w:between w:val="nil"/>
        </w:pBdr>
        <w:contextualSpacing w:val="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Signature Page to Registration Rights Agreement</w:t>
      </w:r>
    </w:p>
    <w:p w14:paraId="44FE7431" w14:textId="77777777" w:rsidR="004740A8" w:rsidRDefault="007C0112">
      <w:pPr>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 </w:t>
      </w:r>
    </w:p>
    <w:p w14:paraId="70BC429B" w14:textId="77777777" w:rsidR="004740A8" w:rsidRDefault="004740A8">
      <w:pPr>
        <w:pBdr>
          <w:top w:val="nil"/>
          <w:left w:val="nil"/>
          <w:bottom w:val="nil"/>
          <w:right w:val="nil"/>
          <w:between w:val="nil"/>
        </w:pBdr>
        <w:contextualSpacing w:val="0"/>
        <w:rPr>
          <w:rFonts w:ascii="Times New Roman" w:eastAsia="Times New Roman" w:hAnsi="Times New Roman" w:cs="Times New Roman"/>
        </w:rPr>
      </w:pPr>
    </w:p>
    <w:p w14:paraId="0154271A" w14:textId="77777777" w:rsidR="004740A8" w:rsidRDefault="004740A8">
      <w:pPr>
        <w:pBdr>
          <w:top w:val="nil"/>
          <w:left w:val="nil"/>
          <w:bottom w:val="nil"/>
          <w:right w:val="nil"/>
          <w:between w:val="nil"/>
        </w:pBdr>
        <w:contextualSpacing w:val="0"/>
        <w:rPr>
          <w:rFonts w:ascii="Times New Roman" w:eastAsia="Times New Roman" w:hAnsi="Times New Roman" w:cs="Times New Roman"/>
        </w:rPr>
      </w:pPr>
    </w:p>
    <w:p w14:paraId="146CCE6A" w14:textId="77777777" w:rsidR="004740A8" w:rsidRDefault="007C0112">
      <w:pPr>
        <w:pBdr>
          <w:top w:val="nil"/>
          <w:left w:val="nil"/>
          <w:bottom w:val="nil"/>
          <w:right w:val="nil"/>
          <w:between w:val="nil"/>
        </w:pBdr>
        <w:contextualSpacing w:val="0"/>
      </w:pPr>
      <w:r>
        <w:t> </w:t>
      </w:r>
    </w:p>
    <w:p w14:paraId="2D37744E" w14:textId="77777777" w:rsidR="004740A8" w:rsidRDefault="007C0112">
      <w:pPr>
        <w:pBdr>
          <w:top w:val="nil"/>
          <w:left w:val="nil"/>
          <w:bottom w:val="nil"/>
          <w:right w:val="nil"/>
          <w:between w:val="nil"/>
        </w:pBdr>
        <w:contextualSpacing w:val="0"/>
        <w:rPr>
          <w:sz w:val="20"/>
          <w:szCs w:val="20"/>
        </w:rPr>
      </w:pPr>
      <w:r>
        <w:rPr>
          <w:sz w:val="20"/>
          <w:szCs w:val="20"/>
        </w:rPr>
        <w:t>Confirmed and accepted as of the date first above written:</w:t>
      </w:r>
    </w:p>
    <w:p w14:paraId="4375915D" w14:textId="77777777" w:rsidR="004740A8" w:rsidRDefault="007C0112">
      <w:pPr>
        <w:pBdr>
          <w:top w:val="nil"/>
          <w:left w:val="nil"/>
          <w:bottom w:val="nil"/>
          <w:right w:val="nil"/>
          <w:between w:val="nil"/>
        </w:pBdr>
        <w:contextualSpacing w:val="0"/>
      </w:pPr>
      <w:r>
        <w:t> </w:t>
      </w:r>
    </w:p>
    <w:tbl>
      <w:tblPr>
        <w:tblStyle w:val="a1"/>
        <w:tblW w:w="9360" w:type="dxa"/>
        <w:tblInd w:w="-100" w:type="dxa"/>
        <w:tblLayout w:type="fixed"/>
        <w:tblLook w:val="0600" w:firstRow="0" w:lastRow="0" w:firstColumn="0" w:lastColumn="0" w:noHBand="1" w:noVBand="1"/>
      </w:tblPr>
      <w:tblGrid>
        <w:gridCol w:w="3120"/>
        <w:gridCol w:w="3120"/>
        <w:gridCol w:w="3120"/>
      </w:tblGrid>
      <w:tr w:rsidR="004740A8" w14:paraId="0E83E495" w14:textId="77777777">
        <w:tc>
          <w:tcPr>
            <w:tcW w:w="6240" w:type="dxa"/>
            <w:gridSpan w:val="2"/>
            <w:shd w:val="clear" w:color="auto" w:fill="auto"/>
            <w:tcMar>
              <w:top w:w="0" w:type="dxa"/>
              <w:left w:w="0" w:type="dxa"/>
              <w:bottom w:w="0" w:type="dxa"/>
              <w:right w:w="0" w:type="dxa"/>
            </w:tcMar>
          </w:tcPr>
          <w:p w14:paraId="105687C0" w14:textId="77777777" w:rsidR="004740A8" w:rsidRDefault="007C0112">
            <w:pPr>
              <w:pBdr>
                <w:top w:val="nil"/>
                <w:left w:val="nil"/>
                <w:bottom w:val="nil"/>
                <w:right w:val="nil"/>
                <w:between w:val="nil"/>
              </w:pBdr>
              <w:contextualSpacing w:val="0"/>
              <w:rPr>
                <w:b/>
                <w:sz w:val="20"/>
                <w:szCs w:val="20"/>
              </w:rPr>
            </w:pPr>
            <w:r>
              <w:rPr>
                <w:b/>
                <w:sz w:val="20"/>
                <w:szCs w:val="20"/>
              </w:rPr>
              <w:t>WELLS FARGO SECURITIES, LLC</w:t>
            </w:r>
          </w:p>
        </w:tc>
        <w:tc>
          <w:tcPr>
            <w:tcW w:w="3120" w:type="dxa"/>
            <w:shd w:val="clear" w:color="auto" w:fill="auto"/>
            <w:tcMar>
              <w:top w:w="0" w:type="dxa"/>
              <w:left w:w="0" w:type="dxa"/>
              <w:bottom w:w="0" w:type="dxa"/>
              <w:right w:w="0" w:type="dxa"/>
            </w:tcMar>
          </w:tcPr>
          <w:p w14:paraId="62A27C35" w14:textId="77777777" w:rsidR="004740A8" w:rsidRDefault="007C0112">
            <w:pPr>
              <w:pBdr>
                <w:top w:val="nil"/>
                <w:left w:val="nil"/>
                <w:bottom w:val="nil"/>
                <w:right w:val="nil"/>
                <w:between w:val="nil"/>
              </w:pBdr>
              <w:contextualSpacing w:val="0"/>
            </w:pPr>
            <w:r>
              <w:t> </w:t>
            </w:r>
          </w:p>
        </w:tc>
      </w:tr>
      <w:tr w:rsidR="004740A8" w14:paraId="593B93A4" w14:textId="77777777">
        <w:tc>
          <w:tcPr>
            <w:tcW w:w="6240" w:type="dxa"/>
            <w:gridSpan w:val="2"/>
            <w:shd w:val="clear" w:color="auto" w:fill="auto"/>
            <w:tcMar>
              <w:top w:w="0" w:type="dxa"/>
              <w:left w:w="0" w:type="dxa"/>
              <w:bottom w:w="0" w:type="dxa"/>
              <w:right w:w="0" w:type="dxa"/>
            </w:tcMar>
          </w:tcPr>
          <w:p w14:paraId="74E4EE1C" w14:textId="77777777" w:rsidR="004740A8" w:rsidRDefault="007C0112">
            <w:pPr>
              <w:pBdr>
                <w:top w:val="nil"/>
                <w:left w:val="nil"/>
                <w:bottom w:val="nil"/>
                <w:right w:val="nil"/>
                <w:between w:val="nil"/>
              </w:pBdr>
              <w:contextualSpacing w:val="0"/>
              <w:rPr>
                <w:sz w:val="20"/>
                <w:szCs w:val="20"/>
              </w:rPr>
            </w:pPr>
            <w:r>
              <w:rPr>
                <w:sz w:val="20"/>
                <w:szCs w:val="20"/>
              </w:rPr>
              <w:t>As the Initial Purchaser</w:t>
            </w:r>
          </w:p>
        </w:tc>
        <w:tc>
          <w:tcPr>
            <w:tcW w:w="3120" w:type="dxa"/>
            <w:shd w:val="clear" w:color="auto" w:fill="auto"/>
            <w:tcMar>
              <w:top w:w="0" w:type="dxa"/>
              <w:left w:w="0" w:type="dxa"/>
              <w:bottom w:w="0" w:type="dxa"/>
              <w:right w:w="0" w:type="dxa"/>
            </w:tcMar>
          </w:tcPr>
          <w:p w14:paraId="0D8F9B0A" w14:textId="77777777" w:rsidR="004740A8" w:rsidRDefault="007C0112">
            <w:pPr>
              <w:pBdr>
                <w:top w:val="nil"/>
                <w:left w:val="nil"/>
                <w:bottom w:val="nil"/>
                <w:right w:val="nil"/>
                <w:between w:val="nil"/>
              </w:pBdr>
              <w:contextualSpacing w:val="0"/>
            </w:pPr>
            <w:r>
              <w:t> </w:t>
            </w:r>
          </w:p>
        </w:tc>
      </w:tr>
      <w:tr w:rsidR="004740A8" w14:paraId="22D1F599" w14:textId="77777777">
        <w:tc>
          <w:tcPr>
            <w:tcW w:w="6240" w:type="dxa"/>
            <w:gridSpan w:val="2"/>
            <w:shd w:val="clear" w:color="auto" w:fill="auto"/>
            <w:tcMar>
              <w:top w:w="0" w:type="dxa"/>
              <w:left w:w="0" w:type="dxa"/>
              <w:bottom w:w="0" w:type="dxa"/>
              <w:right w:w="0" w:type="dxa"/>
            </w:tcMar>
          </w:tcPr>
          <w:p w14:paraId="5D9BDF94" w14:textId="77777777" w:rsidR="004740A8" w:rsidRDefault="007C0112">
            <w:pPr>
              <w:pBdr>
                <w:top w:val="nil"/>
                <w:left w:val="nil"/>
                <w:bottom w:val="nil"/>
                <w:right w:val="nil"/>
                <w:between w:val="nil"/>
              </w:pBdr>
              <w:contextualSpacing w:val="0"/>
              <w:rPr>
                <w:sz w:val="20"/>
                <w:szCs w:val="20"/>
              </w:rPr>
            </w:pPr>
            <w:r>
              <w:rPr>
                <w:sz w:val="20"/>
                <w:szCs w:val="20"/>
              </w:rPr>
              <w:t>By: WELLS FARGO SECURITIES, LLC</w:t>
            </w:r>
          </w:p>
        </w:tc>
        <w:tc>
          <w:tcPr>
            <w:tcW w:w="3120" w:type="dxa"/>
            <w:shd w:val="clear" w:color="auto" w:fill="auto"/>
            <w:tcMar>
              <w:top w:w="0" w:type="dxa"/>
              <w:left w:w="0" w:type="dxa"/>
              <w:bottom w:w="0" w:type="dxa"/>
              <w:right w:w="0" w:type="dxa"/>
            </w:tcMar>
          </w:tcPr>
          <w:p w14:paraId="3FDD2B46" w14:textId="77777777" w:rsidR="004740A8" w:rsidRDefault="007C0112">
            <w:pPr>
              <w:pBdr>
                <w:top w:val="nil"/>
                <w:left w:val="nil"/>
                <w:bottom w:val="nil"/>
                <w:right w:val="nil"/>
                <w:between w:val="nil"/>
              </w:pBdr>
              <w:contextualSpacing w:val="0"/>
            </w:pPr>
            <w:r>
              <w:t> </w:t>
            </w:r>
          </w:p>
        </w:tc>
      </w:tr>
      <w:tr w:rsidR="004740A8" w14:paraId="2F4C8DB6" w14:textId="77777777">
        <w:tc>
          <w:tcPr>
            <w:tcW w:w="3120" w:type="dxa"/>
            <w:shd w:val="clear" w:color="auto" w:fill="auto"/>
            <w:tcMar>
              <w:top w:w="0" w:type="dxa"/>
              <w:left w:w="0" w:type="dxa"/>
              <w:bottom w:w="0" w:type="dxa"/>
              <w:right w:w="0" w:type="dxa"/>
            </w:tcMar>
          </w:tcPr>
          <w:p w14:paraId="6BC7A7E6" w14:textId="77777777" w:rsidR="004740A8" w:rsidRDefault="007C0112">
            <w:pPr>
              <w:pBdr>
                <w:top w:val="nil"/>
                <w:left w:val="nil"/>
                <w:bottom w:val="nil"/>
                <w:right w:val="nil"/>
                <w:between w:val="nil"/>
              </w:pBdr>
              <w:contextualSpacing w:val="0"/>
            </w:pPr>
            <w:r>
              <w:t> </w:t>
            </w:r>
          </w:p>
        </w:tc>
        <w:tc>
          <w:tcPr>
            <w:tcW w:w="3120" w:type="dxa"/>
            <w:shd w:val="clear" w:color="auto" w:fill="auto"/>
            <w:tcMar>
              <w:top w:w="0" w:type="dxa"/>
              <w:left w:w="0" w:type="dxa"/>
              <w:bottom w:w="0" w:type="dxa"/>
              <w:right w:w="0" w:type="dxa"/>
            </w:tcMar>
          </w:tcPr>
          <w:p w14:paraId="65812108" w14:textId="77777777" w:rsidR="004740A8" w:rsidRDefault="007C0112">
            <w:pPr>
              <w:pBdr>
                <w:top w:val="nil"/>
                <w:left w:val="nil"/>
                <w:bottom w:val="nil"/>
                <w:right w:val="nil"/>
                <w:between w:val="nil"/>
              </w:pBdr>
              <w:contextualSpacing w:val="0"/>
            </w:pPr>
            <w:r>
              <w:t> </w:t>
            </w:r>
          </w:p>
        </w:tc>
        <w:tc>
          <w:tcPr>
            <w:tcW w:w="3120" w:type="dxa"/>
            <w:shd w:val="clear" w:color="auto" w:fill="auto"/>
            <w:tcMar>
              <w:top w:w="0" w:type="dxa"/>
              <w:left w:w="0" w:type="dxa"/>
              <w:bottom w:w="0" w:type="dxa"/>
              <w:right w:w="0" w:type="dxa"/>
            </w:tcMar>
          </w:tcPr>
          <w:p w14:paraId="25DD2120" w14:textId="77777777" w:rsidR="004740A8" w:rsidRDefault="007C0112">
            <w:pPr>
              <w:pBdr>
                <w:top w:val="nil"/>
                <w:left w:val="nil"/>
                <w:bottom w:val="nil"/>
                <w:right w:val="nil"/>
                <w:between w:val="nil"/>
              </w:pBdr>
              <w:contextualSpacing w:val="0"/>
            </w:pPr>
            <w:r>
              <w:t> </w:t>
            </w:r>
          </w:p>
        </w:tc>
      </w:tr>
      <w:tr w:rsidR="004740A8" w14:paraId="1999C9A4" w14:textId="77777777">
        <w:tc>
          <w:tcPr>
            <w:tcW w:w="3120" w:type="dxa"/>
            <w:shd w:val="clear" w:color="auto" w:fill="auto"/>
            <w:tcMar>
              <w:top w:w="0" w:type="dxa"/>
              <w:left w:w="0" w:type="dxa"/>
              <w:bottom w:w="0" w:type="dxa"/>
              <w:right w:w="0" w:type="dxa"/>
            </w:tcMar>
          </w:tcPr>
          <w:p w14:paraId="26E544BA" w14:textId="77777777" w:rsidR="004740A8" w:rsidRDefault="007C0112">
            <w:pPr>
              <w:pBdr>
                <w:top w:val="nil"/>
                <w:left w:val="nil"/>
                <w:bottom w:val="nil"/>
                <w:right w:val="nil"/>
                <w:between w:val="nil"/>
              </w:pBdr>
              <w:contextualSpacing w:val="0"/>
              <w:rPr>
                <w:sz w:val="20"/>
                <w:szCs w:val="20"/>
              </w:rPr>
            </w:pPr>
            <w:r>
              <w:rPr>
                <w:sz w:val="20"/>
                <w:szCs w:val="20"/>
              </w:rPr>
              <w:t>By:</w:t>
            </w:r>
          </w:p>
        </w:tc>
        <w:tc>
          <w:tcPr>
            <w:tcW w:w="3120" w:type="dxa"/>
            <w:tcBorders>
              <w:top w:val="nil"/>
              <w:left w:val="nil"/>
              <w:bottom w:val="single" w:sz="8" w:space="0" w:color="000000"/>
              <w:right w:val="nil"/>
            </w:tcBorders>
            <w:shd w:val="clear" w:color="auto" w:fill="auto"/>
            <w:tcMar>
              <w:top w:w="0" w:type="dxa"/>
              <w:left w:w="0" w:type="dxa"/>
              <w:bottom w:w="0" w:type="dxa"/>
              <w:right w:w="0" w:type="dxa"/>
            </w:tcMar>
          </w:tcPr>
          <w:p w14:paraId="448A6398" w14:textId="77777777" w:rsidR="004740A8" w:rsidRDefault="007C0112">
            <w:pPr>
              <w:pBdr>
                <w:top w:val="nil"/>
                <w:left w:val="nil"/>
                <w:bottom w:val="nil"/>
                <w:right w:val="nil"/>
                <w:between w:val="nil"/>
              </w:pBdr>
              <w:ind w:left="600"/>
              <w:contextualSpacing w:val="0"/>
              <w:rPr>
                <w:sz w:val="20"/>
                <w:szCs w:val="20"/>
              </w:rPr>
            </w:pPr>
            <w:r>
              <w:rPr>
                <w:sz w:val="20"/>
                <w:szCs w:val="20"/>
              </w:rPr>
              <w:t>/s/ Jeff Gore</w:t>
            </w:r>
          </w:p>
        </w:tc>
        <w:tc>
          <w:tcPr>
            <w:tcW w:w="3120" w:type="dxa"/>
            <w:shd w:val="clear" w:color="auto" w:fill="auto"/>
            <w:tcMar>
              <w:top w:w="0" w:type="dxa"/>
              <w:left w:w="0" w:type="dxa"/>
              <w:bottom w:w="0" w:type="dxa"/>
              <w:right w:w="0" w:type="dxa"/>
            </w:tcMar>
          </w:tcPr>
          <w:p w14:paraId="0C1B97C3" w14:textId="77777777" w:rsidR="004740A8" w:rsidRDefault="007C0112">
            <w:pPr>
              <w:pBdr>
                <w:top w:val="nil"/>
                <w:left w:val="nil"/>
                <w:bottom w:val="nil"/>
                <w:right w:val="nil"/>
                <w:between w:val="nil"/>
              </w:pBdr>
              <w:contextualSpacing w:val="0"/>
            </w:pPr>
            <w:r>
              <w:t> </w:t>
            </w:r>
          </w:p>
        </w:tc>
      </w:tr>
      <w:tr w:rsidR="004740A8" w14:paraId="5E2BB344" w14:textId="77777777">
        <w:tc>
          <w:tcPr>
            <w:tcW w:w="3120" w:type="dxa"/>
            <w:shd w:val="clear" w:color="auto" w:fill="auto"/>
            <w:tcMar>
              <w:top w:w="0" w:type="dxa"/>
              <w:left w:w="0" w:type="dxa"/>
              <w:bottom w:w="0" w:type="dxa"/>
              <w:right w:w="0" w:type="dxa"/>
            </w:tcMar>
          </w:tcPr>
          <w:p w14:paraId="3BD95C17" w14:textId="77777777" w:rsidR="004740A8" w:rsidRDefault="007C0112">
            <w:pPr>
              <w:pBdr>
                <w:top w:val="nil"/>
                <w:left w:val="nil"/>
                <w:bottom w:val="nil"/>
                <w:right w:val="nil"/>
                <w:between w:val="nil"/>
              </w:pBdr>
              <w:contextualSpacing w:val="0"/>
              <w:rPr>
                <w:sz w:val="20"/>
                <w:szCs w:val="20"/>
              </w:rPr>
            </w:pPr>
            <w:r>
              <w:rPr>
                <w:sz w:val="20"/>
                <w:szCs w:val="20"/>
              </w:rPr>
              <w:t>Name:</w:t>
            </w:r>
          </w:p>
        </w:tc>
        <w:tc>
          <w:tcPr>
            <w:tcW w:w="3120" w:type="dxa"/>
            <w:tcBorders>
              <w:top w:val="nil"/>
              <w:left w:val="nil"/>
              <w:bottom w:val="single" w:sz="8" w:space="0" w:color="000000"/>
              <w:right w:val="nil"/>
            </w:tcBorders>
            <w:shd w:val="clear" w:color="auto" w:fill="auto"/>
            <w:tcMar>
              <w:top w:w="0" w:type="dxa"/>
              <w:left w:w="0" w:type="dxa"/>
              <w:bottom w:w="0" w:type="dxa"/>
              <w:right w:w="0" w:type="dxa"/>
            </w:tcMar>
          </w:tcPr>
          <w:p w14:paraId="1CAEAB16" w14:textId="77777777" w:rsidR="004740A8" w:rsidRDefault="007C0112">
            <w:pPr>
              <w:pBdr>
                <w:top w:val="nil"/>
                <w:left w:val="nil"/>
                <w:bottom w:val="nil"/>
                <w:right w:val="nil"/>
                <w:between w:val="nil"/>
              </w:pBdr>
              <w:ind w:left="600"/>
              <w:contextualSpacing w:val="0"/>
              <w:rPr>
                <w:sz w:val="20"/>
                <w:szCs w:val="20"/>
              </w:rPr>
            </w:pPr>
            <w:r>
              <w:rPr>
                <w:sz w:val="20"/>
                <w:szCs w:val="20"/>
              </w:rPr>
              <w:t>Jeff Gore</w:t>
            </w:r>
          </w:p>
        </w:tc>
        <w:tc>
          <w:tcPr>
            <w:tcW w:w="3120" w:type="dxa"/>
            <w:shd w:val="clear" w:color="auto" w:fill="auto"/>
            <w:tcMar>
              <w:top w:w="0" w:type="dxa"/>
              <w:left w:w="0" w:type="dxa"/>
              <w:bottom w:w="0" w:type="dxa"/>
              <w:right w:w="0" w:type="dxa"/>
            </w:tcMar>
          </w:tcPr>
          <w:p w14:paraId="73E61E77" w14:textId="77777777" w:rsidR="004740A8" w:rsidRDefault="007C0112">
            <w:pPr>
              <w:pBdr>
                <w:top w:val="nil"/>
                <w:left w:val="nil"/>
                <w:bottom w:val="nil"/>
                <w:right w:val="nil"/>
                <w:between w:val="nil"/>
              </w:pBdr>
              <w:contextualSpacing w:val="0"/>
            </w:pPr>
            <w:r>
              <w:t> </w:t>
            </w:r>
          </w:p>
        </w:tc>
      </w:tr>
      <w:tr w:rsidR="004740A8" w14:paraId="5BEEEA81" w14:textId="77777777">
        <w:tc>
          <w:tcPr>
            <w:tcW w:w="3120" w:type="dxa"/>
            <w:shd w:val="clear" w:color="auto" w:fill="auto"/>
            <w:tcMar>
              <w:top w:w="0" w:type="dxa"/>
              <w:left w:w="0" w:type="dxa"/>
              <w:bottom w:w="0" w:type="dxa"/>
              <w:right w:w="0" w:type="dxa"/>
            </w:tcMar>
          </w:tcPr>
          <w:p w14:paraId="4D89113E" w14:textId="77777777" w:rsidR="004740A8" w:rsidRDefault="007C0112">
            <w:pPr>
              <w:pBdr>
                <w:top w:val="nil"/>
                <w:left w:val="nil"/>
                <w:bottom w:val="nil"/>
                <w:right w:val="nil"/>
                <w:between w:val="nil"/>
              </w:pBdr>
              <w:contextualSpacing w:val="0"/>
              <w:rPr>
                <w:sz w:val="20"/>
                <w:szCs w:val="20"/>
              </w:rPr>
            </w:pPr>
            <w:r>
              <w:rPr>
                <w:sz w:val="20"/>
                <w:szCs w:val="20"/>
              </w:rPr>
              <w:t>Title:</w:t>
            </w:r>
          </w:p>
        </w:tc>
        <w:tc>
          <w:tcPr>
            <w:tcW w:w="3120" w:type="dxa"/>
            <w:tcBorders>
              <w:top w:val="nil"/>
              <w:left w:val="nil"/>
              <w:bottom w:val="single" w:sz="8" w:space="0" w:color="000000"/>
              <w:right w:val="nil"/>
            </w:tcBorders>
            <w:shd w:val="clear" w:color="auto" w:fill="auto"/>
            <w:tcMar>
              <w:top w:w="0" w:type="dxa"/>
              <w:left w:w="0" w:type="dxa"/>
              <w:bottom w:w="0" w:type="dxa"/>
              <w:right w:w="0" w:type="dxa"/>
            </w:tcMar>
          </w:tcPr>
          <w:p w14:paraId="1E6753B0" w14:textId="77777777" w:rsidR="004740A8" w:rsidRDefault="007C0112">
            <w:pPr>
              <w:pBdr>
                <w:top w:val="nil"/>
                <w:left w:val="nil"/>
                <w:bottom w:val="nil"/>
                <w:right w:val="nil"/>
                <w:between w:val="nil"/>
              </w:pBdr>
              <w:ind w:left="600"/>
              <w:contextualSpacing w:val="0"/>
              <w:rPr>
                <w:sz w:val="20"/>
                <w:szCs w:val="20"/>
              </w:rPr>
            </w:pPr>
            <w:r>
              <w:rPr>
                <w:sz w:val="20"/>
                <w:szCs w:val="20"/>
              </w:rPr>
              <w:t>Managing Director</w:t>
            </w:r>
          </w:p>
        </w:tc>
        <w:tc>
          <w:tcPr>
            <w:tcW w:w="3120" w:type="dxa"/>
            <w:shd w:val="clear" w:color="auto" w:fill="auto"/>
            <w:tcMar>
              <w:top w:w="0" w:type="dxa"/>
              <w:left w:w="0" w:type="dxa"/>
              <w:bottom w:w="0" w:type="dxa"/>
              <w:right w:w="0" w:type="dxa"/>
            </w:tcMar>
          </w:tcPr>
          <w:p w14:paraId="7D024A72" w14:textId="77777777" w:rsidR="004740A8" w:rsidRDefault="007C0112">
            <w:pPr>
              <w:pBdr>
                <w:top w:val="nil"/>
                <w:left w:val="nil"/>
                <w:bottom w:val="nil"/>
                <w:right w:val="nil"/>
                <w:between w:val="nil"/>
              </w:pBdr>
              <w:contextualSpacing w:val="0"/>
            </w:pPr>
            <w:r>
              <w:t> </w:t>
            </w:r>
          </w:p>
        </w:tc>
      </w:tr>
    </w:tbl>
    <w:p w14:paraId="77A730B3" w14:textId="77777777" w:rsidR="004740A8" w:rsidRDefault="007C0112">
      <w:pPr>
        <w:pBdr>
          <w:top w:val="nil"/>
          <w:left w:val="nil"/>
          <w:bottom w:val="nil"/>
          <w:right w:val="nil"/>
          <w:between w:val="nil"/>
        </w:pBdr>
        <w:contextualSpacing w:val="0"/>
      </w:pPr>
      <w:r>
        <w:lastRenderedPageBreak/>
        <w:t> </w:t>
      </w:r>
    </w:p>
    <w:p w14:paraId="64043B10" w14:textId="77777777" w:rsidR="004740A8" w:rsidRDefault="007C0112">
      <w:pPr>
        <w:pBdr>
          <w:top w:val="nil"/>
          <w:left w:val="nil"/>
          <w:bottom w:val="nil"/>
          <w:right w:val="nil"/>
          <w:between w:val="nil"/>
        </w:pBdr>
        <w:contextualSpacing w:val="0"/>
        <w:jc w:val="center"/>
        <w:rPr>
          <w:i/>
          <w:sz w:val="20"/>
          <w:szCs w:val="20"/>
        </w:rPr>
      </w:pPr>
      <w:r>
        <w:rPr>
          <w:i/>
          <w:sz w:val="20"/>
          <w:szCs w:val="20"/>
        </w:rPr>
        <w:t>Signature Page to Registration Rights Agreement</w:t>
      </w:r>
    </w:p>
    <w:p w14:paraId="115AAE5B" w14:textId="77777777" w:rsidR="004740A8" w:rsidRDefault="007C0112">
      <w:pPr>
        <w:pBdr>
          <w:top w:val="nil"/>
          <w:left w:val="nil"/>
          <w:bottom w:val="nil"/>
          <w:right w:val="nil"/>
          <w:between w:val="nil"/>
        </w:pBdr>
        <w:contextualSpacing w:val="0"/>
      </w:pPr>
      <w:r>
        <w:t> </w:t>
      </w:r>
    </w:p>
    <w:p w14:paraId="5EDF8EDB" w14:textId="77777777" w:rsidR="004740A8" w:rsidRDefault="004740A8">
      <w:pPr>
        <w:pBdr>
          <w:top w:val="nil"/>
          <w:left w:val="nil"/>
          <w:bottom w:val="nil"/>
          <w:right w:val="nil"/>
          <w:between w:val="nil"/>
        </w:pBdr>
        <w:contextualSpacing w:val="0"/>
      </w:pPr>
    </w:p>
    <w:p w14:paraId="4178516F" w14:textId="77777777" w:rsidR="004740A8" w:rsidRDefault="004740A8">
      <w:pPr>
        <w:pBdr>
          <w:top w:val="nil"/>
          <w:left w:val="nil"/>
          <w:bottom w:val="nil"/>
          <w:right w:val="nil"/>
          <w:between w:val="nil"/>
        </w:pBdr>
        <w:contextualSpacing w:val="0"/>
      </w:pPr>
    </w:p>
    <w:p w14:paraId="3FD8DC0D" w14:textId="77777777" w:rsidR="004740A8" w:rsidRDefault="007C0112">
      <w:pPr>
        <w:pBdr>
          <w:top w:val="nil"/>
          <w:left w:val="nil"/>
          <w:bottom w:val="nil"/>
          <w:right w:val="nil"/>
          <w:between w:val="nil"/>
        </w:pBdr>
        <w:contextualSpacing w:val="0"/>
      </w:pPr>
      <w:r>
        <w:t> </w:t>
      </w:r>
    </w:p>
    <w:p w14:paraId="7D7EB88F" w14:textId="77777777" w:rsidR="004740A8" w:rsidRDefault="007C0112">
      <w:pPr>
        <w:pBdr>
          <w:top w:val="nil"/>
          <w:left w:val="nil"/>
          <w:bottom w:val="nil"/>
          <w:right w:val="nil"/>
          <w:between w:val="nil"/>
        </w:pBdr>
        <w:contextualSpacing w:val="0"/>
        <w:jc w:val="center"/>
        <w:rPr>
          <w:b/>
          <w:sz w:val="20"/>
          <w:szCs w:val="20"/>
        </w:rPr>
      </w:pPr>
      <w:r>
        <w:rPr>
          <w:b/>
          <w:sz w:val="20"/>
          <w:szCs w:val="20"/>
        </w:rPr>
        <w:t>SCHEDULE I</w:t>
      </w:r>
    </w:p>
    <w:p w14:paraId="017B3DFD" w14:textId="77777777" w:rsidR="004740A8" w:rsidRDefault="007C0112">
      <w:pPr>
        <w:pBdr>
          <w:top w:val="nil"/>
          <w:left w:val="nil"/>
          <w:bottom w:val="nil"/>
          <w:right w:val="nil"/>
          <w:between w:val="nil"/>
        </w:pBdr>
        <w:contextualSpacing w:val="0"/>
      </w:pPr>
      <w:r>
        <w:t> </w:t>
      </w:r>
    </w:p>
    <w:p w14:paraId="7005C615" w14:textId="77777777" w:rsidR="004740A8" w:rsidRDefault="007C0112">
      <w:pPr>
        <w:pBdr>
          <w:top w:val="nil"/>
          <w:left w:val="nil"/>
          <w:bottom w:val="nil"/>
          <w:right w:val="nil"/>
          <w:between w:val="nil"/>
        </w:pBdr>
        <w:contextualSpacing w:val="0"/>
        <w:jc w:val="center"/>
        <w:rPr>
          <w:b/>
          <w:sz w:val="20"/>
          <w:szCs w:val="20"/>
        </w:rPr>
      </w:pPr>
      <w:r>
        <w:rPr>
          <w:b/>
          <w:sz w:val="20"/>
          <w:szCs w:val="20"/>
        </w:rPr>
        <w:t>GUARANTORS</w:t>
      </w:r>
    </w:p>
    <w:p w14:paraId="288D1628" w14:textId="77777777" w:rsidR="004740A8" w:rsidRDefault="007C0112">
      <w:pPr>
        <w:pBdr>
          <w:top w:val="nil"/>
          <w:left w:val="nil"/>
          <w:bottom w:val="nil"/>
          <w:right w:val="nil"/>
          <w:between w:val="nil"/>
        </w:pBdr>
        <w:contextualSpacing w:val="0"/>
      </w:pPr>
      <w:r>
        <w:t> </w:t>
      </w:r>
    </w:p>
    <w:p w14:paraId="4797CB95" w14:textId="77777777" w:rsidR="004740A8" w:rsidRDefault="007C0112">
      <w:pPr>
        <w:pBdr>
          <w:top w:val="nil"/>
          <w:left w:val="nil"/>
          <w:bottom w:val="nil"/>
          <w:right w:val="nil"/>
          <w:between w:val="nil"/>
        </w:pBdr>
        <w:contextualSpacing w:val="0"/>
        <w:rPr>
          <w:sz w:val="20"/>
          <w:szCs w:val="20"/>
        </w:rPr>
      </w:pPr>
      <w:r>
        <w:rPr>
          <w:sz w:val="20"/>
          <w:szCs w:val="20"/>
        </w:rPr>
        <w:t>Burleson Sand LLC</w:t>
      </w:r>
    </w:p>
    <w:p w14:paraId="2569DECF" w14:textId="77777777" w:rsidR="004740A8" w:rsidRDefault="007C0112">
      <w:pPr>
        <w:pBdr>
          <w:top w:val="nil"/>
          <w:left w:val="nil"/>
          <w:bottom w:val="nil"/>
          <w:right w:val="nil"/>
          <w:between w:val="nil"/>
        </w:pBdr>
        <w:contextualSpacing w:val="0"/>
        <w:rPr>
          <w:sz w:val="20"/>
          <w:szCs w:val="20"/>
        </w:rPr>
      </w:pPr>
      <w:r>
        <w:rPr>
          <w:sz w:val="20"/>
          <w:szCs w:val="20"/>
        </w:rPr>
        <w:t>Burleson Water Resources, LLC</w:t>
      </w:r>
    </w:p>
    <w:p w14:paraId="69957035" w14:textId="77777777" w:rsidR="004740A8" w:rsidRDefault="007C0112">
      <w:pPr>
        <w:pBdr>
          <w:top w:val="nil"/>
          <w:left w:val="nil"/>
          <w:bottom w:val="nil"/>
          <w:right w:val="nil"/>
          <w:between w:val="nil"/>
        </w:pBdr>
        <w:contextualSpacing w:val="0"/>
        <w:rPr>
          <w:sz w:val="20"/>
          <w:szCs w:val="20"/>
        </w:rPr>
      </w:pPr>
      <w:r>
        <w:rPr>
          <w:sz w:val="20"/>
          <w:szCs w:val="20"/>
        </w:rPr>
        <w:t>Esquisto Resources II, LLC</w:t>
      </w:r>
    </w:p>
    <w:p w14:paraId="24FE8642" w14:textId="77777777" w:rsidR="004740A8" w:rsidRDefault="007C0112">
      <w:pPr>
        <w:pBdr>
          <w:top w:val="nil"/>
          <w:left w:val="nil"/>
          <w:bottom w:val="nil"/>
          <w:right w:val="nil"/>
          <w:between w:val="nil"/>
        </w:pBdr>
        <w:contextualSpacing w:val="0"/>
        <w:rPr>
          <w:sz w:val="20"/>
          <w:szCs w:val="20"/>
        </w:rPr>
      </w:pPr>
      <w:r>
        <w:rPr>
          <w:sz w:val="20"/>
          <w:szCs w:val="20"/>
        </w:rPr>
        <w:t>Petromax E&amp;P Burleson, LLC</w:t>
      </w:r>
    </w:p>
    <w:p w14:paraId="5371661F" w14:textId="77777777" w:rsidR="004740A8" w:rsidRDefault="007C0112">
      <w:pPr>
        <w:pBdr>
          <w:top w:val="nil"/>
          <w:left w:val="nil"/>
          <w:bottom w:val="nil"/>
          <w:right w:val="nil"/>
          <w:between w:val="nil"/>
        </w:pBdr>
        <w:contextualSpacing w:val="0"/>
        <w:rPr>
          <w:sz w:val="20"/>
          <w:szCs w:val="20"/>
        </w:rPr>
      </w:pPr>
      <w:r>
        <w:rPr>
          <w:sz w:val="20"/>
          <w:szCs w:val="20"/>
        </w:rPr>
        <w:t>WHE AcqCo., LLC</w:t>
      </w:r>
    </w:p>
    <w:p w14:paraId="40678C6D" w14:textId="77777777" w:rsidR="004740A8" w:rsidRDefault="007C0112">
      <w:pPr>
        <w:pBdr>
          <w:top w:val="nil"/>
          <w:left w:val="nil"/>
          <w:bottom w:val="nil"/>
          <w:right w:val="nil"/>
          <w:between w:val="nil"/>
        </w:pBdr>
        <w:contextualSpacing w:val="0"/>
        <w:rPr>
          <w:sz w:val="20"/>
          <w:szCs w:val="20"/>
        </w:rPr>
      </w:pPr>
      <w:r>
        <w:rPr>
          <w:sz w:val="20"/>
          <w:szCs w:val="20"/>
        </w:rPr>
        <w:t>WHR Eagle Ford LLC</w:t>
      </w:r>
    </w:p>
    <w:p w14:paraId="5F831148" w14:textId="77777777" w:rsidR="004740A8" w:rsidRDefault="007C0112">
      <w:pPr>
        <w:pBdr>
          <w:top w:val="nil"/>
          <w:left w:val="nil"/>
          <w:bottom w:val="nil"/>
          <w:right w:val="nil"/>
          <w:between w:val="nil"/>
        </w:pBdr>
        <w:contextualSpacing w:val="0"/>
        <w:rPr>
          <w:sz w:val="20"/>
          <w:szCs w:val="20"/>
        </w:rPr>
      </w:pPr>
      <w:r>
        <w:rPr>
          <w:sz w:val="20"/>
          <w:szCs w:val="20"/>
        </w:rPr>
        <w:t>WildHorse Resources Management Company</w:t>
      </w:r>
      <w:r>
        <w:rPr>
          <w:sz w:val="20"/>
          <w:szCs w:val="20"/>
        </w:rPr>
        <w:t>, LLC</w:t>
      </w:r>
    </w:p>
    <w:p w14:paraId="423ACF46" w14:textId="77777777" w:rsidR="004740A8" w:rsidRDefault="007C0112">
      <w:pPr>
        <w:pBdr>
          <w:top w:val="nil"/>
          <w:left w:val="nil"/>
          <w:bottom w:val="nil"/>
          <w:right w:val="nil"/>
          <w:between w:val="nil"/>
        </w:pBdr>
        <w:contextualSpacing w:val="0"/>
        <w:rPr>
          <w:sz w:val="20"/>
          <w:szCs w:val="20"/>
        </w:rPr>
      </w:pPr>
      <w:r>
        <w:rPr>
          <w:sz w:val="20"/>
          <w:szCs w:val="20"/>
        </w:rPr>
        <w:t>WildHorse Resources II, LLC</w:t>
      </w:r>
    </w:p>
    <w:p w14:paraId="652E7B48" w14:textId="77777777" w:rsidR="004740A8" w:rsidRDefault="007C0112">
      <w:pPr>
        <w:pBdr>
          <w:top w:val="nil"/>
          <w:left w:val="nil"/>
          <w:bottom w:val="nil"/>
          <w:right w:val="nil"/>
          <w:between w:val="nil"/>
        </w:pBdr>
        <w:contextualSpacing w:val="0"/>
      </w:pPr>
      <w:r>
        <w:t> </w:t>
      </w:r>
    </w:p>
    <w:p w14:paraId="433C649B" w14:textId="77777777" w:rsidR="004740A8" w:rsidRDefault="004740A8">
      <w:pPr>
        <w:pBdr>
          <w:top w:val="nil"/>
          <w:left w:val="nil"/>
          <w:bottom w:val="nil"/>
          <w:right w:val="nil"/>
          <w:between w:val="nil"/>
        </w:pBdr>
        <w:contextualSpacing w:val="0"/>
      </w:pPr>
      <w:bookmarkStart w:id="4" w:name="_GoBack"/>
      <w:bookmarkEnd w:id="4"/>
    </w:p>
    <w:sectPr w:rsidR="004740A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default"/>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characterSpacingControl w:val="doNotCompress"/>
  <w:compat>
    <w:useFELayout/>
    <w:compatSetting w:name="compatibilityMode" w:uri="http://schemas.microsoft.com/office/word" w:val="14"/>
  </w:compat>
  <w:rsids>
    <w:rsidRoot w:val="004740A8"/>
    <w:rsid w:val="004740A8"/>
    <w:rsid w:val="007C0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DDE9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宋体" w:hAnsi="Arial" w:cs="Arial"/>
        <w:sz w:val="22"/>
        <w:szCs w:val="22"/>
        <w:lang w:val="en-US" w:eastAsia="en-US" w:bidi="ar-SA"/>
      </w:rPr>
    </w:rPrDefault>
    <w:pPrDefault>
      <w:pPr>
        <w:widowControl w:val="0"/>
        <w:contextualSpacing/>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pBdr>
        <w:top w:val="nil"/>
        <w:left w:val="nil"/>
        <w:bottom w:val="nil"/>
        <w:right w:val="nil"/>
        <w:between w:val="nil"/>
      </w:pBdr>
      <w:spacing w:before="240" w:after="240"/>
      <w:outlineLvl w:val="0"/>
    </w:pPr>
    <w:rPr>
      <w:b/>
      <w:sz w:val="48"/>
      <w:szCs w:val="48"/>
    </w:rPr>
  </w:style>
  <w:style w:type="paragraph" w:styleId="Heading2">
    <w:name w:val="heading 2"/>
    <w:basedOn w:val="Normal"/>
    <w:next w:val="Normal"/>
    <w:pPr>
      <w:pBdr>
        <w:top w:val="nil"/>
        <w:left w:val="nil"/>
        <w:bottom w:val="nil"/>
        <w:right w:val="nil"/>
        <w:between w:val="nil"/>
      </w:pBdr>
      <w:spacing w:before="225" w:after="225"/>
      <w:outlineLvl w:val="1"/>
    </w:pPr>
    <w:rPr>
      <w:b/>
      <w:sz w:val="36"/>
      <w:szCs w:val="36"/>
    </w:rPr>
  </w:style>
  <w:style w:type="paragraph" w:styleId="Heading3">
    <w:name w:val="heading 3"/>
    <w:basedOn w:val="Normal"/>
    <w:next w:val="Normal"/>
    <w:pPr>
      <w:pBdr>
        <w:top w:val="nil"/>
        <w:left w:val="nil"/>
        <w:bottom w:val="nil"/>
        <w:right w:val="nil"/>
        <w:between w:val="nil"/>
      </w:pBdr>
      <w:spacing w:before="240" w:after="240"/>
      <w:outlineLvl w:val="2"/>
    </w:pPr>
    <w:rPr>
      <w:b/>
      <w:sz w:val="28"/>
      <w:szCs w:val="28"/>
    </w:rPr>
  </w:style>
  <w:style w:type="paragraph" w:styleId="Heading4">
    <w:name w:val="heading 4"/>
    <w:basedOn w:val="Normal"/>
    <w:next w:val="Normal"/>
    <w:pPr>
      <w:pBdr>
        <w:top w:val="nil"/>
        <w:left w:val="nil"/>
        <w:bottom w:val="nil"/>
        <w:right w:val="nil"/>
        <w:between w:val="nil"/>
      </w:pBdr>
      <w:spacing w:before="255" w:after="255"/>
      <w:outlineLvl w:val="3"/>
    </w:pPr>
    <w:rPr>
      <w:b/>
      <w:sz w:val="24"/>
      <w:szCs w:val="24"/>
    </w:rPr>
  </w:style>
  <w:style w:type="paragraph" w:styleId="Heading5">
    <w:name w:val="heading 5"/>
    <w:basedOn w:val="Normal"/>
    <w:next w:val="Normal"/>
    <w:pPr>
      <w:pBdr>
        <w:top w:val="nil"/>
        <w:left w:val="nil"/>
        <w:bottom w:val="nil"/>
        <w:right w:val="nil"/>
        <w:between w:val="nil"/>
      </w:pBdr>
      <w:spacing w:before="255" w:after="255"/>
      <w:outlineLvl w:val="4"/>
    </w:pPr>
    <w:rPr>
      <w:b/>
      <w:sz w:val="18"/>
      <w:szCs w:val="18"/>
    </w:rPr>
  </w:style>
  <w:style w:type="paragraph" w:styleId="Heading6">
    <w:name w:val="heading 6"/>
    <w:basedOn w:val="Normal"/>
    <w:next w:val="Normal"/>
    <w:pPr>
      <w:pBdr>
        <w:top w:val="nil"/>
        <w:left w:val="nil"/>
        <w:bottom w:val="nil"/>
        <w:right w:val="nil"/>
        <w:between w:val="nil"/>
      </w:pBd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18</Pages>
  <Words>11265</Words>
  <Characters>64211</Characters>
  <Application>Microsoft Macintosh Word</Application>
  <DocSecurity>0</DocSecurity>
  <Lines>535</Lines>
  <Paragraphs>150</Paragraphs>
  <ScaleCrop>false</ScaleCrop>
  <LinksUpToDate>false</LinksUpToDate>
  <CharactersWithSpaces>75326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Zoe</cp:lastModifiedBy>
  <cp:revision>2</cp:revision>
  <dcterms:created xsi:type="dcterms:W3CDTF">2018-04-26T19:41:00Z</dcterms:created>
  <dcterms:modified xsi:type="dcterms:W3CDTF">2018-04-26T19:44:00Z</dcterms:modified>
</cp:coreProperties>
</file>