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6C206D" w14:textId="77777777" w:rsidR="009D40F5" w:rsidRDefault="006D4FBD">
      <w:pPr>
        <w:contextualSpacing w:val="0"/>
      </w:pPr>
      <w:r>
        <w:t> </w:t>
      </w:r>
    </w:p>
    <w:p w14:paraId="3224DE80" w14:textId="77777777" w:rsidR="009D40F5" w:rsidRDefault="006D4FBD">
      <w:pPr>
        <w:contextualSpacing w:val="0"/>
        <w:jc w:val="right"/>
        <w:rPr>
          <w:b/>
        </w:rPr>
      </w:pPr>
      <w:r>
        <w:rPr>
          <w:b/>
        </w:rPr>
        <w:t>Exhibit 99.1</w:t>
      </w:r>
    </w:p>
    <w:p w14:paraId="4B78935D" w14:textId="77777777" w:rsidR="009D40F5" w:rsidRDefault="006D4FBD">
      <w:pPr>
        <w:contextualSpacing w:val="0"/>
      </w:pPr>
      <w:r>
        <w:t> </w:t>
      </w:r>
    </w:p>
    <w:p w14:paraId="6BBA3FD5" w14:textId="77777777" w:rsidR="009D40F5" w:rsidRDefault="009D40F5">
      <w:pPr>
        <w:contextualSpacing w:val="0"/>
      </w:pPr>
    </w:p>
    <w:p w14:paraId="632FC18B" w14:textId="77777777" w:rsidR="009D40F5" w:rsidRDefault="006D4FBD">
      <w:pPr>
        <w:contextualSpacing w:val="0"/>
        <w:jc w:val="center"/>
        <w:rPr>
          <w:b/>
        </w:rPr>
      </w:pPr>
      <w:r>
        <w:rPr>
          <w:b/>
        </w:rPr>
        <w:t>SEVERANCE FOLLOWING CHANGE OF CONTROL AGREEMENT</w:t>
      </w:r>
    </w:p>
    <w:p w14:paraId="3A20D261" w14:textId="77777777" w:rsidR="009D40F5" w:rsidRDefault="006D4FBD">
      <w:pPr>
        <w:contextualSpacing w:val="0"/>
        <w:jc w:val="center"/>
      </w:pPr>
      <w:r>
        <w:t> </w:t>
      </w:r>
    </w:p>
    <w:p w14:paraId="1833A7C3" w14:textId="77777777" w:rsidR="009D40F5" w:rsidRDefault="006D4FBD">
      <w:pPr>
        <w:ind w:firstLine="720"/>
        <w:contextualSpacing w:val="0"/>
      </w:pPr>
      <w:r>
        <w:t>This Agreement (the “Agreement”) is entered into as of the 8</w:t>
      </w:r>
      <w:r>
        <w:rPr>
          <w:vertAlign w:val="superscript"/>
        </w:rPr>
        <w:t>th</w:t>
      </w:r>
      <w:r>
        <w:t xml:space="preserve"> day of April, 2016 by and between PASSUR Aerospace, Inc. (PASSUR) and David M. Henderson (“Henderson”).</w:t>
      </w:r>
    </w:p>
    <w:p w14:paraId="10B7931F" w14:textId="77777777" w:rsidR="009D40F5" w:rsidRDefault="006D4FBD">
      <w:pPr>
        <w:ind w:firstLine="720"/>
        <w:contextualSpacing w:val="0"/>
      </w:pPr>
      <w:r>
        <w:t> </w:t>
      </w:r>
    </w:p>
    <w:p w14:paraId="6D93D756" w14:textId="77777777" w:rsidR="009D40F5" w:rsidRDefault="006D4FBD">
      <w:pPr>
        <w:ind w:firstLine="720"/>
        <w:contextualSpacing w:val="0"/>
      </w:pPr>
      <w:r>
        <w:rPr>
          <w:b/>
        </w:rPr>
        <w:t>WHEREAS</w:t>
      </w:r>
      <w:r>
        <w:t xml:space="preserve"> Henderson is employed by PASSUR, and because of such employment, possesses detailed knowledge of PASSUR and its business and operations;</w:t>
      </w:r>
    </w:p>
    <w:p w14:paraId="5BB8FE98" w14:textId="77777777" w:rsidR="009D40F5" w:rsidRDefault="006D4FBD">
      <w:pPr>
        <w:ind w:firstLine="720"/>
        <w:contextualSpacing w:val="0"/>
      </w:pPr>
      <w:r>
        <w:t> </w:t>
      </w:r>
    </w:p>
    <w:p w14:paraId="630BECE6" w14:textId="77777777" w:rsidR="009D40F5" w:rsidRDefault="006D4FBD">
      <w:pPr>
        <w:ind w:firstLine="720"/>
        <w:contextualSpacing w:val="0"/>
      </w:pPr>
      <w:r>
        <w:rPr>
          <w:b/>
        </w:rPr>
        <w:t xml:space="preserve">WHEREAS </w:t>
      </w:r>
      <w:r>
        <w:t>Henderson’s continued service to PASSUR is very important to the future success of PASSUR;</w:t>
      </w:r>
    </w:p>
    <w:p w14:paraId="5B8C3208" w14:textId="77777777" w:rsidR="009D40F5" w:rsidRDefault="006D4FBD">
      <w:pPr>
        <w:ind w:firstLine="720"/>
        <w:contextualSpacing w:val="0"/>
      </w:pPr>
      <w:r>
        <w:t> </w:t>
      </w:r>
    </w:p>
    <w:p w14:paraId="2C684E20" w14:textId="77777777" w:rsidR="009D40F5" w:rsidRDefault="006D4FBD">
      <w:pPr>
        <w:ind w:firstLine="720"/>
        <w:contextualSpacing w:val="0"/>
      </w:pPr>
      <w:r>
        <w:rPr>
          <w:b/>
        </w:rPr>
        <w:t xml:space="preserve">WHEREAS, </w:t>
      </w:r>
      <w:r>
        <w:t>PASSUR</w:t>
      </w:r>
      <w:r>
        <w:t xml:space="preserve"> desires to enter into this Agreement to provide Henderson with certain financial protection, as contemplated by Henderson’s May 21, 2015 offer letter, in the event that Henderson’s employment terminates after a Change of Control, and thereby to provide He</w:t>
      </w:r>
      <w:r>
        <w:t>nderson with incentives to remain with the Company; and</w:t>
      </w:r>
    </w:p>
    <w:p w14:paraId="3889E6B6" w14:textId="77777777" w:rsidR="009D40F5" w:rsidRDefault="006D4FBD">
      <w:pPr>
        <w:ind w:firstLine="720"/>
        <w:contextualSpacing w:val="0"/>
      </w:pPr>
      <w:r>
        <w:t> </w:t>
      </w:r>
    </w:p>
    <w:p w14:paraId="1D6499BA" w14:textId="77777777" w:rsidR="009D40F5" w:rsidRDefault="006D4FBD">
      <w:pPr>
        <w:ind w:firstLine="720"/>
        <w:contextualSpacing w:val="0"/>
      </w:pPr>
      <w:r>
        <w:rPr>
          <w:b/>
        </w:rPr>
        <w:t>WHEREAS</w:t>
      </w:r>
      <w:r>
        <w:t xml:space="preserve"> the Board of Directors of the Company (the “Board”) acting through the Compensation Committee determined, in connection with the execution of Henderson’s May 21, 2015 offer letter, that it w</w:t>
      </w:r>
      <w:r>
        <w:t>as in the best interests of PASSUR to enter into this Agreement.</w:t>
      </w:r>
    </w:p>
    <w:p w14:paraId="376A4498" w14:textId="77777777" w:rsidR="009D40F5" w:rsidRDefault="006D4FBD">
      <w:pPr>
        <w:ind w:firstLine="720"/>
        <w:contextualSpacing w:val="0"/>
      </w:pPr>
      <w:r>
        <w:t> </w:t>
      </w:r>
    </w:p>
    <w:p w14:paraId="02D654C3" w14:textId="77777777" w:rsidR="009D40F5" w:rsidRDefault="006D4FBD">
      <w:pPr>
        <w:ind w:firstLine="720"/>
        <w:contextualSpacing w:val="0"/>
      </w:pPr>
      <w:r>
        <w:rPr>
          <w:b/>
        </w:rPr>
        <w:t>NOW THEREFORE</w:t>
      </w:r>
      <w:r>
        <w:t xml:space="preserve"> for good and valuable consideration, the receipt and sufficiency of which are hereby acknowledged, PASSUR and Henderson agree as follows:</w:t>
      </w:r>
    </w:p>
    <w:p w14:paraId="737E72A3" w14:textId="77777777" w:rsidR="009D40F5" w:rsidRDefault="006D4FBD">
      <w:pPr>
        <w:ind w:firstLine="720"/>
        <w:contextualSpacing w:val="0"/>
      </w:pPr>
      <w:r>
        <w:t> </w:t>
      </w:r>
    </w:p>
    <w:tbl>
      <w:tblPr>
        <w:tblStyle w:val="a"/>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0"/>
        <w:gridCol w:w="400"/>
        <w:gridCol w:w="8560"/>
      </w:tblGrid>
      <w:tr w:rsidR="009D40F5" w14:paraId="2049A8B4" w14:textId="77777777">
        <w:tc>
          <w:tcPr>
            <w:tcW w:w="400" w:type="dxa"/>
            <w:shd w:val="clear" w:color="auto" w:fill="auto"/>
            <w:tcMar>
              <w:top w:w="0" w:type="dxa"/>
              <w:left w:w="0" w:type="dxa"/>
              <w:bottom w:w="0" w:type="dxa"/>
              <w:right w:w="0" w:type="dxa"/>
            </w:tcMar>
          </w:tcPr>
          <w:p w14:paraId="5500C117" w14:textId="77777777" w:rsidR="009D40F5" w:rsidRDefault="009D40F5">
            <w:pPr>
              <w:spacing w:line="276" w:lineRule="auto"/>
              <w:contextualSpacing w:val="0"/>
            </w:pPr>
          </w:p>
        </w:tc>
        <w:tc>
          <w:tcPr>
            <w:tcW w:w="400" w:type="dxa"/>
            <w:shd w:val="clear" w:color="auto" w:fill="auto"/>
            <w:tcMar>
              <w:top w:w="0" w:type="dxa"/>
              <w:left w:w="0" w:type="dxa"/>
              <w:bottom w:w="0" w:type="dxa"/>
              <w:right w:w="0" w:type="dxa"/>
            </w:tcMar>
          </w:tcPr>
          <w:p w14:paraId="18FC7316" w14:textId="77777777" w:rsidR="009D40F5" w:rsidRDefault="006D4FBD">
            <w:pPr>
              <w:contextualSpacing w:val="0"/>
              <w:rPr>
                <w:b/>
              </w:rPr>
            </w:pPr>
            <w:r>
              <w:rPr>
                <w:b/>
              </w:rPr>
              <w:t>1.</w:t>
            </w:r>
          </w:p>
        </w:tc>
        <w:tc>
          <w:tcPr>
            <w:tcW w:w="8560" w:type="dxa"/>
            <w:shd w:val="clear" w:color="auto" w:fill="auto"/>
            <w:tcMar>
              <w:top w:w="0" w:type="dxa"/>
              <w:left w:w="0" w:type="dxa"/>
              <w:bottom w:w="0" w:type="dxa"/>
              <w:right w:w="0" w:type="dxa"/>
            </w:tcMar>
          </w:tcPr>
          <w:p w14:paraId="27D7E3C4" w14:textId="77777777" w:rsidR="009D40F5" w:rsidRDefault="006D4FBD">
            <w:pPr>
              <w:contextualSpacing w:val="0"/>
              <w:rPr>
                <w:b/>
                <w:u w:val="single"/>
              </w:rPr>
            </w:pPr>
            <w:r>
              <w:rPr>
                <w:b/>
                <w:u w:val="single"/>
              </w:rPr>
              <w:t>Definitions</w:t>
            </w:r>
          </w:p>
        </w:tc>
      </w:tr>
    </w:tbl>
    <w:p w14:paraId="44D9B458" w14:textId="77777777" w:rsidR="009D40F5" w:rsidRDefault="006D4FBD">
      <w:pPr>
        <w:ind w:left="720"/>
        <w:contextualSpacing w:val="0"/>
        <w:rPr>
          <w:b/>
        </w:rPr>
      </w:pPr>
      <w:r>
        <w:rPr>
          <w:b/>
        </w:rPr>
        <w:t> </w:t>
      </w:r>
    </w:p>
    <w:tbl>
      <w:tblPr>
        <w:tblStyle w:val="a0"/>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400"/>
        <w:gridCol w:w="8240"/>
      </w:tblGrid>
      <w:tr w:rsidR="009D40F5" w14:paraId="1A36261A" w14:textId="77777777">
        <w:tc>
          <w:tcPr>
            <w:tcW w:w="720" w:type="dxa"/>
            <w:shd w:val="clear" w:color="auto" w:fill="auto"/>
            <w:tcMar>
              <w:top w:w="0" w:type="dxa"/>
              <w:left w:w="0" w:type="dxa"/>
              <w:bottom w:w="0" w:type="dxa"/>
              <w:right w:w="0" w:type="dxa"/>
            </w:tcMar>
          </w:tcPr>
          <w:p w14:paraId="6EE85B39" w14:textId="77777777" w:rsidR="009D40F5" w:rsidRDefault="009D40F5">
            <w:pPr>
              <w:spacing w:line="276" w:lineRule="auto"/>
              <w:contextualSpacing w:val="0"/>
              <w:rPr>
                <w:b/>
              </w:rPr>
            </w:pPr>
          </w:p>
        </w:tc>
        <w:tc>
          <w:tcPr>
            <w:tcW w:w="400" w:type="dxa"/>
            <w:shd w:val="clear" w:color="auto" w:fill="auto"/>
            <w:tcMar>
              <w:top w:w="0" w:type="dxa"/>
              <w:left w:w="0" w:type="dxa"/>
              <w:bottom w:w="0" w:type="dxa"/>
              <w:right w:w="0" w:type="dxa"/>
            </w:tcMar>
          </w:tcPr>
          <w:p w14:paraId="63008FF1" w14:textId="77777777" w:rsidR="009D40F5" w:rsidRDefault="006D4FBD">
            <w:pPr>
              <w:contextualSpacing w:val="0"/>
            </w:pPr>
            <w:r>
              <w:t>(a)</w:t>
            </w:r>
          </w:p>
        </w:tc>
        <w:tc>
          <w:tcPr>
            <w:tcW w:w="8240" w:type="dxa"/>
            <w:shd w:val="clear" w:color="auto" w:fill="auto"/>
            <w:tcMar>
              <w:top w:w="0" w:type="dxa"/>
              <w:left w:w="0" w:type="dxa"/>
              <w:bottom w:w="0" w:type="dxa"/>
              <w:right w:w="0" w:type="dxa"/>
            </w:tcMar>
          </w:tcPr>
          <w:p w14:paraId="279F02AB" w14:textId="77777777" w:rsidR="009D40F5" w:rsidRDefault="006D4FBD">
            <w:pPr>
              <w:contextualSpacing w:val="0"/>
              <w:jc w:val="both"/>
            </w:pPr>
            <w:r>
              <w:rPr>
                <w:u w:val="single"/>
              </w:rPr>
              <w:t>Cause</w:t>
            </w:r>
            <w:r>
              <w:t xml:space="preserve"> </w:t>
            </w:r>
            <w:proofErr w:type="gramStart"/>
            <w:r>
              <w:t>As</w:t>
            </w:r>
            <w:proofErr w:type="gramEnd"/>
            <w:r>
              <w:t xml:space="preserve"> used in this Agreement, “Cause” shall include: (</w:t>
            </w:r>
            <w:proofErr w:type="spellStart"/>
            <w:r>
              <w:t>i</w:t>
            </w:r>
            <w:proofErr w:type="spellEnd"/>
            <w:r>
              <w:t>) dishonesty with respect to PASSUR or any affiliate, parent or subsidiary of PASSUR; (ii) insubordination; (iii) malfeasance or nonfeasance of duty; (iv) unauthorized disclosure of confidential informat</w:t>
            </w:r>
            <w:r>
              <w:t xml:space="preserve">ion; (v) breach of any non-compete, confidentiality or similar agreement or obligation; or (vi) conduct prejudicial to the business of PASSUR or any affiliate, parent or subsidiary of PASSUR. The Board shall have sole discretion to determine the existence </w:t>
            </w:r>
            <w:r>
              <w:t xml:space="preserve">of “Cause,” and its determination will be conclusive on Henderson and PASSUR; provided that the Board may delegate its power to act under this paragraph (a) to a committee of the Board in which case the determination of such committee shall be conclusive. </w:t>
            </w:r>
            <w:r>
              <w:t>“Cause” is not limited to events which have occurred prior to the termination of Henderson’s service, nor is it necessary that the Board’s finding of “Cause” occur prior to such termination. If the Board determines, subsequent to Henderson’s termination of</w:t>
            </w:r>
            <w:r>
              <w:t xml:space="preserve"> service, that either prior or subsequent to Henderson’s termination Henderson engaged in conduct which would constitute “Cause,” then Henderson shall have no right to receive or retain any benefit or compensation under this Agreement.</w:t>
            </w:r>
          </w:p>
        </w:tc>
      </w:tr>
    </w:tbl>
    <w:p w14:paraId="2A606DF7" w14:textId="77777777" w:rsidR="009D40F5" w:rsidRDefault="006D4FBD">
      <w:pPr>
        <w:ind w:left="1080"/>
        <w:contextualSpacing w:val="0"/>
      </w:pPr>
      <w:r>
        <w:t> </w:t>
      </w:r>
    </w:p>
    <w:p w14:paraId="50677140" w14:textId="77777777" w:rsidR="009D40F5" w:rsidRDefault="009D40F5">
      <w:pPr>
        <w:spacing w:after="240"/>
        <w:ind w:left="1080"/>
        <w:contextualSpacing w:val="0"/>
      </w:pPr>
    </w:p>
    <w:p w14:paraId="2B7079E5" w14:textId="77777777" w:rsidR="009D40F5" w:rsidRDefault="009D40F5">
      <w:pPr>
        <w:spacing w:after="120"/>
        <w:contextualSpacing w:val="0"/>
      </w:pPr>
    </w:p>
    <w:p w14:paraId="15011146" w14:textId="77777777" w:rsidR="009D40F5" w:rsidRDefault="006D4FBD">
      <w:pPr>
        <w:contextualSpacing w:val="0"/>
      </w:pPr>
      <w:r>
        <w:t> </w:t>
      </w:r>
    </w:p>
    <w:p w14:paraId="65005E0E" w14:textId="77777777" w:rsidR="009D40F5" w:rsidRDefault="006D4FBD">
      <w:pPr>
        <w:spacing w:after="240"/>
        <w:contextualSpacing w:val="0"/>
      </w:pPr>
      <w:r>
        <w:lastRenderedPageBreak/>
        <w:pict w14:anchorId="4A459BA2">
          <v:rect id="_x0000_i1025" style="width:0;height:1.5pt" o:hralign="center" o:hrstd="t" o:hr="t" fillcolor="#a0a0a0" stroked="f"/>
        </w:pict>
      </w:r>
    </w:p>
    <w:p w14:paraId="5A251EB1" w14:textId="77777777" w:rsidR="009D40F5" w:rsidRDefault="006D4FBD">
      <w:pPr>
        <w:contextualSpacing w:val="0"/>
      </w:pPr>
      <w:r>
        <w:t> </w:t>
      </w:r>
    </w:p>
    <w:p w14:paraId="5D1763CF" w14:textId="77777777" w:rsidR="009D40F5" w:rsidRDefault="006D4FBD">
      <w:pPr>
        <w:ind w:left="1080"/>
        <w:contextualSpacing w:val="0"/>
      </w:pPr>
      <w:r>
        <w:t> </w:t>
      </w:r>
    </w:p>
    <w:tbl>
      <w:tblPr>
        <w:tblStyle w:val="a1"/>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400"/>
        <w:gridCol w:w="8240"/>
      </w:tblGrid>
      <w:tr w:rsidR="009D40F5" w14:paraId="74DA3435" w14:textId="77777777">
        <w:tc>
          <w:tcPr>
            <w:tcW w:w="720" w:type="dxa"/>
            <w:shd w:val="clear" w:color="auto" w:fill="auto"/>
            <w:tcMar>
              <w:top w:w="0" w:type="dxa"/>
              <w:left w:w="0" w:type="dxa"/>
              <w:bottom w:w="0" w:type="dxa"/>
              <w:right w:w="0" w:type="dxa"/>
            </w:tcMar>
          </w:tcPr>
          <w:p w14:paraId="655CF189" w14:textId="77777777" w:rsidR="009D40F5" w:rsidRDefault="009D40F5">
            <w:pPr>
              <w:spacing w:line="276" w:lineRule="auto"/>
              <w:contextualSpacing w:val="0"/>
            </w:pPr>
          </w:p>
        </w:tc>
        <w:tc>
          <w:tcPr>
            <w:tcW w:w="400" w:type="dxa"/>
            <w:shd w:val="clear" w:color="auto" w:fill="auto"/>
            <w:tcMar>
              <w:top w:w="0" w:type="dxa"/>
              <w:left w:w="0" w:type="dxa"/>
              <w:bottom w:w="0" w:type="dxa"/>
              <w:right w:w="0" w:type="dxa"/>
            </w:tcMar>
          </w:tcPr>
          <w:p w14:paraId="39AAFFD8" w14:textId="77777777" w:rsidR="009D40F5" w:rsidRDefault="006D4FBD">
            <w:pPr>
              <w:contextualSpacing w:val="0"/>
            </w:pPr>
            <w:r>
              <w:t>(b)</w:t>
            </w:r>
          </w:p>
        </w:tc>
        <w:tc>
          <w:tcPr>
            <w:tcW w:w="8240" w:type="dxa"/>
            <w:shd w:val="clear" w:color="auto" w:fill="auto"/>
            <w:tcMar>
              <w:top w:w="0" w:type="dxa"/>
              <w:left w:w="0" w:type="dxa"/>
              <w:bottom w:w="0" w:type="dxa"/>
              <w:right w:w="0" w:type="dxa"/>
            </w:tcMar>
          </w:tcPr>
          <w:p w14:paraId="7025CA99" w14:textId="77777777" w:rsidR="009D40F5" w:rsidRDefault="006D4FBD">
            <w:pPr>
              <w:contextualSpacing w:val="0"/>
              <w:jc w:val="both"/>
            </w:pPr>
            <w:r>
              <w:rPr>
                <w:u w:val="single"/>
              </w:rPr>
              <w:t>Change of Control</w:t>
            </w:r>
            <w:r>
              <w:t xml:space="preserve"> As used in this Agreement, a “Change of Control” shall mean the occurrence of any of the following events:</w:t>
            </w:r>
          </w:p>
        </w:tc>
      </w:tr>
    </w:tbl>
    <w:p w14:paraId="7211D35B" w14:textId="77777777" w:rsidR="009D40F5" w:rsidRDefault="006D4FBD">
      <w:pPr>
        <w:ind w:left="720"/>
        <w:contextualSpacing w:val="0"/>
        <w:jc w:val="both"/>
      </w:pPr>
      <w:r>
        <w:t> </w:t>
      </w:r>
    </w:p>
    <w:tbl>
      <w:tblPr>
        <w:tblStyle w:val="a2"/>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400"/>
        <w:gridCol w:w="6800"/>
      </w:tblGrid>
      <w:tr w:rsidR="009D40F5" w14:paraId="06E0D1FC" w14:textId="77777777">
        <w:tc>
          <w:tcPr>
            <w:tcW w:w="2160" w:type="dxa"/>
            <w:shd w:val="clear" w:color="auto" w:fill="auto"/>
            <w:tcMar>
              <w:top w:w="0" w:type="dxa"/>
              <w:left w:w="0" w:type="dxa"/>
              <w:bottom w:w="0" w:type="dxa"/>
              <w:right w:w="0" w:type="dxa"/>
            </w:tcMar>
          </w:tcPr>
          <w:p w14:paraId="30E63EE0" w14:textId="77777777" w:rsidR="009D40F5" w:rsidRDefault="009D40F5">
            <w:pPr>
              <w:spacing w:line="276" w:lineRule="auto"/>
              <w:contextualSpacing w:val="0"/>
            </w:pPr>
          </w:p>
        </w:tc>
        <w:tc>
          <w:tcPr>
            <w:tcW w:w="400" w:type="dxa"/>
            <w:shd w:val="clear" w:color="auto" w:fill="auto"/>
            <w:tcMar>
              <w:top w:w="0" w:type="dxa"/>
              <w:left w:w="0" w:type="dxa"/>
              <w:bottom w:w="0" w:type="dxa"/>
              <w:right w:w="0" w:type="dxa"/>
            </w:tcMar>
          </w:tcPr>
          <w:p w14:paraId="0C06D1BF" w14:textId="77777777" w:rsidR="009D40F5" w:rsidRDefault="006D4FBD">
            <w:pPr>
              <w:contextualSpacing w:val="0"/>
            </w:pPr>
            <w:r>
              <w:t>(</w:t>
            </w:r>
            <w:proofErr w:type="spellStart"/>
            <w:r>
              <w:t>i</w:t>
            </w:r>
            <w:proofErr w:type="spellEnd"/>
            <w:r>
              <w:t>)</w:t>
            </w:r>
          </w:p>
        </w:tc>
        <w:tc>
          <w:tcPr>
            <w:tcW w:w="6800" w:type="dxa"/>
            <w:shd w:val="clear" w:color="auto" w:fill="auto"/>
            <w:tcMar>
              <w:top w:w="0" w:type="dxa"/>
              <w:left w:w="0" w:type="dxa"/>
              <w:bottom w:w="0" w:type="dxa"/>
              <w:right w:w="0" w:type="dxa"/>
            </w:tcMar>
          </w:tcPr>
          <w:p w14:paraId="7CA952F7" w14:textId="77777777" w:rsidR="009D40F5" w:rsidRDefault="006D4FBD">
            <w:pPr>
              <w:contextualSpacing w:val="0"/>
              <w:jc w:val="both"/>
            </w:pPr>
            <w:r>
              <w:rPr>
                <w:u w:val="single"/>
              </w:rPr>
              <w:t>Ownership</w:t>
            </w:r>
            <w:r>
              <w:t xml:space="preserve"> Any “Person” (as such term is used in Sections 13(d) and 14(d) of the Securities Exchange Act of 1934, as amended) becomes the “Beneficial Owner” (as defined in Rule 13d-3 under said Act), directly or indirectly, of securities of PASSUR representing fifty</w:t>
            </w:r>
            <w:r>
              <w:t xml:space="preserve"> percent (50%) or more of the total voting power represented by PASSUR’s then outstanding voting securities (excluding for this purpose any such voting securities held by PASSUR, or any affiliate, parent or subsidiary of PASSUR, or by any employee benefit </w:t>
            </w:r>
            <w:r>
              <w:t>plan of PASSUR) pursuant to a transaction or a series of related transactions which the Board does not approve; or</w:t>
            </w:r>
          </w:p>
        </w:tc>
      </w:tr>
    </w:tbl>
    <w:p w14:paraId="79E45496" w14:textId="77777777" w:rsidR="009D40F5" w:rsidRDefault="006D4FBD">
      <w:pPr>
        <w:contextualSpacing w:val="0"/>
      </w:pPr>
      <w:r>
        <w:t> </w:t>
      </w:r>
    </w:p>
    <w:tbl>
      <w:tblPr>
        <w:tblStyle w:val="a3"/>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400"/>
        <w:gridCol w:w="6800"/>
      </w:tblGrid>
      <w:tr w:rsidR="009D40F5" w14:paraId="465B1395" w14:textId="77777777">
        <w:tc>
          <w:tcPr>
            <w:tcW w:w="2160" w:type="dxa"/>
            <w:shd w:val="clear" w:color="auto" w:fill="auto"/>
            <w:tcMar>
              <w:top w:w="0" w:type="dxa"/>
              <w:left w:w="0" w:type="dxa"/>
              <w:bottom w:w="0" w:type="dxa"/>
              <w:right w:w="0" w:type="dxa"/>
            </w:tcMar>
          </w:tcPr>
          <w:p w14:paraId="478DE67E" w14:textId="77777777" w:rsidR="009D40F5" w:rsidRDefault="009D40F5">
            <w:pPr>
              <w:spacing w:line="276" w:lineRule="auto"/>
              <w:contextualSpacing w:val="0"/>
            </w:pPr>
          </w:p>
        </w:tc>
        <w:tc>
          <w:tcPr>
            <w:tcW w:w="400" w:type="dxa"/>
            <w:shd w:val="clear" w:color="auto" w:fill="auto"/>
            <w:tcMar>
              <w:top w:w="0" w:type="dxa"/>
              <w:left w:w="0" w:type="dxa"/>
              <w:bottom w:w="0" w:type="dxa"/>
              <w:right w:w="0" w:type="dxa"/>
            </w:tcMar>
          </w:tcPr>
          <w:p w14:paraId="29D04E1C" w14:textId="77777777" w:rsidR="009D40F5" w:rsidRDefault="006D4FBD">
            <w:pPr>
              <w:contextualSpacing w:val="0"/>
            </w:pPr>
            <w:r>
              <w:t>(ii)</w:t>
            </w:r>
          </w:p>
        </w:tc>
        <w:tc>
          <w:tcPr>
            <w:tcW w:w="6800" w:type="dxa"/>
            <w:shd w:val="clear" w:color="auto" w:fill="auto"/>
            <w:tcMar>
              <w:top w:w="0" w:type="dxa"/>
              <w:left w:w="0" w:type="dxa"/>
              <w:bottom w:w="0" w:type="dxa"/>
              <w:right w:w="0" w:type="dxa"/>
            </w:tcMar>
          </w:tcPr>
          <w:p w14:paraId="375155F3" w14:textId="77777777" w:rsidR="009D40F5" w:rsidRDefault="006D4FBD">
            <w:pPr>
              <w:contextualSpacing w:val="0"/>
              <w:jc w:val="both"/>
            </w:pPr>
            <w:r>
              <w:rPr>
                <w:u w:val="single"/>
              </w:rPr>
              <w:t>Merger/Sale of Assets</w:t>
            </w:r>
            <w:r>
              <w:t xml:space="preserve"> (A) A merger or consolidation of PASSUR whether or not approved by the Board, other than a merger or consolidation which would result in the voting securities of PASSUR outstanding immediately prior thereto continuing to represent (either by remaining out</w:t>
            </w:r>
            <w:r>
              <w:t>standing or by being converted into voting securities of the surviving entity or the parent of such corporation) at least fifty percent (50%) of the total voting power represented by the voting securities of PASSUR or such surviving entity or parent of suc</w:t>
            </w:r>
            <w:r>
              <w:t>h corporation, as the case may be, outstanding immediately after such merger or consolidation; (B) or the stockholders of PASSUR approve an agreement for the sale or disposition by PASSUR of all or substantially all of PASSUR’s assets; or</w:t>
            </w:r>
          </w:p>
        </w:tc>
      </w:tr>
    </w:tbl>
    <w:p w14:paraId="2F0B1FD5" w14:textId="77777777" w:rsidR="009D40F5" w:rsidRDefault="006D4FBD">
      <w:pPr>
        <w:ind w:left="2340"/>
        <w:contextualSpacing w:val="0"/>
      </w:pPr>
      <w:r>
        <w:t> </w:t>
      </w:r>
    </w:p>
    <w:tbl>
      <w:tblPr>
        <w:tblStyle w:val="a4"/>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400"/>
        <w:gridCol w:w="6800"/>
      </w:tblGrid>
      <w:tr w:rsidR="009D40F5" w14:paraId="19EA31AC" w14:textId="77777777">
        <w:tc>
          <w:tcPr>
            <w:tcW w:w="2160" w:type="dxa"/>
            <w:shd w:val="clear" w:color="auto" w:fill="auto"/>
            <w:tcMar>
              <w:top w:w="0" w:type="dxa"/>
              <w:left w:w="0" w:type="dxa"/>
              <w:bottom w:w="0" w:type="dxa"/>
              <w:right w:w="0" w:type="dxa"/>
            </w:tcMar>
          </w:tcPr>
          <w:p w14:paraId="58D10D03" w14:textId="77777777" w:rsidR="009D40F5" w:rsidRDefault="009D40F5">
            <w:pPr>
              <w:spacing w:line="276" w:lineRule="auto"/>
              <w:contextualSpacing w:val="0"/>
            </w:pPr>
          </w:p>
        </w:tc>
        <w:tc>
          <w:tcPr>
            <w:tcW w:w="400" w:type="dxa"/>
            <w:shd w:val="clear" w:color="auto" w:fill="auto"/>
            <w:tcMar>
              <w:top w:w="0" w:type="dxa"/>
              <w:left w:w="0" w:type="dxa"/>
              <w:bottom w:w="0" w:type="dxa"/>
              <w:right w:w="0" w:type="dxa"/>
            </w:tcMar>
          </w:tcPr>
          <w:p w14:paraId="66ED15BD" w14:textId="77777777" w:rsidR="009D40F5" w:rsidRDefault="006D4FBD">
            <w:pPr>
              <w:contextualSpacing w:val="0"/>
            </w:pPr>
            <w:r>
              <w:t>(iii)</w:t>
            </w:r>
          </w:p>
        </w:tc>
        <w:tc>
          <w:tcPr>
            <w:tcW w:w="6800" w:type="dxa"/>
            <w:shd w:val="clear" w:color="auto" w:fill="auto"/>
            <w:tcMar>
              <w:top w:w="0" w:type="dxa"/>
              <w:left w:w="0" w:type="dxa"/>
              <w:bottom w:w="0" w:type="dxa"/>
              <w:right w:w="0" w:type="dxa"/>
            </w:tcMar>
          </w:tcPr>
          <w:p w14:paraId="3067D1D9" w14:textId="77777777" w:rsidR="009D40F5" w:rsidRDefault="006D4FBD">
            <w:pPr>
              <w:contextualSpacing w:val="0"/>
              <w:jc w:val="both"/>
            </w:pPr>
            <w:r>
              <w:rPr>
                <w:u w:val="single"/>
              </w:rPr>
              <w:t>Change in Board Composition</w:t>
            </w:r>
            <w:r>
              <w:t xml:space="preserve"> A change in the composition of the Board, as a result of which less than a majority of the directors are Incumbent Directors. “Incumbent Directors” shall mean directors who either (A) are directors of PASSUR as of the date of th</w:t>
            </w:r>
            <w:r>
              <w:t>is Agreement, or (B) are elected, or nominated for election, to the Board with the affirmative votes of at least a majority of Incumbent Directors, or by a committee of the Board made up of at least a majority of the Incumbent Directors, at the time of suc</w:t>
            </w:r>
            <w:r>
              <w:t>h election or nomination (but shall not include an individual whose election of nomination is in connection with an actual or threatened proxy contest relating to the election of directors to PASSUR).</w:t>
            </w:r>
          </w:p>
        </w:tc>
      </w:tr>
    </w:tbl>
    <w:p w14:paraId="48806408" w14:textId="77777777" w:rsidR="009D40F5" w:rsidRDefault="006D4FBD">
      <w:pPr>
        <w:ind w:left="2340"/>
        <w:contextualSpacing w:val="0"/>
      </w:pPr>
      <w:r>
        <w:t> </w:t>
      </w:r>
    </w:p>
    <w:tbl>
      <w:tblPr>
        <w:tblStyle w:val="a5"/>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400"/>
        <w:gridCol w:w="8240"/>
      </w:tblGrid>
      <w:tr w:rsidR="009D40F5" w14:paraId="6321AE2B" w14:textId="77777777">
        <w:tc>
          <w:tcPr>
            <w:tcW w:w="720" w:type="dxa"/>
            <w:shd w:val="clear" w:color="auto" w:fill="auto"/>
            <w:tcMar>
              <w:top w:w="0" w:type="dxa"/>
              <w:left w:w="0" w:type="dxa"/>
              <w:bottom w:w="0" w:type="dxa"/>
              <w:right w:w="0" w:type="dxa"/>
            </w:tcMar>
          </w:tcPr>
          <w:p w14:paraId="008A6ADD" w14:textId="77777777" w:rsidR="009D40F5" w:rsidRDefault="009D40F5">
            <w:pPr>
              <w:spacing w:line="276" w:lineRule="auto"/>
              <w:contextualSpacing w:val="0"/>
            </w:pPr>
          </w:p>
        </w:tc>
        <w:tc>
          <w:tcPr>
            <w:tcW w:w="400" w:type="dxa"/>
            <w:shd w:val="clear" w:color="auto" w:fill="auto"/>
            <w:tcMar>
              <w:top w:w="0" w:type="dxa"/>
              <w:left w:w="0" w:type="dxa"/>
              <w:bottom w:w="0" w:type="dxa"/>
              <w:right w:w="0" w:type="dxa"/>
            </w:tcMar>
          </w:tcPr>
          <w:p w14:paraId="59325F99" w14:textId="77777777" w:rsidR="009D40F5" w:rsidRDefault="006D4FBD">
            <w:pPr>
              <w:contextualSpacing w:val="0"/>
            </w:pPr>
            <w:r>
              <w:t>(c)</w:t>
            </w:r>
          </w:p>
        </w:tc>
        <w:tc>
          <w:tcPr>
            <w:tcW w:w="8240" w:type="dxa"/>
            <w:shd w:val="clear" w:color="auto" w:fill="auto"/>
            <w:tcMar>
              <w:top w:w="0" w:type="dxa"/>
              <w:left w:w="0" w:type="dxa"/>
              <w:bottom w:w="0" w:type="dxa"/>
              <w:right w:w="0" w:type="dxa"/>
            </w:tcMar>
          </w:tcPr>
          <w:p w14:paraId="7C8A5D13" w14:textId="77777777" w:rsidR="009D40F5" w:rsidRDefault="006D4FBD">
            <w:pPr>
              <w:contextualSpacing w:val="0"/>
              <w:jc w:val="both"/>
            </w:pPr>
            <w:r>
              <w:rPr>
                <w:u w:val="single"/>
              </w:rPr>
              <w:t>Good Reason</w:t>
            </w:r>
            <w:r>
              <w:t xml:space="preserve"> As used in this Agreement, “Good Reason” shall mean, after a change of control:</w:t>
            </w:r>
          </w:p>
        </w:tc>
      </w:tr>
    </w:tbl>
    <w:p w14:paraId="1E2382A9" w14:textId="77777777" w:rsidR="009D40F5" w:rsidRDefault="006D4FBD">
      <w:pPr>
        <w:ind w:left="1440"/>
        <w:contextualSpacing w:val="0"/>
        <w:jc w:val="both"/>
      </w:pPr>
      <w:r>
        <w:t> </w:t>
      </w:r>
    </w:p>
    <w:tbl>
      <w:tblPr>
        <w:tblStyle w:val="a6"/>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720"/>
        <w:gridCol w:w="5400"/>
      </w:tblGrid>
      <w:tr w:rsidR="009D40F5" w14:paraId="6834EFF0" w14:textId="77777777">
        <w:tc>
          <w:tcPr>
            <w:tcW w:w="3240" w:type="dxa"/>
            <w:shd w:val="clear" w:color="auto" w:fill="auto"/>
            <w:tcMar>
              <w:top w:w="0" w:type="dxa"/>
              <w:left w:w="0" w:type="dxa"/>
              <w:bottom w:w="0" w:type="dxa"/>
              <w:right w:w="0" w:type="dxa"/>
            </w:tcMar>
          </w:tcPr>
          <w:p w14:paraId="53585B78" w14:textId="77777777" w:rsidR="009D40F5" w:rsidRDefault="009D40F5">
            <w:pPr>
              <w:spacing w:line="276" w:lineRule="auto"/>
              <w:contextualSpacing w:val="0"/>
            </w:pPr>
          </w:p>
        </w:tc>
        <w:tc>
          <w:tcPr>
            <w:tcW w:w="720" w:type="dxa"/>
            <w:shd w:val="clear" w:color="auto" w:fill="auto"/>
            <w:tcMar>
              <w:top w:w="0" w:type="dxa"/>
              <w:left w:w="0" w:type="dxa"/>
              <w:bottom w:w="0" w:type="dxa"/>
              <w:right w:w="0" w:type="dxa"/>
            </w:tcMar>
          </w:tcPr>
          <w:p w14:paraId="7FB9EEC5" w14:textId="77777777" w:rsidR="009D40F5" w:rsidRDefault="006D4FBD">
            <w:pPr>
              <w:contextualSpacing w:val="0"/>
            </w:pPr>
            <w:r>
              <w:t>(</w:t>
            </w:r>
            <w:proofErr w:type="spellStart"/>
            <w:r>
              <w:t>i</w:t>
            </w:r>
            <w:proofErr w:type="spellEnd"/>
            <w:r>
              <w:t>)</w:t>
            </w:r>
          </w:p>
        </w:tc>
        <w:tc>
          <w:tcPr>
            <w:tcW w:w="5400" w:type="dxa"/>
            <w:shd w:val="clear" w:color="auto" w:fill="auto"/>
            <w:tcMar>
              <w:top w:w="0" w:type="dxa"/>
              <w:left w:w="0" w:type="dxa"/>
              <w:bottom w:w="0" w:type="dxa"/>
              <w:right w:w="0" w:type="dxa"/>
            </w:tcMar>
          </w:tcPr>
          <w:p w14:paraId="1B09F627" w14:textId="77777777" w:rsidR="009D40F5" w:rsidRDefault="006D4FBD">
            <w:pPr>
              <w:contextualSpacing w:val="0"/>
            </w:pPr>
            <w:r>
              <w:t xml:space="preserve">A material reduction of Henderson’s authority or responsibilities as compared, in each case as compared to Henderson’s authority or responsibilities on the date immediately preceding the Change of </w:t>
            </w:r>
            <w:r>
              <w:lastRenderedPageBreak/>
              <w:t>Control;</w:t>
            </w:r>
          </w:p>
        </w:tc>
      </w:tr>
    </w:tbl>
    <w:p w14:paraId="51E5A5C0" w14:textId="77777777" w:rsidR="009D40F5" w:rsidRDefault="006D4FBD">
      <w:pPr>
        <w:ind w:left="3240"/>
        <w:contextualSpacing w:val="0"/>
      </w:pPr>
      <w:r>
        <w:lastRenderedPageBreak/>
        <w:t> </w:t>
      </w:r>
    </w:p>
    <w:p w14:paraId="72148F3D" w14:textId="77777777" w:rsidR="009D40F5" w:rsidRDefault="009D40F5">
      <w:pPr>
        <w:ind w:left="3240"/>
        <w:contextualSpacing w:val="0"/>
      </w:pPr>
    </w:p>
    <w:tbl>
      <w:tblPr>
        <w:tblStyle w:val="a7"/>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720"/>
        <w:gridCol w:w="5400"/>
      </w:tblGrid>
      <w:tr w:rsidR="009D40F5" w14:paraId="185BF656" w14:textId="77777777">
        <w:tc>
          <w:tcPr>
            <w:tcW w:w="3240" w:type="dxa"/>
            <w:shd w:val="clear" w:color="auto" w:fill="auto"/>
            <w:tcMar>
              <w:top w:w="0" w:type="dxa"/>
              <w:left w:w="0" w:type="dxa"/>
              <w:bottom w:w="0" w:type="dxa"/>
              <w:right w:w="0" w:type="dxa"/>
            </w:tcMar>
          </w:tcPr>
          <w:p w14:paraId="19C804DC" w14:textId="77777777" w:rsidR="009D40F5" w:rsidRDefault="009D40F5">
            <w:pPr>
              <w:spacing w:line="276" w:lineRule="auto"/>
              <w:contextualSpacing w:val="0"/>
            </w:pPr>
          </w:p>
        </w:tc>
        <w:tc>
          <w:tcPr>
            <w:tcW w:w="720" w:type="dxa"/>
            <w:shd w:val="clear" w:color="auto" w:fill="auto"/>
            <w:tcMar>
              <w:top w:w="0" w:type="dxa"/>
              <w:left w:w="0" w:type="dxa"/>
              <w:bottom w:w="0" w:type="dxa"/>
              <w:right w:w="0" w:type="dxa"/>
            </w:tcMar>
          </w:tcPr>
          <w:p w14:paraId="296F1C67" w14:textId="77777777" w:rsidR="009D40F5" w:rsidRDefault="006D4FBD">
            <w:pPr>
              <w:contextualSpacing w:val="0"/>
            </w:pPr>
            <w:r>
              <w:t>(ii)</w:t>
            </w:r>
          </w:p>
        </w:tc>
        <w:tc>
          <w:tcPr>
            <w:tcW w:w="5400" w:type="dxa"/>
            <w:shd w:val="clear" w:color="auto" w:fill="auto"/>
            <w:tcMar>
              <w:top w:w="0" w:type="dxa"/>
              <w:left w:w="0" w:type="dxa"/>
              <w:bottom w:w="0" w:type="dxa"/>
              <w:right w:w="0" w:type="dxa"/>
            </w:tcMar>
          </w:tcPr>
          <w:p w14:paraId="26A162E7" w14:textId="77777777" w:rsidR="009D40F5" w:rsidRDefault="006D4FBD">
            <w:pPr>
              <w:contextualSpacing w:val="0"/>
            </w:pPr>
            <w:r>
              <w:t>A reduction of Henderson’s base salary or bonus earning potential not agreed to by Henderson as compared to Henderson’s base salary or bonus earning potential immediately prior to the Change of Control; or</w:t>
            </w:r>
          </w:p>
        </w:tc>
      </w:tr>
    </w:tbl>
    <w:p w14:paraId="1B06007C" w14:textId="77777777" w:rsidR="009D40F5" w:rsidRDefault="006D4FBD">
      <w:pPr>
        <w:ind w:left="3240"/>
        <w:contextualSpacing w:val="0"/>
      </w:pPr>
      <w:r>
        <w:t>  </w:t>
      </w:r>
    </w:p>
    <w:tbl>
      <w:tblPr>
        <w:tblStyle w:val="a8"/>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720"/>
        <w:gridCol w:w="5400"/>
      </w:tblGrid>
      <w:tr w:rsidR="009D40F5" w14:paraId="594B35D9" w14:textId="77777777">
        <w:tc>
          <w:tcPr>
            <w:tcW w:w="3240" w:type="dxa"/>
            <w:shd w:val="clear" w:color="auto" w:fill="auto"/>
            <w:tcMar>
              <w:top w:w="0" w:type="dxa"/>
              <w:left w:w="0" w:type="dxa"/>
              <w:bottom w:w="0" w:type="dxa"/>
              <w:right w:w="0" w:type="dxa"/>
            </w:tcMar>
          </w:tcPr>
          <w:p w14:paraId="504D5436" w14:textId="77777777" w:rsidR="009D40F5" w:rsidRDefault="009D40F5">
            <w:pPr>
              <w:spacing w:line="276" w:lineRule="auto"/>
              <w:contextualSpacing w:val="0"/>
            </w:pPr>
          </w:p>
        </w:tc>
        <w:tc>
          <w:tcPr>
            <w:tcW w:w="720" w:type="dxa"/>
            <w:shd w:val="clear" w:color="auto" w:fill="auto"/>
            <w:tcMar>
              <w:top w:w="0" w:type="dxa"/>
              <w:left w:w="0" w:type="dxa"/>
              <w:bottom w:w="0" w:type="dxa"/>
              <w:right w:w="0" w:type="dxa"/>
            </w:tcMar>
          </w:tcPr>
          <w:p w14:paraId="41A47A2D" w14:textId="77777777" w:rsidR="009D40F5" w:rsidRDefault="006D4FBD">
            <w:pPr>
              <w:contextualSpacing w:val="0"/>
            </w:pPr>
            <w:r>
              <w:t>(iii)</w:t>
            </w:r>
          </w:p>
        </w:tc>
        <w:tc>
          <w:tcPr>
            <w:tcW w:w="5400" w:type="dxa"/>
            <w:shd w:val="clear" w:color="auto" w:fill="auto"/>
            <w:tcMar>
              <w:top w:w="0" w:type="dxa"/>
              <w:left w:w="0" w:type="dxa"/>
              <w:bottom w:w="0" w:type="dxa"/>
              <w:right w:w="0" w:type="dxa"/>
            </w:tcMar>
          </w:tcPr>
          <w:p w14:paraId="5DEFF307" w14:textId="77777777" w:rsidR="009D40F5" w:rsidRDefault="006D4FBD">
            <w:pPr>
              <w:contextualSpacing w:val="0"/>
            </w:pPr>
            <w:r>
              <w:t>A change in the location of Henderson’s primary workplace to a location that is further from Henderson’s home than the location of Henderson’s primary workplace immediately prior to Change in Control.</w:t>
            </w:r>
          </w:p>
        </w:tc>
      </w:tr>
    </w:tbl>
    <w:p w14:paraId="355DABA9" w14:textId="77777777" w:rsidR="009D40F5" w:rsidRDefault="009D40F5">
      <w:pPr>
        <w:ind w:left="3240"/>
        <w:contextualSpacing w:val="0"/>
      </w:pPr>
    </w:p>
    <w:p w14:paraId="658F4676" w14:textId="77777777" w:rsidR="009D40F5" w:rsidRDefault="006D4FBD">
      <w:pPr>
        <w:ind w:left="3240"/>
        <w:contextualSpacing w:val="0"/>
      </w:pPr>
      <w:r>
        <w:t> </w:t>
      </w:r>
    </w:p>
    <w:p w14:paraId="448F156D" w14:textId="77777777" w:rsidR="009D40F5" w:rsidRDefault="009D40F5">
      <w:pPr>
        <w:spacing w:after="240"/>
        <w:ind w:left="3240"/>
        <w:contextualSpacing w:val="0"/>
      </w:pPr>
    </w:p>
    <w:p w14:paraId="4035DA67" w14:textId="77777777" w:rsidR="009D40F5" w:rsidRDefault="009D40F5">
      <w:pPr>
        <w:spacing w:after="120"/>
        <w:contextualSpacing w:val="0"/>
      </w:pPr>
    </w:p>
    <w:p w14:paraId="6D087928" w14:textId="77777777" w:rsidR="009D40F5" w:rsidRDefault="006D4FBD" w:rsidP="006D4FBD">
      <w:pPr>
        <w:contextualSpacing w:val="0"/>
        <w:rPr>
          <w:rFonts w:hint="eastAsia"/>
          <w:lang w:eastAsia="zh-CN"/>
        </w:rPr>
      </w:pPr>
      <w:r>
        <w:t> </w:t>
      </w:r>
    </w:p>
    <w:p w14:paraId="791CE844" w14:textId="77777777" w:rsidR="009D40F5" w:rsidRDefault="006D4FBD">
      <w:pPr>
        <w:contextualSpacing w:val="0"/>
      </w:pPr>
      <w:r>
        <w:t> </w:t>
      </w:r>
    </w:p>
    <w:p w14:paraId="650778E7" w14:textId="77777777" w:rsidR="009D40F5" w:rsidRDefault="006D4FBD">
      <w:pPr>
        <w:ind w:left="3240"/>
        <w:contextualSpacing w:val="0"/>
      </w:pPr>
      <w:r>
        <w:t> </w:t>
      </w:r>
    </w:p>
    <w:tbl>
      <w:tblPr>
        <w:tblStyle w:val="a9"/>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0"/>
        <w:gridCol w:w="400"/>
        <w:gridCol w:w="8560"/>
      </w:tblGrid>
      <w:tr w:rsidR="009D40F5" w14:paraId="715FAC4E" w14:textId="77777777">
        <w:tc>
          <w:tcPr>
            <w:tcW w:w="400" w:type="dxa"/>
            <w:shd w:val="clear" w:color="auto" w:fill="auto"/>
            <w:tcMar>
              <w:top w:w="0" w:type="dxa"/>
              <w:left w:w="0" w:type="dxa"/>
              <w:bottom w:w="0" w:type="dxa"/>
              <w:right w:w="0" w:type="dxa"/>
            </w:tcMar>
          </w:tcPr>
          <w:p w14:paraId="6AB62E07" w14:textId="77777777" w:rsidR="009D40F5" w:rsidRDefault="009D40F5">
            <w:pPr>
              <w:spacing w:line="276" w:lineRule="auto"/>
              <w:contextualSpacing w:val="0"/>
            </w:pPr>
          </w:p>
        </w:tc>
        <w:tc>
          <w:tcPr>
            <w:tcW w:w="400" w:type="dxa"/>
            <w:shd w:val="clear" w:color="auto" w:fill="auto"/>
            <w:tcMar>
              <w:top w:w="0" w:type="dxa"/>
              <w:left w:w="0" w:type="dxa"/>
              <w:bottom w:w="0" w:type="dxa"/>
              <w:right w:w="0" w:type="dxa"/>
            </w:tcMar>
          </w:tcPr>
          <w:p w14:paraId="6A10A2E6" w14:textId="77777777" w:rsidR="009D40F5" w:rsidRDefault="006D4FBD">
            <w:pPr>
              <w:contextualSpacing w:val="0"/>
              <w:rPr>
                <w:b/>
              </w:rPr>
            </w:pPr>
            <w:r>
              <w:rPr>
                <w:b/>
              </w:rPr>
              <w:t>2.</w:t>
            </w:r>
          </w:p>
        </w:tc>
        <w:tc>
          <w:tcPr>
            <w:tcW w:w="8560" w:type="dxa"/>
            <w:shd w:val="clear" w:color="auto" w:fill="auto"/>
            <w:tcMar>
              <w:top w:w="0" w:type="dxa"/>
              <w:left w:w="0" w:type="dxa"/>
              <w:bottom w:w="0" w:type="dxa"/>
              <w:right w:w="0" w:type="dxa"/>
            </w:tcMar>
          </w:tcPr>
          <w:p w14:paraId="1B464206" w14:textId="77777777" w:rsidR="009D40F5" w:rsidRDefault="006D4FBD">
            <w:pPr>
              <w:contextualSpacing w:val="0"/>
              <w:rPr>
                <w:b/>
                <w:u w:val="single"/>
              </w:rPr>
            </w:pPr>
            <w:r>
              <w:rPr>
                <w:b/>
                <w:u w:val="single"/>
              </w:rPr>
              <w:t>Change of Control Severance</w:t>
            </w:r>
          </w:p>
        </w:tc>
      </w:tr>
    </w:tbl>
    <w:p w14:paraId="7E621B27" w14:textId="77777777" w:rsidR="009D40F5" w:rsidRDefault="006D4FBD">
      <w:pPr>
        <w:ind w:left="720"/>
        <w:contextualSpacing w:val="0"/>
      </w:pPr>
      <w:r>
        <w:t> </w:t>
      </w:r>
    </w:p>
    <w:p w14:paraId="14B899E3" w14:textId="77777777" w:rsidR="009D40F5" w:rsidRDefault="006D4FBD">
      <w:pPr>
        <w:ind w:left="1440"/>
        <w:contextualSpacing w:val="0"/>
      </w:pPr>
      <w:r>
        <w:t>In the event that a Change of Control occurs and within a period of nine (9) months following the Change of Control, either:</w:t>
      </w:r>
    </w:p>
    <w:p w14:paraId="08F4508A" w14:textId="77777777" w:rsidR="009D40F5" w:rsidRDefault="006D4FBD">
      <w:pPr>
        <w:ind w:left="1440" w:firstLine="720"/>
        <w:contextualSpacing w:val="0"/>
      </w:pPr>
      <w:r>
        <w:t> </w:t>
      </w:r>
    </w:p>
    <w:p w14:paraId="1FC28504" w14:textId="77777777" w:rsidR="009D40F5" w:rsidRDefault="006D4FBD">
      <w:pPr>
        <w:ind w:left="1440" w:firstLine="720"/>
        <w:contextualSpacing w:val="0"/>
      </w:pPr>
      <w:r>
        <w:t>(a) Henderson’s employment is terminated by the succeeding company for any reason other than for Cause, or</w:t>
      </w:r>
    </w:p>
    <w:p w14:paraId="0475BDDA" w14:textId="77777777" w:rsidR="009D40F5" w:rsidRDefault="006D4FBD">
      <w:pPr>
        <w:ind w:left="1440" w:firstLine="720"/>
        <w:contextualSpacing w:val="0"/>
      </w:pPr>
      <w:r>
        <w:t> </w:t>
      </w:r>
    </w:p>
    <w:p w14:paraId="34010E0A" w14:textId="77777777" w:rsidR="009D40F5" w:rsidRDefault="006D4FBD">
      <w:pPr>
        <w:ind w:left="1440" w:firstLine="720"/>
        <w:contextualSpacing w:val="0"/>
      </w:pPr>
      <w:r>
        <w:t>(b) Henderson termin</w:t>
      </w:r>
      <w:r>
        <w:t>ates Henderson’s employment for Good Reason,</w:t>
      </w:r>
    </w:p>
    <w:p w14:paraId="2784782A" w14:textId="77777777" w:rsidR="009D40F5" w:rsidRDefault="006D4FBD">
      <w:pPr>
        <w:ind w:left="1440"/>
        <w:contextualSpacing w:val="0"/>
      </w:pPr>
      <w:r>
        <w:t> </w:t>
      </w:r>
    </w:p>
    <w:p w14:paraId="2002B7A1" w14:textId="77777777" w:rsidR="009D40F5" w:rsidRDefault="006D4FBD">
      <w:pPr>
        <w:ind w:left="1440"/>
        <w:contextualSpacing w:val="0"/>
      </w:pPr>
      <w:r>
        <w:t>then, subject to Henderson’s executing and permitting to take effect a full and general release of all claims against PASSUR and the succeeding company and all of its affiliates, parents or subsidiaries, and i</w:t>
      </w:r>
      <w:r>
        <w:t>ts and their officers, directors, employees, and agents, in a form satisfactory to PASSUR and the succeeding company, Henderson shall receive nine months’ base salary less all customary and required taxes, payable at PASSUR’s sole discretion, in a lump sum</w:t>
      </w:r>
      <w:r>
        <w:t xml:space="preserve"> or in installments in accordance with PASSUR’s normal payroll practices.</w:t>
      </w:r>
    </w:p>
    <w:p w14:paraId="234B6332" w14:textId="77777777" w:rsidR="009D40F5" w:rsidRDefault="006D4FBD">
      <w:pPr>
        <w:ind w:left="1440"/>
        <w:contextualSpacing w:val="0"/>
      </w:pPr>
      <w:r>
        <w:t> </w:t>
      </w:r>
    </w:p>
    <w:tbl>
      <w:tblPr>
        <w:tblStyle w:val="aa"/>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0"/>
        <w:gridCol w:w="400"/>
        <w:gridCol w:w="8560"/>
      </w:tblGrid>
      <w:tr w:rsidR="009D40F5" w14:paraId="3D984CFB" w14:textId="77777777">
        <w:tc>
          <w:tcPr>
            <w:tcW w:w="400" w:type="dxa"/>
            <w:shd w:val="clear" w:color="auto" w:fill="auto"/>
            <w:tcMar>
              <w:top w:w="0" w:type="dxa"/>
              <w:left w:w="0" w:type="dxa"/>
              <w:bottom w:w="0" w:type="dxa"/>
              <w:right w:w="0" w:type="dxa"/>
            </w:tcMar>
          </w:tcPr>
          <w:p w14:paraId="1E29487D" w14:textId="77777777" w:rsidR="009D40F5" w:rsidRDefault="009D40F5">
            <w:pPr>
              <w:spacing w:line="276" w:lineRule="auto"/>
              <w:contextualSpacing w:val="0"/>
            </w:pPr>
          </w:p>
        </w:tc>
        <w:tc>
          <w:tcPr>
            <w:tcW w:w="400" w:type="dxa"/>
            <w:shd w:val="clear" w:color="auto" w:fill="auto"/>
            <w:tcMar>
              <w:top w:w="0" w:type="dxa"/>
              <w:left w:w="0" w:type="dxa"/>
              <w:bottom w:w="0" w:type="dxa"/>
              <w:right w:w="0" w:type="dxa"/>
            </w:tcMar>
          </w:tcPr>
          <w:p w14:paraId="30CE964A" w14:textId="77777777" w:rsidR="009D40F5" w:rsidRDefault="006D4FBD">
            <w:pPr>
              <w:contextualSpacing w:val="0"/>
              <w:rPr>
                <w:b/>
              </w:rPr>
            </w:pPr>
            <w:r>
              <w:rPr>
                <w:b/>
              </w:rPr>
              <w:t>3.</w:t>
            </w:r>
          </w:p>
        </w:tc>
        <w:tc>
          <w:tcPr>
            <w:tcW w:w="8560" w:type="dxa"/>
            <w:shd w:val="clear" w:color="auto" w:fill="auto"/>
            <w:tcMar>
              <w:top w:w="0" w:type="dxa"/>
              <w:left w:w="0" w:type="dxa"/>
              <w:bottom w:w="0" w:type="dxa"/>
              <w:right w:w="0" w:type="dxa"/>
            </w:tcMar>
          </w:tcPr>
          <w:p w14:paraId="0068552D" w14:textId="77777777" w:rsidR="009D40F5" w:rsidRDefault="006D4FBD">
            <w:pPr>
              <w:contextualSpacing w:val="0"/>
              <w:rPr>
                <w:b/>
                <w:u w:val="single"/>
              </w:rPr>
            </w:pPr>
            <w:r>
              <w:rPr>
                <w:b/>
                <w:u w:val="single"/>
              </w:rPr>
              <w:t>No Impact On Employment Status</w:t>
            </w:r>
          </w:p>
        </w:tc>
      </w:tr>
    </w:tbl>
    <w:p w14:paraId="16CE046A" w14:textId="77777777" w:rsidR="009D40F5" w:rsidRDefault="006D4FBD">
      <w:pPr>
        <w:ind w:left="720"/>
        <w:contextualSpacing w:val="0"/>
      </w:pPr>
      <w:r>
        <w:t> </w:t>
      </w:r>
    </w:p>
    <w:p w14:paraId="788C2674" w14:textId="77777777" w:rsidR="009D40F5" w:rsidRDefault="006D4FBD">
      <w:pPr>
        <w:ind w:left="1440"/>
        <w:contextualSpacing w:val="0"/>
      </w:pPr>
      <w:r>
        <w:t>This Agreement is not intended to confer, and shall not be interpreted as conferring, any additional employment rights on Henderson, and has no impact on either party’s right to terminate Henderson’s employment under contract or applicable law.</w:t>
      </w:r>
    </w:p>
    <w:p w14:paraId="33AC2913" w14:textId="77777777" w:rsidR="009D40F5" w:rsidRDefault="006D4FBD">
      <w:pPr>
        <w:ind w:left="1440"/>
        <w:contextualSpacing w:val="0"/>
      </w:pPr>
      <w:r>
        <w:t> </w:t>
      </w:r>
    </w:p>
    <w:tbl>
      <w:tblPr>
        <w:tblStyle w:val="ab"/>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0"/>
        <w:gridCol w:w="400"/>
        <w:gridCol w:w="8560"/>
      </w:tblGrid>
      <w:tr w:rsidR="009D40F5" w14:paraId="1207F3E6" w14:textId="77777777">
        <w:tc>
          <w:tcPr>
            <w:tcW w:w="400" w:type="dxa"/>
            <w:shd w:val="clear" w:color="auto" w:fill="auto"/>
            <w:tcMar>
              <w:top w:w="0" w:type="dxa"/>
              <w:left w:w="0" w:type="dxa"/>
              <w:bottom w:w="0" w:type="dxa"/>
              <w:right w:w="0" w:type="dxa"/>
            </w:tcMar>
          </w:tcPr>
          <w:p w14:paraId="6EB09E55" w14:textId="77777777" w:rsidR="009D40F5" w:rsidRDefault="009D40F5">
            <w:pPr>
              <w:spacing w:line="276" w:lineRule="auto"/>
              <w:contextualSpacing w:val="0"/>
            </w:pPr>
          </w:p>
        </w:tc>
        <w:tc>
          <w:tcPr>
            <w:tcW w:w="400" w:type="dxa"/>
            <w:shd w:val="clear" w:color="auto" w:fill="auto"/>
            <w:tcMar>
              <w:top w:w="0" w:type="dxa"/>
              <w:left w:w="0" w:type="dxa"/>
              <w:bottom w:w="0" w:type="dxa"/>
              <w:right w:w="0" w:type="dxa"/>
            </w:tcMar>
          </w:tcPr>
          <w:p w14:paraId="08B71A51" w14:textId="77777777" w:rsidR="009D40F5" w:rsidRDefault="006D4FBD">
            <w:pPr>
              <w:contextualSpacing w:val="0"/>
              <w:rPr>
                <w:b/>
              </w:rPr>
            </w:pPr>
            <w:r>
              <w:rPr>
                <w:b/>
              </w:rPr>
              <w:t>4.</w:t>
            </w:r>
          </w:p>
        </w:tc>
        <w:tc>
          <w:tcPr>
            <w:tcW w:w="8560" w:type="dxa"/>
            <w:shd w:val="clear" w:color="auto" w:fill="auto"/>
            <w:tcMar>
              <w:top w:w="0" w:type="dxa"/>
              <w:left w:w="0" w:type="dxa"/>
              <w:bottom w:w="0" w:type="dxa"/>
              <w:right w:w="0" w:type="dxa"/>
            </w:tcMar>
          </w:tcPr>
          <w:p w14:paraId="73795D94" w14:textId="77777777" w:rsidR="009D40F5" w:rsidRDefault="006D4FBD">
            <w:pPr>
              <w:contextualSpacing w:val="0"/>
              <w:rPr>
                <w:b/>
                <w:u w:val="single"/>
              </w:rPr>
            </w:pPr>
            <w:r>
              <w:rPr>
                <w:b/>
                <w:u w:val="single"/>
              </w:rPr>
              <w:t>Entire Agreement / No Duplication of Compensation or Benefits</w:t>
            </w:r>
          </w:p>
        </w:tc>
      </w:tr>
    </w:tbl>
    <w:p w14:paraId="56247F37" w14:textId="77777777" w:rsidR="009D40F5" w:rsidRDefault="006D4FBD">
      <w:pPr>
        <w:ind w:left="720"/>
        <w:contextualSpacing w:val="0"/>
      </w:pPr>
      <w:r>
        <w:t> </w:t>
      </w:r>
    </w:p>
    <w:p w14:paraId="513157D1" w14:textId="77777777" w:rsidR="009D40F5" w:rsidRDefault="006D4FBD">
      <w:pPr>
        <w:ind w:left="1440"/>
        <w:contextualSpacing w:val="0"/>
      </w:pPr>
      <w:r>
        <w:lastRenderedPageBreak/>
        <w:t>This Agreement contains the entire agreement between PASSUR and Henderson with respect to the subject matter of this Agreement and supersedes all prior oral or written agreements, understandings and representations relating to the subject matter of this Ag</w:t>
      </w:r>
      <w:r>
        <w:t>reement. No statement, representation, warranty, covenant or agreement of any kind not expressly set forth in this Agreement shall affect, or be used to interpret, change or restrict, the express terms and provisions of this Agreement. The terms of this Ag</w:t>
      </w:r>
      <w:r>
        <w:t xml:space="preserve">reement shall replace any agreement, policy or practice which otherwise would obligate PASSUR to provide any severance compensation to Henderson, </w:t>
      </w:r>
      <w:r>
        <w:rPr>
          <w:i/>
        </w:rPr>
        <w:t xml:space="preserve">provided </w:t>
      </w:r>
      <w:r>
        <w:t xml:space="preserve">that this Agreement shall not be construed to limit </w:t>
      </w:r>
      <w:r>
        <w:rPr>
          <w:i/>
        </w:rPr>
        <w:t>otherwise</w:t>
      </w:r>
      <w:r>
        <w:t xml:space="preserve"> Henderson’s rights, if any, to payments</w:t>
      </w:r>
      <w:r>
        <w:t xml:space="preserve"> or benefits under any pension plan, deferred compensation, stock, stock option or similar plan sponsored by PASSUR.</w:t>
      </w:r>
    </w:p>
    <w:p w14:paraId="6D02C9E9" w14:textId="77777777" w:rsidR="009D40F5" w:rsidRDefault="006D4FBD">
      <w:pPr>
        <w:ind w:left="1440"/>
        <w:contextualSpacing w:val="0"/>
      </w:pPr>
      <w:r>
        <w:t> </w:t>
      </w:r>
    </w:p>
    <w:tbl>
      <w:tblPr>
        <w:tblStyle w:val="ac"/>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0"/>
        <w:gridCol w:w="400"/>
        <w:gridCol w:w="8560"/>
      </w:tblGrid>
      <w:tr w:rsidR="009D40F5" w14:paraId="6E74C635" w14:textId="77777777">
        <w:tc>
          <w:tcPr>
            <w:tcW w:w="400" w:type="dxa"/>
            <w:shd w:val="clear" w:color="auto" w:fill="auto"/>
            <w:tcMar>
              <w:top w:w="0" w:type="dxa"/>
              <w:left w:w="0" w:type="dxa"/>
              <w:bottom w:w="0" w:type="dxa"/>
              <w:right w:w="0" w:type="dxa"/>
            </w:tcMar>
          </w:tcPr>
          <w:p w14:paraId="1F08D972" w14:textId="77777777" w:rsidR="009D40F5" w:rsidRDefault="009D40F5">
            <w:pPr>
              <w:spacing w:line="276" w:lineRule="auto"/>
              <w:contextualSpacing w:val="0"/>
            </w:pPr>
          </w:p>
        </w:tc>
        <w:tc>
          <w:tcPr>
            <w:tcW w:w="400" w:type="dxa"/>
            <w:shd w:val="clear" w:color="auto" w:fill="auto"/>
            <w:tcMar>
              <w:top w:w="0" w:type="dxa"/>
              <w:left w:w="0" w:type="dxa"/>
              <w:bottom w:w="0" w:type="dxa"/>
              <w:right w:w="0" w:type="dxa"/>
            </w:tcMar>
          </w:tcPr>
          <w:p w14:paraId="318AB02C" w14:textId="77777777" w:rsidR="009D40F5" w:rsidRDefault="006D4FBD">
            <w:pPr>
              <w:contextualSpacing w:val="0"/>
              <w:rPr>
                <w:b/>
              </w:rPr>
            </w:pPr>
            <w:r>
              <w:rPr>
                <w:b/>
              </w:rPr>
              <w:t>5.</w:t>
            </w:r>
          </w:p>
        </w:tc>
        <w:tc>
          <w:tcPr>
            <w:tcW w:w="8560" w:type="dxa"/>
            <w:shd w:val="clear" w:color="auto" w:fill="auto"/>
            <w:tcMar>
              <w:top w:w="0" w:type="dxa"/>
              <w:left w:w="0" w:type="dxa"/>
              <w:bottom w:w="0" w:type="dxa"/>
              <w:right w:w="0" w:type="dxa"/>
            </w:tcMar>
          </w:tcPr>
          <w:p w14:paraId="309565F2" w14:textId="77777777" w:rsidR="009D40F5" w:rsidRDefault="006D4FBD">
            <w:pPr>
              <w:contextualSpacing w:val="0"/>
              <w:rPr>
                <w:b/>
                <w:u w:val="single"/>
              </w:rPr>
            </w:pPr>
            <w:r>
              <w:rPr>
                <w:b/>
                <w:u w:val="single"/>
              </w:rPr>
              <w:t>Modifications and Amendments</w:t>
            </w:r>
          </w:p>
        </w:tc>
      </w:tr>
    </w:tbl>
    <w:p w14:paraId="10E4E288" w14:textId="77777777" w:rsidR="009D40F5" w:rsidRDefault="006D4FBD">
      <w:pPr>
        <w:ind w:left="720"/>
        <w:contextualSpacing w:val="0"/>
        <w:rPr>
          <w:b/>
        </w:rPr>
      </w:pPr>
      <w:r>
        <w:rPr>
          <w:b/>
        </w:rPr>
        <w:t> </w:t>
      </w:r>
    </w:p>
    <w:p w14:paraId="37D337E0" w14:textId="77777777" w:rsidR="009D40F5" w:rsidRDefault="006D4FBD">
      <w:pPr>
        <w:ind w:left="1440"/>
        <w:contextualSpacing w:val="0"/>
      </w:pPr>
      <w:r>
        <w:t>The terms and provisions of this Agreement may be modified or amended only by written agreement executed by PASSUR and Henderson.</w:t>
      </w:r>
    </w:p>
    <w:tbl>
      <w:tblPr>
        <w:tblStyle w:val="ad"/>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0"/>
        <w:gridCol w:w="400"/>
        <w:gridCol w:w="8560"/>
      </w:tblGrid>
      <w:tr w:rsidR="009D40F5" w14:paraId="443F777C" w14:textId="77777777">
        <w:tc>
          <w:tcPr>
            <w:tcW w:w="400" w:type="dxa"/>
            <w:shd w:val="clear" w:color="auto" w:fill="auto"/>
            <w:tcMar>
              <w:top w:w="0" w:type="dxa"/>
              <w:left w:w="0" w:type="dxa"/>
              <w:bottom w:w="0" w:type="dxa"/>
              <w:right w:w="0" w:type="dxa"/>
            </w:tcMar>
          </w:tcPr>
          <w:p w14:paraId="3D135641" w14:textId="77777777" w:rsidR="009D40F5" w:rsidRDefault="009D40F5">
            <w:pPr>
              <w:spacing w:line="276" w:lineRule="auto"/>
              <w:contextualSpacing w:val="0"/>
            </w:pPr>
          </w:p>
        </w:tc>
        <w:tc>
          <w:tcPr>
            <w:tcW w:w="400" w:type="dxa"/>
            <w:shd w:val="clear" w:color="auto" w:fill="auto"/>
            <w:tcMar>
              <w:top w:w="0" w:type="dxa"/>
              <w:left w:w="0" w:type="dxa"/>
              <w:bottom w:w="0" w:type="dxa"/>
              <w:right w:w="0" w:type="dxa"/>
            </w:tcMar>
          </w:tcPr>
          <w:p w14:paraId="29E0D933" w14:textId="77777777" w:rsidR="009D40F5" w:rsidRDefault="006D4FBD">
            <w:pPr>
              <w:contextualSpacing w:val="0"/>
              <w:rPr>
                <w:b/>
              </w:rPr>
            </w:pPr>
            <w:r>
              <w:rPr>
                <w:b/>
              </w:rPr>
              <w:t>6.</w:t>
            </w:r>
          </w:p>
        </w:tc>
        <w:tc>
          <w:tcPr>
            <w:tcW w:w="8560" w:type="dxa"/>
            <w:shd w:val="clear" w:color="auto" w:fill="auto"/>
            <w:tcMar>
              <w:top w:w="0" w:type="dxa"/>
              <w:left w:w="0" w:type="dxa"/>
              <w:bottom w:w="0" w:type="dxa"/>
              <w:right w:w="0" w:type="dxa"/>
            </w:tcMar>
          </w:tcPr>
          <w:p w14:paraId="31F94E59" w14:textId="77777777" w:rsidR="009D40F5" w:rsidRDefault="006D4FBD">
            <w:pPr>
              <w:contextualSpacing w:val="0"/>
              <w:rPr>
                <w:b/>
                <w:u w:val="single"/>
              </w:rPr>
            </w:pPr>
            <w:r>
              <w:rPr>
                <w:b/>
                <w:u w:val="single"/>
              </w:rPr>
              <w:t>Governing Law</w:t>
            </w:r>
          </w:p>
        </w:tc>
      </w:tr>
    </w:tbl>
    <w:p w14:paraId="51D7B101" w14:textId="77777777" w:rsidR="009D40F5" w:rsidRDefault="006D4FBD">
      <w:pPr>
        <w:ind w:left="720"/>
        <w:contextualSpacing w:val="0"/>
        <w:rPr>
          <w:b/>
        </w:rPr>
      </w:pPr>
      <w:r>
        <w:rPr>
          <w:b/>
        </w:rPr>
        <w:t> </w:t>
      </w:r>
    </w:p>
    <w:p w14:paraId="5AAE4ED9" w14:textId="77777777" w:rsidR="009D40F5" w:rsidRDefault="006D4FBD">
      <w:pPr>
        <w:ind w:left="1440"/>
        <w:contextualSpacing w:val="0"/>
      </w:pPr>
      <w:r>
        <w:t>This Agreement shall be construed in accordance with and governed by the law of the State of Connecticut, without giving effect to the conflict of law principles thereof.</w:t>
      </w:r>
    </w:p>
    <w:p w14:paraId="6C13D2B7" w14:textId="77777777" w:rsidR="009D40F5" w:rsidRDefault="006D4FBD">
      <w:pPr>
        <w:ind w:left="1440"/>
        <w:contextualSpacing w:val="0"/>
      </w:pPr>
      <w:r>
        <w:t> </w:t>
      </w:r>
    </w:p>
    <w:p w14:paraId="4F87A84C" w14:textId="77777777" w:rsidR="009D40F5" w:rsidRDefault="009D40F5">
      <w:pPr>
        <w:spacing w:after="240"/>
        <w:ind w:left="1440"/>
        <w:contextualSpacing w:val="0"/>
      </w:pPr>
    </w:p>
    <w:p w14:paraId="22504227" w14:textId="77777777" w:rsidR="009D40F5" w:rsidRDefault="009D40F5">
      <w:pPr>
        <w:spacing w:after="120"/>
        <w:contextualSpacing w:val="0"/>
      </w:pPr>
    </w:p>
    <w:p w14:paraId="7C06A423" w14:textId="77777777" w:rsidR="009D40F5" w:rsidRDefault="006D4FBD">
      <w:pPr>
        <w:contextualSpacing w:val="0"/>
      </w:pPr>
      <w:r>
        <w:t> </w:t>
      </w:r>
    </w:p>
    <w:p w14:paraId="25D3C7FB" w14:textId="77777777" w:rsidR="009D40F5" w:rsidRDefault="009D40F5">
      <w:pPr>
        <w:spacing w:after="240"/>
        <w:contextualSpacing w:val="0"/>
      </w:pPr>
    </w:p>
    <w:p w14:paraId="48ABA600" w14:textId="77777777" w:rsidR="009D40F5" w:rsidRDefault="006D4FBD">
      <w:pPr>
        <w:contextualSpacing w:val="0"/>
      </w:pPr>
      <w:r>
        <w:t> </w:t>
      </w:r>
    </w:p>
    <w:p w14:paraId="7C0C2237" w14:textId="77777777" w:rsidR="009D40F5" w:rsidRDefault="006D4FBD">
      <w:pPr>
        <w:ind w:left="1440"/>
        <w:contextualSpacing w:val="0"/>
      </w:pPr>
      <w:r>
        <w:t>  </w:t>
      </w:r>
    </w:p>
    <w:p w14:paraId="78899E79" w14:textId="77777777" w:rsidR="009D40F5" w:rsidRDefault="006D4FBD">
      <w:pPr>
        <w:ind w:firstLine="720"/>
        <w:contextualSpacing w:val="0"/>
      </w:pPr>
      <w:r>
        <w:t>IN WITNESS WHEREOF, the parties have executed this Agreement as of the d</w:t>
      </w:r>
      <w:r>
        <w:t>ay and year firs above written.</w:t>
      </w:r>
    </w:p>
    <w:p w14:paraId="529189F5" w14:textId="77777777" w:rsidR="009D40F5" w:rsidRDefault="006D4FBD">
      <w:pPr>
        <w:ind w:firstLine="720"/>
        <w:contextualSpacing w:val="0"/>
      </w:pPr>
      <w:r>
        <w:t> </w:t>
      </w:r>
    </w:p>
    <w:p w14:paraId="34665B8A" w14:textId="77777777" w:rsidR="009D40F5" w:rsidRDefault="006D4FBD">
      <w:pPr>
        <w:ind w:firstLine="720"/>
        <w:contextualSpacing w:val="0"/>
      </w:pPr>
      <w:r>
        <w:t> </w:t>
      </w:r>
    </w:p>
    <w:p w14:paraId="55D28750" w14:textId="77777777" w:rsidR="009D40F5" w:rsidRDefault="009D40F5">
      <w:pPr>
        <w:ind w:firstLine="720"/>
        <w:contextualSpacing w:val="0"/>
      </w:pPr>
    </w:p>
    <w:tbl>
      <w:tblPr>
        <w:tblStyle w:val="ae"/>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
        <w:gridCol w:w="4212"/>
      </w:tblGrid>
      <w:tr w:rsidR="009D40F5" w14:paraId="732A3C15" w14:textId="77777777">
        <w:tc>
          <w:tcPr>
            <w:tcW w:w="4680" w:type="dxa"/>
            <w:shd w:val="clear" w:color="auto" w:fill="auto"/>
            <w:tcMar>
              <w:top w:w="0" w:type="dxa"/>
              <w:left w:w="0" w:type="dxa"/>
              <w:bottom w:w="0" w:type="dxa"/>
              <w:right w:w="0" w:type="dxa"/>
            </w:tcMar>
          </w:tcPr>
          <w:p w14:paraId="089DDB29" w14:textId="77777777" w:rsidR="009D40F5" w:rsidRDefault="006D4FBD">
            <w:pPr>
              <w:contextualSpacing w:val="0"/>
            </w:pPr>
            <w:r>
              <w:t> </w:t>
            </w:r>
          </w:p>
        </w:tc>
        <w:tc>
          <w:tcPr>
            <w:tcW w:w="4680" w:type="dxa"/>
            <w:gridSpan w:val="2"/>
            <w:shd w:val="clear" w:color="auto" w:fill="auto"/>
            <w:tcMar>
              <w:top w:w="0" w:type="dxa"/>
              <w:left w:w="0" w:type="dxa"/>
              <w:bottom w:w="0" w:type="dxa"/>
              <w:right w:w="0" w:type="dxa"/>
            </w:tcMar>
          </w:tcPr>
          <w:p w14:paraId="2AED783B" w14:textId="77777777" w:rsidR="009D40F5" w:rsidRDefault="006D4FBD">
            <w:pPr>
              <w:contextualSpacing w:val="0"/>
            </w:pPr>
            <w:r>
              <w:t>PASSUR AEROSPACE, INC.</w:t>
            </w:r>
          </w:p>
        </w:tc>
      </w:tr>
      <w:tr w:rsidR="009D40F5" w14:paraId="530E0DAF" w14:textId="77777777">
        <w:tc>
          <w:tcPr>
            <w:tcW w:w="4680" w:type="dxa"/>
            <w:shd w:val="clear" w:color="auto" w:fill="auto"/>
            <w:tcMar>
              <w:top w:w="0" w:type="dxa"/>
              <w:left w:w="0" w:type="dxa"/>
              <w:bottom w:w="0" w:type="dxa"/>
              <w:right w:w="0" w:type="dxa"/>
            </w:tcMar>
          </w:tcPr>
          <w:p w14:paraId="364FEADD" w14:textId="77777777" w:rsidR="009D40F5" w:rsidRDefault="006D4FBD">
            <w:pPr>
              <w:contextualSpacing w:val="0"/>
            </w:pPr>
            <w:r>
              <w:t> </w:t>
            </w:r>
          </w:p>
        </w:tc>
        <w:tc>
          <w:tcPr>
            <w:tcW w:w="468" w:type="dxa"/>
            <w:shd w:val="clear" w:color="auto" w:fill="auto"/>
            <w:tcMar>
              <w:top w:w="0" w:type="dxa"/>
              <w:left w:w="0" w:type="dxa"/>
              <w:bottom w:w="0" w:type="dxa"/>
              <w:right w:w="0" w:type="dxa"/>
            </w:tcMar>
          </w:tcPr>
          <w:p w14:paraId="32F1F63B" w14:textId="77777777" w:rsidR="009D40F5" w:rsidRDefault="006D4FBD">
            <w:pPr>
              <w:contextualSpacing w:val="0"/>
            </w:pPr>
            <w:r>
              <w:t> </w:t>
            </w:r>
          </w:p>
        </w:tc>
        <w:tc>
          <w:tcPr>
            <w:tcW w:w="4212" w:type="dxa"/>
            <w:shd w:val="clear" w:color="auto" w:fill="auto"/>
            <w:tcMar>
              <w:top w:w="0" w:type="dxa"/>
              <w:left w:w="0" w:type="dxa"/>
              <w:bottom w:w="0" w:type="dxa"/>
              <w:right w:w="0" w:type="dxa"/>
            </w:tcMar>
          </w:tcPr>
          <w:p w14:paraId="077FF607" w14:textId="77777777" w:rsidR="009D40F5" w:rsidRDefault="006D4FBD">
            <w:pPr>
              <w:contextualSpacing w:val="0"/>
            </w:pPr>
            <w:r>
              <w:t> </w:t>
            </w:r>
          </w:p>
        </w:tc>
      </w:tr>
      <w:tr w:rsidR="009D40F5" w14:paraId="33176D57" w14:textId="77777777">
        <w:tc>
          <w:tcPr>
            <w:tcW w:w="4680" w:type="dxa"/>
            <w:shd w:val="clear" w:color="auto" w:fill="auto"/>
            <w:tcMar>
              <w:top w:w="0" w:type="dxa"/>
              <w:left w:w="0" w:type="dxa"/>
              <w:bottom w:w="0" w:type="dxa"/>
              <w:right w:w="0" w:type="dxa"/>
            </w:tcMar>
          </w:tcPr>
          <w:p w14:paraId="5D2FD3AE" w14:textId="77777777" w:rsidR="009D40F5" w:rsidRDefault="006D4FBD">
            <w:pPr>
              <w:contextualSpacing w:val="0"/>
            </w:pPr>
            <w:r>
              <w:t> </w:t>
            </w:r>
          </w:p>
        </w:tc>
        <w:tc>
          <w:tcPr>
            <w:tcW w:w="468" w:type="dxa"/>
            <w:shd w:val="clear" w:color="auto" w:fill="auto"/>
            <w:tcMar>
              <w:top w:w="0" w:type="dxa"/>
              <w:left w:w="0" w:type="dxa"/>
              <w:bottom w:w="0" w:type="dxa"/>
              <w:right w:w="0" w:type="dxa"/>
            </w:tcMar>
          </w:tcPr>
          <w:p w14:paraId="0ED8A3A3" w14:textId="77777777" w:rsidR="009D40F5" w:rsidRDefault="006D4FBD">
            <w:pPr>
              <w:contextualSpacing w:val="0"/>
            </w:pPr>
            <w:r>
              <w:t>By:</w:t>
            </w:r>
          </w:p>
        </w:tc>
        <w:tc>
          <w:tcPr>
            <w:tcW w:w="4212" w:type="dxa"/>
            <w:shd w:val="clear" w:color="auto" w:fill="auto"/>
            <w:tcMar>
              <w:top w:w="0" w:type="dxa"/>
              <w:left w:w="0" w:type="dxa"/>
              <w:bottom w:w="0" w:type="dxa"/>
              <w:right w:w="0" w:type="dxa"/>
            </w:tcMar>
          </w:tcPr>
          <w:p w14:paraId="280A6D7F" w14:textId="77777777" w:rsidR="009D40F5" w:rsidRDefault="006D4FBD">
            <w:pPr>
              <w:contextualSpacing w:val="0"/>
            </w:pPr>
            <w:r>
              <w:t>/s/ James T. Barry</w:t>
            </w:r>
          </w:p>
        </w:tc>
      </w:tr>
      <w:tr w:rsidR="009D40F5" w14:paraId="5EE12DA4" w14:textId="77777777">
        <w:tc>
          <w:tcPr>
            <w:tcW w:w="4680" w:type="dxa"/>
            <w:shd w:val="clear" w:color="auto" w:fill="auto"/>
            <w:tcMar>
              <w:top w:w="0" w:type="dxa"/>
              <w:left w:w="0" w:type="dxa"/>
              <w:bottom w:w="0" w:type="dxa"/>
              <w:right w:w="0" w:type="dxa"/>
            </w:tcMar>
          </w:tcPr>
          <w:p w14:paraId="24CA7208" w14:textId="77777777" w:rsidR="009D40F5" w:rsidRDefault="006D4FBD">
            <w:pPr>
              <w:contextualSpacing w:val="0"/>
            </w:pPr>
            <w:r>
              <w:t> </w:t>
            </w:r>
          </w:p>
        </w:tc>
        <w:tc>
          <w:tcPr>
            <w:tcW w:w="468" w:type="dxa"/>
            <w:shd w:val="clear" w:color="auto" w:fill="auto"/>
            <w:tcMar>
              <w:top w:w="0" w:type="dxa"/>
              <w:left w:w="0" w:type="dxa"/>
              <w:bottom w:w="0" w:type="dxa"/>
              <w:right w:w="0" w:type="dxa"/>
            </w:tcMar>
          </w:tcPr>
          <w:p w14:paraId="05856511" w14:textId="77777777" w:rsidR="009D40F5" w:rsidRDefault="006D4FBD">
            <w:pPr>
              <w:contextualSpacing w:val="0"/>
            </w:pPr>
            <w:r>
              <w:t> </w:t>
            </w:r>
          </w:p>
        </w:tc>
        <w:tc>
          <w:tcPr>
            <w:tcW w:w="4212" w:type="dxa"/>
            <w:shd w:val="clear" w:color="auto" w:fill="auto"/>
            <w:tcMar>
              <w:top w:w="0" w:type="dxa"/>
              <w:left w:w="0" w:type="dxa"/>
              <w:bottom w:w="0" w:type="dxa"/>
              <w:right w:w="0" w:type="dxa"/>
            </w:tcMar>
          </w:tcPr>
          <w:p w14:paraId="6982ED94" w14:textId="77777777" w:rsidR="009D40F5" w:rsidRDefault="006D4FBD">
            <w:pPr>
              <w:contextualSpacing w:val="0"/>
            </w:pPr>
            <w:r>
              <w:t> </w:t>
            </w:r>
          </w:p>
        </w:tc>
      </w:tr>
      <w:tr w:rsidR="009D40F5" w14:paraId="14738C52" w14:textId="77777777">
        <w:tc>
          <w:tcPr>
            <w:tcW w:w="4680" w:type="dxa"/>
            <w:shd w:val="clear" w:color="auto" w:fill="auto"/>
            <w:tcMar>
              <w:top w:w="0" w:type="dxa"/>
              <w:left w:w="0" w:type="dxa"/>
              <w:bottom w:w="0" w:type="dxa"/>
              <w:right w:w="0" w:type="dxa"/>
            </w:tcMar>
          </w:tcPr>
          <w:p w14:paraId="7FA0D579" w14:textId="77777777" w:rsidR="009D40F5" w:rsidRDefault="006D4FBD">
            <w:pPr>
              <w:contextualSpacing w:val="0"/>
            </w:pPr>
            <w:r>
              <w:t> </w:t>
            </w:r>
          </w:p>
        </w:tc>
        <w:tc>
          <w:tcPr>
            <w:tcW w:w="468" w:type="dxa"/>
            <w:shd w:val="clear" w:color="auto" w:fill="auto"/>
            <w:tcMar>
              <w:top w:w="0" w:type="dxa"/>
              <w:left w:w="0" w:type="dxa"/>
              <w:bottom w:w="0" w:type="dxa"/>
              <w:right w:w="0" w:type="dxa"/>
            </w:tcMar>
          </w:tcPr>
          <w:p w14:paraId="582A8E8C" w14:textId="77777777" w:rsidR="009D40F5" w:rsidRDefault="006D4FBD">
            <w:pPr>
              <w:contextualSpacing w:val="0"/>
            </w:pPr>
            <w:r>
              <w:t> </w:t>
            </w:r>
          </w:p>
        </w:tc>
        <w:tc>
          <w:tcPr>
            <w:tcW w:w="4212" w:type="dxa"/>
            <w:shd w:val="clear" w:color="auto" w:fill="auto"/>
            <w:tcMar>
              <w:top w:w="0" w:type="dxa"/>
              <w:left w:w="0" w:type="dxa"/>
              <w:bottom w:w="0" w:type="dxa"/>
              <w:right w:w="0" w:type="dxa"/>
            </w:tcMar>
          </w:tcPr>
          <w:p w14:paraId="73AB79FB" w14:textId="77777777" w:rsidR="009D40F5" w:rsidRDefault="006D4FBD">
            <w:pPr>
              <w:contextualSpacing w:val="0"/>
            </w:pPr>
            <w:r>
              <w:t>James T. Barry, President &amp; CEO</w:t>
            </w:r>
          </w:p>
        </w:tc>
      </w:tr>
      <w:tr w:rsidR="009D40F5" w14:paraId="0629221E" w14:textId="77777777">
        <w:tc>
          <w:tcPr>
            <w:tcW w:w="4680" w:type="dxa"/>
            <w:shd w:val="clear" w:color="auto" w:fill="auto"/>
            <w:tcMar>
              <w:top w:w="0" w:type="dxa"/>
              <w:left w:w="0" w:type="dxa"/>
              <w:bottom w:w="0" w:type="dxa"/>
              <w:right w:w="0" w:type="dxa"/>
            </w:tcMar>
          </w:tcPr>
          <w:p w14:paraId="2FDADC43" w14:textId="77777777" w:rsidR="009D40F5" w:rsidRDefault="006D4FBD">
            <w:pPr>
              <w:contextualSpacing w:val="0"/>
            </w:pPr>
            <w:r>
              <w:t> </w:t>
            </w:r>
          </w:p>
        </w:tc>
        <w:tc>
          <w:tcPr>
            <w:tcW w:w="468" w:type="dxa"/>
            <w:shd w:val="clear" w:color="auto" w:fill="auto"/>
            <w:tcMar>
              <w:top w:w="0" w:type="dxa"/>
              <w:left w:w="0" w:type="dxa"/>
              <w:bottom w:w="0" w:type="dxa"/>
              <w:right w:w="0" w:type="dxa"/>
            </w:tcMar>
          </w:tcPr>
          <w:p w14:paraId="7A40D233" w14:textId="77777777" w:rsidR="009D40F5" w:rsidRDefault="006D4FBD">
            <w:pPr>
              <w:contextualSpacing w:val="0"/>
            </w:pPr>
            <w:r>
              <w:t> </w:t>
            </w:r>
          </w:p>
        </w:tc>
        <w:tc>
          <w:tcPr>
            <w:tcW w:w="4212" w:type="dxa"/>
            <w:shd w:val="clear" w:color="auto" w:fill="auto"/>
            <w:tcMar>
              <w:top w:w="0" w:type="dxa"/>
              <w:left w:w="0" w:type="dxa"/>
              <w:bottom w:w="0" w:type="dxa"/>
              <w:right w:w="0" w:type="dxa"/>
            </w:tcMar>
          </w:tcPr>
          <w:p w14:paraId="23CCE2E5" w14:textId="77777777" w:rsidR="009D40F5" w:rsidRDefault="006D4FBD">
            <w:pPr>
              <w:contextualSpacing w:val="0"/>
            </w:pPr>
            <w:r>
              <w:t> </w:t>
            </w:r>
          </w:p>
        </w:tc>
      </w:tr>
      <w:tr w:rsidR="009D40F5" w14:paraId="1706B827" w14:textId="77777777">
        <w:tc>
          <w:tcPr>
            <w:tcW w:w="4680" w:type="dxa"/>
            <w:shd w:val="clear" w:color="auto" w:fill="auto"/>
            <w:tcMar>
              <w:top w:w="0" w:type="dxa"/>
              <w:left w:w="0" w:type="dxa"/>
              <w:bottom w:w="0" w:type="dxa"/>
              <w:right w:w="0" w:type="dxa"/>
            </w:tcMar>
          </w:tcPr>
          <w:p w14:paraId="730E91D7" w14:textId="77777777" w:rsidR="009D40F5" w:rsidRDefault="006D4FBD">
            <w:pPr>
              <w:contextualSpacing w:val="0"/>
            </w:pPr>
            <w:r>
              <w:t> </w:t>
            </w:r>
          </w:p>
        </w:tc>
        <w:tc>
          <w:tcPr>
            <w:tcW w:w="468" w:type="dxa"/>
            <w:shd w:val="clear" w:color="auto" w:fill="auto"/>
            <w:tcMar>
              <w:top w:w="0" w:type="dxa"/>
              <w:left w:w="0" w:type="dxa"/>
              <w:bottom w:w="0" w:type="dxa"/>
              <w:right w:w="0" w:type="dxa"/>
            </w:tcMar>
          </w:tcPr>
          <w:p w14:paraId="10FDE71C" w14:textId="77777777" w:rsidR="009D40F5" w:rsidRDefault="006D4FBD">
            <w:pPr>
              <w:contextualSpacing w:val="0"/>
            </w:pPr>
            <w:r>
              <w:t> </w:t>
            </w:r>
          </w:p>
        </w:tc>
        <w:tc>
          <w:tcPr>
            <w:tcW w:w="4212" w:type="dxa"/>
            <w:shd w:val="clear" w:color="auto" w:fill="auto"/>
            <w:tcMar>
              <w:top w:w="0" w:type="dxa"/>
              <w:left w:w="0" w:type="dxa"/>
              <w:bottom w:w="0" w:type="dxa"/>
              <w:right w:w="0" w:type="dxa"/>
            </w:tcMar>
          </w:tcPr>
          <w:p w14:paraId="7797D657" w14:textId="77777777" w:rsidR="009D40F5" w:rsidRDefault="006D4FBD">
            <w:pPr>
              <w:contextualSpacing w:val="0"/>
            </w:pPr>
            <w:r>
              <w:t> </w:t>
            </w:r>
          </w:p>
        </w:tc>
      </w:tr>
      <w:tr w:rsidR="009D40F5" w14:paraId="24453433" w14:textId="77777777">
        <w:tc>
          <w:tcPr>
            <w:tcW w:w="4680" w:type="dxa"/>
            <w:shd w:val="clear" w:color="auto" w:fill="auto"/>
            <w:tcMar>
              <w:top w:w="0" w:type="dxa"/>
              <w:left w:w="0" w:type="dxa"/>
              <w:bottom w:w="0" w:type="dxa"/>
              <w:right w:w="0" w:type="dxa"/>
            </w:tcMar>
          </w:tcPr>
          <w:p w14:paraId="77D35D0C" w14:textId="77777777" w:rsidR="009D40F5" w:rsidRDefault="006D4FBD">
            <w:pPr>
              <w:contextualSpacing w:val="0"/>
            </w:pPr>
            <w:r>
              <w:t> </w:t>
            </w:r>
          </w:p>
        </w:tc>
        <w:tc>
          <w:tcPr>
            <w:tcW w:w="4680" w:type="dxa"/>
            <w:gridSpan w:val="2"/>
            <w:shd w:val="clear" w:color="auto" w:fill="auto"/>
            <w:tcMar>
              <w:top w:w="0" w:type="dxa"/>
              <w:left w:w="0" w:type="dxa"/>
              <w:bottom w:w="0" w:type="dxa"/>
              <w:right w:w="0" w:type="dxa"/>
            </w:tcMar>
          </w:tcPr>
          <w:p w14:paraId="02A58DFF" w14:textId="77777777" w:rsidR="009D40F5" w:rsidRDefault="006D4FBD">
            <w:pPr>
              <w:contextualSpacing w:val="0"/>
            </w:pPr>
            <w:r>
              <w:t>/s/ David M. Henderson</w:t>
            </w:r>
          </w:p>
        </w:tc>
      </w:tr>
      <w:tr w:rsidR="009D40F5" w14:paraId="5DB770F0" w14:textId="77777777">
        <w:tc>
          <w:tcPr>
            <w:tcW w:w="4680" w:type="dxa"/>
            <w:shd w:val="clear" w:color="auto" w:fill="auto"/>
            <w:tcMar>
              <w:top w:w="0" w:type="dxa"/>
              <w:left w:w="0" w:type="dxa"/>
              <w:bottom w:w="0" w:type="dxa"/>
              <w:right w:w="0" w:type="dxa"/>
            </w:tcMar>
          </w:tcPr>
          <w:p w14:paraId="0DF043BA" w14:textId="77777777" w:rsidR="009D40F5" w:rsidRDefault="006D4FBD">
            <w:pPr>
              <w:contextualSpacing w:val="0"/>
            </w:pPr>
            <w:r>
              <w:t> </w:t>
            </w:r>
          </w:p>
        </w:tc>
        <w:tc>
          <w:tcPr>
            <w:tcW w:w="468" w:type="dxa"/>
            <w:shd w:val="clear" w:color="auto" w:fill="auto"/>
            <w:tcMar>
              <w:top w:w="0" w:type="dxa"/>
              <w:left w:w="0" w:type="dxa"/>
              <w:bottom w:w="0" w:type="dxa"/>
              <w:right w:w="0" w:type="dxa"/>
            </w:tcMar>
          </w:tcPr>
          <w:p w14:paraId="5562EDB7" w14:textId="77777777" w:rsidR="009D40F5" w:rsidRDefault="006D4FBD">
            <w:pPr>
              <w:contextualSpacing w:val="0"/>
            </w:pPr>
            <w:r>
              <w:t> </w:t>
            </w:r>
          </w:p>
        </w:tc>
        <w:tc>
          <w:tcPr>
            <w:tcW w:w="4212" w:type="dxa"/>
            <w:shd w:val="clear" w:color="auto" w:fill="auto"/>
            <w:tcMar>
              <w:top w:w="0" w:type="dxa"/>
              <w:left w:w="0" w:type="dxa"/>
              <w:bottom w:w="0" w:type="dxa"/>
              <w:right w:w="0" w:type="dxa"/>
            </w:tcMar>
          </w:tcPr>
          <w:p w14:paraId="4F4679B2" w14:textId="77777777" w:rsidR="009D40F5" w:rsidRDefault="006D4FBD">
            <w:pPr>
              <w:contextualSpacing w:val="0"/>
            </w:pPr>
            <w:r>
              <w:t> </w:t>
            </w:r>
          </w:p>
        </w:tc>
      </w:tr>
      <w:tr w:rsidR="009D40F5" w14:paraId="098A4089" w14:textId="77777777">
        <w:tc>
          <w:tcPr>
            <w:tcW w:w="4680" w:type="dxa"/>
            <w:shd w:val="clear" w:color="auto" w:fill="auto"/>
            <w:tcMar>
              <w:top w:w="0" w:type="dxa"/>
              <w:left w:w="0" w:type="dxa"/>
              <w:bottom w:w="0" w:type="dxa"/>
              <w:right w:w="0" w:type="dxa"/>
            </w:tcMar>
          </w:tcPr>
          <w:p w14:paraId="617487C5" w14:textId="77777777" w:rsidR="009D40F5" w:rsidRDefault="006D4FBD">
            <w:pPr>
              <w:contextualSpacing w:val="0"/>
            </w:pPr>
            <w:r>
              <w:t> </w:t>
            </w:r>
          </w:p>
        </w:tc>
        <w:tc>
          <w:tcPr>
            <w:tcW w:w="4680" w:type="dxa"/>
            <w:gridSpan w:val="2"/>
            <w:shd w:val="clear" w:color="auto" w:fill="auto"/>
            <w:tcMar>
              <w:top w:w="0" w:type="dxa"/>
              <w:left w:w="0" w:type="dxa"/>
              <w:bottom w:w="0" w:type="dxa"/>
              <w:right w:w="0" w:type="dxa"/>
            </w:tcMar>
          </w:tcPr>
          <w:p w14:paraId="4E896F93" w14:textId="77777777" w:rsidR="009D40F5" w:rsidRDefault="006D4FBD">
            <w:pPr>
              <w:contextualSpacing w:val="0"/>
            </w:pPr>
            <w:r>
              <w:t>DAVID M. HENDERSON</w:t>
            </w:r>
          </w:p>
        </w:tc>
      </w:tr>
    </w:tbl>
    <w:p w14:paraId="17DA6AFD" w14:textId="77777777" w:rsidR="009D40F5" w:rsidRDefault="006D4FBD">
      <w:pPr>
        <w:ind w:firstLine="720"/>
        <w:contextualSpacing w:val="0"/>
      </w:pPr>
      <w:r>
        <w:t> </w:t>
      </w:r>
    </w:p>
    <w:p w14:paraId="31472DA0" w14:textId="77777777" w:rsidR="009D40F5" w:rsidRDefault="009D40F5">
      <w:pPr>
        <w:spacing w:after="240"/>
        <w:ind w:firstLine="720"/>
        <w:contextualSpacing w:val="0"/>
      </w:pPr>
    </w:p>
    <w:p w14:paraId="12AE1211" w14:textId="77777777" w:rsidR="009D40F5" w:rsidRDefault="009D40F5">
      <w:pPr>
        <w:spacing w:after="120"/>
        <w:contextualSpacing w:val="0"/>
      </w:pPr>
    </w:p>
    <w:p w14:paraId="3AF7DFD5" w14:textId="77777777" w:rsidR="009D40F5" w:rsidRDefault="006D4FBD">
      <w:pPr>
        <w:contextualSpacing w:val="0"/>
      </w:pPr>
      <w:r>
        <w:t> </w:t>
      </w:r>
    </w:p>
    <w:p w14:paraId="5252B70F" w14:textId="77777777" w:rsidR="009D40F5" w:rsidRDefault="009D40F5">
      <w:pPr>
        <w:ind w:firstLine="720"/>
        <w:contextualSpacing w:val="0"/>
      </w:pPr>
      <w:bookmarkStart w:id="0" w:name="_GoBack"/>
      <w:bookmarkEnd w:id="0"/>
    </w:p>
    <w:sectPr w:rsidR="009D40F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useFELayout/>
    <w:compatSetting w:name="compatibilityMode" w:uri="http://schemas.microsoft.com/office/word" w:val="14"/>
  </w:compat>
  <w:rsids>
    <w:rsidRoot w:val="009D40F5"/>
    <w:rsid w:val="006D4FBD"/>
    <w:rsid w:val="009D4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AB38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US" w:eastAsia="en-US"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40" w:after="240"/>
      <w:outlineLvl w:val="0"/>
    </w:pPr>
    <w:rPr>
      <w:b/>
      <w:sz w:val="48"/>
      <w:szCs w:val="48"/>
    </w:rPr>
  </w:style>
  <w:style w:type="paragraph" w:styleId="Heading2">
    <w:name w:val="heading 2"/>
    <w:basedOn w:val="Normal"/>
    <w:next w:val="Normal"/>
    <w:pPr>
      <w:spacing w:before="225" w:after="225"/>
      <w:outlineLvl w:val="1"/>
    </w:pPr>
    <w:rPr>
      <w:b/>
      <w:sz w:val="36"/>
      <w:szCs w:val="36"/>
    </w:rPr>
  </w:style>
  <w:style w:type="paragraph" w:styleId="Heading3">
    <w:name w:val="heading 3"/>
    <w:basedOn w:val="Normal"/>
    <w:next w:val="Normal"/>
    <w:pPr>
      <w:spacing w:before="240" w:after="240"/>
      <w:outlineLvl w:val="2"/>
    </w:pPr>
    <w:rPr>
      <w:b/>
      <w:sz w:val="28"/>
      <w:szCs w:val="28"/>
    </w:rPr>
  </w:style>
  <w:style w:type="paragraph" w:styleId="Heading4">
    <w:name w:val="heading 4"/>
    <w:basedOn w:val="Normal"/>
    <w:next w:val="Normal"/>
    <w:pPr>
      <w:spacing w:before="255" w:after="255"/>
      <w:outlineLvl w:val="3"/>
    </w:pPr>
    <w:rPr>
      <w:b/>
      <w:sz w:val="24"/>
      <w:szCs w:val="24"/>
    </w:rPr>
  </w:style>
  <w:style w:type="paragraph" w:styleId="Heading5">
    <w:name w:val="heading 5"/>
    <w:basedOn w:val="Normal"/>
    <w:next w:val="Normal"/>
    <w:pPr>
      <w:spacing w:before="255" w:after="255"/>
      <w:outlineLvl w:val="4"/>
    </w:pPr>
    <w:rPr>
      <w:b/>
      <w:sz w:val="18"/>
      <w:szCs w:val="18"/>
    </w:rPr>
  </w:style>
  <w:style w:type="paragraph" w:styleId="Heading6">
    <w:name w:val="heading 6"/>
    <w:basedOn w:val="Normal"/>
    <w:next w:val="Normal"/>
    <w:pP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1245</Words>
  <Characters>7100</Characters>
  <Application>Microsoft Macintosh Word</Application>
  <DocSecurity>0</DocSecurity>
  <Lines>59</Lines>
  <Paragraphs>16</Paragraphs>
  <ScaleCrop>false</ScaleCrop>
  <LinksUpToDate>false</LinksUpToDate>
  <CharactersWithSpaces>8329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Zoe</cp:lastModifiedBy>
  <cp:revision>2</cp:revision>
  <dcterms:created xsi:type="dcterms:W3CDTF">2018-02-23T05:11:00Z</dcterms:created>
  <dcterms:modified xsi:type="dcterms:W3CDTF">2018-02-23T05:12:00Z</dcterms:modified>
</cp:coreProperties>
</file>