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70A5" w14:textId="77777777" w:rsidR="0055234B" w:rsidRDefault="00000000">
      <w:pPr>
        <w:spacing w:after="400"/>
        <w:jc w:val="center"/>
      </w:pPr>
      <w:r>
        <w:rPr>
          <w:b/>
          <w:bCs/>
          <w:sz w:val="32"/>
          <w:szCs w:val="32"/>
        </w:rPr>
        <w:t>BRSR and GRI Disclosure Analysis: Wipro Limited FY 2024-25</w:t>
      </w:r>
    </w:p>
    <w:p w14:paraId="72824461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1. Source Details</w:t>
      </w:r>
    </w:p>
    <w:p w14:paraId="0A86204C" w14:textId="77777777" w:rsidR="0055234B" w:rsidRDefault="00000000">
      <w:pPr>
        <w:spacing w:after="120"/>
      </w:pPr>
      <w:r>
        <w:rPr>
          <w:b/>
          <w:bCs/>
        </w:rPr>
        <w:t xml:space="preserve">Company: </w:t>
      </w:r>
      <w:r>
        <w:t>Wipro Limited (CIN L32102KA1945PLC020800)</w:t>
      </w:r>
    </w:p>
    <w:p w14:paraId="5691BC2E" w14:textId="77777777" w:rsidR="0055234B" w:rsidRDefault="00000000">
      <w:pPr>
        <w:spacing w:after="120"/>
      </w:pPr>
      <w:r>
        <w:rPr>
          <w:b/>
          <w:bCs/>
        </w:rPr>
        <w:t xml:space="preserve">Filing: </w:t>
      </w:r>
      <w:r>
        <w:t>Business Responsibility and Sustainability Report for FY 2024-25, filed with BSE, NSE, and NYSE on 21 June 2025. Forms part of Wipro's Integrated Annual Report 2024-25.</w:t>
      </w:r>
    </w:p>
    <w:p w14:paraId="2FED0FDF" w14:textId="77777777" w:rsidR="0055234B" w:rsidRDefault="00000000">
      <w:pPr>
        <w:spacing w:after="120"/>
      </w:pPr>
      <w:r>
        <w:rPr>
          <w:b/>
          <w:bCs/>
        </w:rPr>
        <w:t xml:space="preserve">Source URL: </w:t>
      </w:r>
      <w:r>
        <w:t>https://www.wipro.com/content/dam/nexus/en/investor/corporate-governance/stock-exchange-filing/submission-of-business-responsibility-and-sustainability-report-for-fy-2024-25-21-jun-2025.pdf</w:t>
      </w:r>
    </w:p>
    <w:p w14:paraId="3486ABB7" w14:textId="77777777" w:rsidR="0055234B" w:rsidRDefault="00000000">
      <w:pPr>
        <w:spacing w:after="120"/>
      </w:pPr>
      <w:r>
        <w:rPr>
          <w:b/>
          <w:bCs/>
        </w:rPr>
        <w:t xml:space="preserve">Reporting boundary: </w:t>
      </w:r>
      <w:r>
        <w:t>Consolidated (revised from standalone in FY23-24, per Q13 page 480).</w:t>
      </w:r>
    </w:p>
    <w:p w14:paraId="2D764CD2" w14:textId="77777777" w:rsidR="0055234B" w:rsidRDefault="00000000">
      <w:pPr>
        <w:spacing w:after="120"/>
      </w:pPr>
      <w:r>
        <w:rPr>
          <w:b/>
          <w:bCs/>
        </w:rPr>
        <w:t xml:space="preserve">External assurance: </w:t>
      </w:r>
      <w:r>
        <w:t xml:space="preserve">Deloitte Haskins &amp; Sells LLP. Reasonable assurance on BRSR Core indicators; limited assurance on </w:t>
      </w:r>
      <w:proofErr w:type="gramStart"/>
      <w:r>
        <w:t>select</w:t>
      </w:r>
      <w:proofErr w:type="gramEnd"/>
      <w:r>
        <w:t xml:space="preserve"> Comprehensive KPIs.</w:t>
      </w:r>
    </w:p>
    <w:p w14:paraId="2E6DD6C0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2. Extracted KPIs (Task 1.2)</w:t>
      </w:r>
    </w:p>
    <w:p w14:paraId="46D46202" w14:textId="0FB1EE11" w:rsidR="0055234B" w:rsidRDefault="00000000">
      <w:pPr>
        <w:spacing w:after="160"/>
      </w:pPr>
      <w:r>
        <w:t>Eight KPIs from the assignment's target list, plus one additional KPI from Principle 5 (Human Rights)</w:t>
      </w:r>
      <w:r w:rsidR="00FB03FB">
        <w:t>,</w:t>
      </w:r>
      <w:r>
        <w:t xml:space="preserve"> to satisfy the requirement to cover P3, P6, and one further Principle. Full derivations, unit conversions, and cell-level formulas are in the accompanying Excel workbook (KPI Data sheet).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2000"/>
        <w:gridCol w:w="1600"/>
        <w:gridCol w:w="1300"/>
        <w:gridCol w:w="1300"/>
        <w:gridCol w:w="700"/>
      </w:tblGrid>
      <w:tr w:rsidR="0055234B" w14:paraId="1F19D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CC0D3E5" w14:textId="77777777" w:rsidR="0055234B" w:rsidRDefault="00000000"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C8DEAFB" w14:textId="77777777" w:rsidR="0055234B" w:rsidRDefault="00000000">
            <w:r>
              <w:rPr>
                <w:b/>
                <w:bCs/>
                <w:sz w:val="22"/>
                <w:szCs w:val="22"/>
              </w:rPr>
              <w:t>KPI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B7C8384" w14:textId="77777777" w:rsidR="0055234B" w:rsidRDefault="00000000">
            <w:r>
              <w:rPr>
                <w:b/>
                <w:bCs/>
                <w:sz w:val="22"/>
                <w:szCs w:val="22"/>
              </w:rPr>
              <w:t>NGRBC Principle / Section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2CE1AD3" w14:textId="77777777" w:rsidR="0055234B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7E7C927" w14:textId="77777777" w:rsidR="0055234B" w:rsidRDefault="00000000">
            <w:r>
              <w:rPr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21C8EFE" w14:textId="77777777" w:rsidR="0055234B" w:rsidRDefault="00000000">
            <w:r>
              <w:rPr>
                <w:b/>
                <w:bCs/>
                <w:sz w:val="22"/>
                <w:szCs w:val="22"/>
              </w:rPr>
              <w:t>FY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CA69E74" w14:textId="77777777" w:rsidR="0055234B" w:rsidRDefault="00000000">
            <w:r>
              <w:rPr>
                <w:b/>
                <w:bCs/>
                <w:sz w:val="22"/>
                <w:szCs w:val="22"/>
              </w:rPr>
              <w:t>Page</w:t>
            </w:r>
          </w:p>
        </w:tc>
      </w:tr>
      <w:tr w:rsidR="0055234B" w14:paraId="794544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1270" w14:textId="77777777" w:rsidR="0055234B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2629" w14:textId="77777777" w:rsidR="0055234B" w:rsidRDefault="00000000">
            <w:r>
              <w:rPr>
                <w:sz w:val="22"/>
                <w:szCs w:val="22"/>
              </w:rPr>
              <w:t>Revenue from operations (Turnover)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B3B6" w14:textId="77777777" w:rsidR="0055234B" w:rsidRDefault="00000000">
            <w:r>
              <w:rPr>
                <w:sz w:val="22"/>
                <w:szCs w:val="22"/>
              </w:rPr>
              <w:t>Section VI, CSR Details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0052B" w14:textId="77777777" w:rsidR="0055234B" w:rsidRDefault="00000000">
            <w:r>
              <w:rPr>
                <w:sz w:val="22"/>
                <w:szCs w:val="22"/>
              </w:rPr>
              <w:t>672,928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F101" w14:textId="77777777" w:rsidR="0055234B" w:rsidRDefault="00000000">
            <w:r>
              <w:rPr>
                <w:sz w:val="22"/>
                <w:szCs w:val="22"/>
              </w:rPr>
              <w:t>INR Million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778D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1AF0" w14:textId="77777777" w:rsidR="0055234B" w:rsidRDefault="00000000">
            <w:r>
              <w:rPr>
                <w:sz w:val="22"/>
                <w:szCs w:val="22"/>
              </w:rPr>
              <w:t>483</w:t>
            </w:r>
          </w:p>
        </w:tc>
      </w:tr>
      <w:tr w:rsidR="0055234B" w14:paraId="198383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1303" w14:textId="77777777" w:rsidR="0055234B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6097" w14:textId="77777777" w:rsidR="0055234B" w:rsidRDefault="00000000">
            <w:r>
              <w:rPr>
                <w:sz w:val="22"/>
                <w:szCs w:val="22"/>
              </w:rPr>
              <w:t>Total permanent employees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3622" w14:textId="77777777" w:rsidR="0055234B" w:rsidRDefault="00000000">
            <w:r>
              <w:rPr>
                <w:sz w:val="22"/>
                <w:szCs w:val="22"/>
              </w:rPr>
              <w:t>Section IV, Q21a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6F72" w14:textId="77777777" w:rsidR="0055234B" w:rsidRDefault="00000000">
            <w:r>
              <w:rPr>
                <w:sz w:val="22"/>
                <w:szCs w:val="22"/>
              </w:rPr>
              <w:t>225,306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51FE" w14:textId="77777777" w:rsidR="0055234B" w:rsidRDefault="00000000">
            <w:r>
              <w:rPr>
                <w:sz w:val="22"/>
                <w:szCs w:val="22"/>
              </w:rPr>
              <w:t>headcount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2E33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4BD2" w14:textId="77777777" w:rsidR="0055234B" w:rsidRDefault="00000000">
            <w:r>
              <w:rPr>
                <w:sz w:val="22"/>
                <w:szCs w:val="22"/>
              </w:rPr>
              <w:t>482</w:t>
            </w:r>
          </w:p>
        </w:tc>
      </w:tr>
      <w:tr w:rsidR="0055234B" w14:paraId="497D8B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28874" w14:textId="77777777" w:rsidR="0055234B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C0E7" w14:textId="77777777" w:rsidR="0055234B" w:rsidRDefault="00000000">
            <w:r>
              <w:rPr>
                <w:sz w:val="22"/>
                <w:szCs w:val="22"/>
              </w:rPr>
              <w:t>Female employees (permanent)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33EF" w14:textId="77777777" w:rsidR="0055234B" w:rsidRDefault="00000000">
            <w:r>
              <w:rPr>
                <w:sz w:val="22"/>
                <w:szCs w:val="22"/>
              </w:rPr>
              <w:t>Section IV, Q21a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45BE" w14:textId="77777777" w:rsidR="0055234B" w:rsidRDefault="00000000">
            <w:r>
              <w:rPr>
                <w:sz w:val="22"/>
                <w:szCs w:val="22"/>
              </w:rPr>
              <w:t>37.13%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75C6" w14:textId="77777777" w:rsidR="0055234B" w:rsidRDefault="00000000">
            <w:r>
              <w:rPr>
                <w:sz w:val="22"/>
                <w:szCs w:val="22"/>
              </w:rPr>
              <w:t>% of permanent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1E833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BA00" w14:textId="77777777" w:rsidR="0055234B" w:rsidRDefault="00000000">
            <w:r>
              <w:rPr>
                <w:sz w:val="22"/>
                <w:szCs w:val="22"/>
              </w:rPr>
              <w:t>482</w:t>
            </w:r>
          </w:p>
        </w:tc>
      </w:tr>
      <w:tr w:rsidR="0055234B" w14:paraId="00AD4C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72CB" w14:textId="77777777" w:rsidR="0055234B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B9D9" w14:textId="77777777" w:rsidR="0055234B" w:rsidRDefault="00000000">
            <w:r>
              <w:rPr>
                <w:sz w:val="22"/>
                <w:szCs w:val="22"/>
              </w:rPr>
              <w:t>Employee turnover rate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6AD73" w14:textId="77777777" w:rsidR="0055234B" w:rsidRDefault="00000000">
            <w:r>
              <w:rPr>
                <w:sz w:val="22"/>
                <w:szCs w:val="22"/>
              </w:rPr>
              <w:t>Section IV, Q23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D2AA" w14:textId="77777777" w:rsidR="0055234B" w:rsidRDefault="00000000">
            <w:r>
              <w:rPr>
                <w:sz w:val="22"/>
                <w:szCs w:val="22"/>
              </w:rPr>
              <w:t>14.81%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C550" w14:textId="77777777" w:rsidR="0055234B" w:rsidRDefault="00000000">
            <w:r>
              <w:rPr>
                <w:sz w:val="22"/>
                <w:szCs w:val="22"/>
              </w:rPr>
              <w:t>% (annual)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43C9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158EC" w14:textId="77777777" w:rsidR="0055234B" w:rsidRDefault="00000000">
            <w:r>
              <w:rPr>
                <w:sz w:val="22"/>
                <w:szCs w:val="22"/>
              </w:rPr>
              <w:t>482</w:t>
            </w:r>
          </w:p>
        </w:tc>
      </w:tr>
      <w:tr w:rsidR="0055234B" w14:paraId="5EC6A6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B975" w14:textId="77777777" w:rsidR="0055234B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734D" w14:textId="77777777" w:rsidR="0055234B" w:rsidRDefault="00000000">
            <w:r>
              <w:rPr>
                <w:sz w:val="22"/>
                <w:szCs w:val="22"/>
              </w:rPr>
              <w:t>LTIFR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4659" w14:textId="77777777" w:rsidR="0055234B" w:rsidRDefault="00000000">
            <w:r>
              <w:rPr>
                <w:sz w:val="22"/>
                <w:szCs w:val="22"/>
              </w:rPr>
              <w:t>Principle 3, Essential Q11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9FD3" w14:textId="77777777" w:rsidR="0055234B" w:rsidRDefault="00000000">
            <w:r>
              <w:rPr>
                <w:sz w:val="22"/>
                <w:szCs w:val="22"/>
              </w:rPr>
              <w:t>0.27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CCF" w14:textId="77777777" w:rsidR="0055234B" w:rsidRDefault="00000000">
            <w:r>
              <w:rPr>
                <w:sz w:val="22"/>
                <w:szCs w:val="22"/>
              </w:rPr>
              <w:t xml:space="preserve">per million </w:t>
            </w:r>
            <w:proofErr w:type="gramStart"/>
            <w:r>
              <w:rPr>
                <w:sz w:val="22"/>
                <w:szCs w:val="22"/>
              </w:rPr>
              <w:t>person</w:t>
            </w:r>
            <w:proofErr w:type="gramEnd"/>
            <w:r>
              <w:rPr>
                <w:sz w:val="22"/>
                <w:szCs w:val="22"/>
              </w:rPr>
              <w:t>-hrs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5303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96EB" w14:textId="77777777" w:rsidR="0055234B" w:rsidRDefault="00000000">
            <w:r>
              <w:rPr>
                <w:sz w:val="22"/>
                <w:szCs w:val="22"/>
              </w:rPr>
              <w:t>499</w:t>
            </w:r>
          </w:p>
        </w:tc>
      </w:tr>
      <w:tr w:rsidR="0055234B" w14:paraId="7B7E5D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336D" w14:textId="77777777" w:rsidR="0055234B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91B8" w14:textId="77777777" w:rsidR="0055234B" w:rsidRDefault="00000000">
            <w:r>
              <w:rPr>
                <w:sz w:val="22"/>
                <w:szCs w:val="22"/>
              </w:rPr>
              <w:t>Scope 1 + Scope 2 GHG emissions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37BA" w14:textId="77777777" w:rsidR="0055234B" w:rsidRDefault="00000000">
            <w:r>
              <w:rPr>
                <w:sz w:val="22"/>
                <w:szCs w:val="22"/>
              </w:rPr>
              <w:t>Principle 6, Essential Q7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CC63" w14:textId="77777777" w:rsidR="0055234B" w:rsidRDefault="00000000">
            <w:r>
              <w:rPr>
                <w:sz w:val="22"/>
                <w:szCs w:val="22"/>
              </w:rPr>
              <w:t>31,462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C882" w14:textId="77777777" w:rsidR="0055234B" w:rsidRDefault="00000000">
            <w:r>
              <w:rPr>
                <w:sz w:val="22"/>
                <w:szCs w:val="22"/>
              </w:rPr>
              <w:t>tCO2e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F533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B746D" w14:textId="77777777" w:rsidR="0055234B" w:rsidRDefault="00000000">
            <w:r>
              <w:rPr>
                <w:sz w:val="22"/>
                <w:szCs w:val="22"/>
              </w:rPr>
              <w:t>509</w:t>
            </w:r>
          </w:p>
        </w:tc>
      </w:tr>
      <w:tr w:rsidR="0055234B" w14:paraId="459F78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8FA4" w14:textId="77777777" w:rsidR="0055234B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6AE9" w14:textId="77777777" w:rsidR="0055234B" w:rsidRDefault="00000000">
            <w:r>
              <w:rPr>
                <w:sz w:val="22"/>
                <w:szCs w:val="22"/>
              </w:rPr>
              <w:t>Water consumption (total)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2870" w14:textId="77777777" w:rsidR="0055234B" w:rsidRDefault="00000000">
            <w:r>
              <w:rPr>
                <w:sz w:val="22"/>
                <w:szCs w:val="22"/>
              </w:rPr>
              <w:t>Principle 6, Essential Q3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2894" w14:textId="77777777" w:rsidR="0055234B" w:rsidRDefault="00000000">
            <w:r>
              <w:rPr>
                <w:sz w:val="22"/>
                <w:szCs w:val="22"/>
              </w:rPr>
              <w:t>1,307,531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9213" w14:textId="77777777" w:rsidR="0055234B" w:rsidRDefault="00000000">
            <w:r>
              <w:rPr>
                <w:sz w:val="22"/>
                <w:szCs w:val="22"/>
              </w:rPr>
              <w:t>kilolitres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DAB6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662F8" w14:textId="77777777" w:rsidR="0055234B" w:rsidRDefault="00000000">
            <w:r>
              <w:rPr>
                <w:sz w:val="22"/>
                <w:szCs w:val="22"/>
              </w:rPr>
              <w:t>507</w:t>
            </w:r>
          </w:p>
        </w:tc>
      </w:tr>
      <w:tr w:rsidR="0055234B" w14:paraId="779B21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C6C" w14:textId="77777777" w:rsidR="0055234B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5B6A" w14:textId="77777777" w:rsidR="0055234B" w:rsidRDefault="00000000">
            <w:r>
              <w:rPr>
                <w:sz w:val="22"/>
                <w:szCs w:val="22"/>
              </w:rPr>
              <w:t>Total energy consumed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C37B" w14:textId="77777777" w:rsidR="0055234B" w:rsidRDefault="00000000">
            <w:r>
              <w:rPr>
                <w:sz w:val="22"/>
                <w:szCs w:val="22"/>
              </w:rPr>
              <w:t>Principle 6, Essential Q1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91495" w14:textId="77777777" w:rsidR="0055234B" w:rsidRDefault="00000000">
            <w:r>
              <w:rPr>
                <w:sz w:val="22"/>
                <w:szCs w:val="22"/>
              </w:rPr>
              <w:t>756,175,527.8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7C3C" w14:textId="77777777" w:rsidR="0055234B" w:rsidRDefault="00000000">
            <w:r>
              <w:rPr>
                <w:sz w:val="22"/>
                <w:szCs w:val="22"/>
              </w:rPr>
              <w:t>Megajoules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D70C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CB9D" w14:textId="77777777" w:rsidR="0055234B" w:rsidRDefault="00000000">
            <w:r>
              <w:rPr>
                <w:sz w:val="22"/>
                <w:szCs w:val="22"/>
              </w:rPr>
              <w:t>506</w:t>
            </w:r>
          </w:p>
        </w:tc>
      </w:tr>
      <w:tr w:rsidR="0055234B" w14:paraId="74E6F8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63B9" w14:textId="77777777" w:rsidR="0055234B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65C8" w14:textId="77777777" w:rsidR="0055234B" w:rsidRDefault="00000000">
            <w:r>
              <w:rPr>
                <w:sz w:val="22"/>
                <w:szCs w:val="22"/>
              </w:rPr>
              <w:t>POSH complaints filed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97EA0" w14:textId="77777777" w:rsidR="0055234B" w:rsidRDefault="00000000">
            <w:r>
              <w:rPr>
                <w:sz w:val="22"/>
                <w:szCs w:val="22"/>
              </w:rPr>
              <w:t>Principle 5, Essential Q7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9938" w14:textId="77777777" w:rsidR="0055234B" w:rsidRDefault="00000000">
            <w:r>
              <w:rPr>
                <w:sz w:val="22"/>
                <w:szCs w:val="22"/>
              </w:rPr>
              <w:t>125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ABB3" w14:textId="77777777" w:rsidR="0055234B" w:rsidRDefault="00000000">
            <w:r>
              <w:rPr>
                <w:sz w:val="22"/>
                <w:szCs w:val="22"/>
              </w:rPr>
              <w:t>count (annual)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A7E7" w14:textId="77777777" w:rsidR="0055234B" w:rsidRDefault="00000000">
            <w:r>
              <w:rPr>
                <w:sz w:val="22"/>
                <w:szCs w:val="22"/>
              </w:rPr>
              <w:t>FY24-25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1366" w14:textId="77777777" w:rsidR="0055234B" w:rsidRDefault="00000000">
            <w:r>
              <w:rPr>
                <w:sz w:val="22"/>
                <w:szCs w:val="22"/>
              </w:rPr>
              <w:t>504</w:t>
            </w:r>
          </w:p>
        </w:tc>
      </w:tr>
    </w:tbl>
    <w:p w14:paraId="5BDE459B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3. Completeness and Intensity Ratios (Tasks 1.3 and 1.4)</w:t>
      </w:r>
    </w:p>
    <w:p w14:paraId="79213FD2" w14:textId="77777777" w:rsidR="0055234B" w:rsidRDefault="00000000">
      <w:pPr>
        <w:spacing w:before="200" w:after="120"/>
      </w:pPr>
      <w:r>
        <w:rPr>
          <w:b/>
          <w:bCs/>
          <w:sz w:val="26"/>
          <w:szCs w:val="26"/>
        </w:rPr>
        <w:t>Completeness score</w:t>
      </w:r>
    </w:p>
    <w:p w14:paraId="0B9A4671" w14:textId="55392074" w:rsidR="0055234B" w:rsidRDefault="00000000">
      <w:pPr>
        <w:spacing w:after="160"/>
      </w:pPr>
      <w:r>
        <w:t xml:space="preserve">100 </w:t>
      </w:r>
      <w:r w:rsidR="00FB03FB">
        <w:t>per cent</w:t>
      </w:r>
      <w:r>
        <w:t xml:space="preserve"> (9 of 9 KPIs disclosed). Live formulas in the Excel workbook, Completeness sheet.</w:t>
      </w:r>
    </w:p>
    <w:p w14:paraId="388D06F0" w14:textId="77777777" w:rsidR="0055234B" w:rsidRDefault="00000000">
      <w:pPr>
        <w:spacing w:before="200" w:after="120"/>
      </w:pPr>
      <w:r>
        <w:rPr>
          <w:b/>
          <w:bCs/>
          <w:sz w:val="26"/>
          <w:szCs w:val="26"/>
        </w:rPr>
        <w:t>Intensity ratios</w:t>
      </w:r>
    </w:p>
    <w:p w14:paraId="154FED45" w14:textId="77777777" w:rsidR="0055234B" w:rsidRDefault="00000000">
      <w:pPr>
        <w:spacing w:after="160"/>
      </w:pPr>
      <w:r>
        <w:rPr>
          <w:b/>
          <w:bCs/>
        </w:rPr>
        <w:t>GHG intensity (Scope 1+2): 0.4675 tCO2e per INR crore of turnover.</w:t>
      </w:r>
    </w:p>
    <w:p w14:paraId="364E3FDE" w14:textId="77777777" w:rsidR="0055234B" w:rsidRDefault="00000000">
      <w:pPr>
        <w:spacing w:after="160"/>
      </w:pPr>
      <w:r>
        <w:rPr>
          <w:b/>
          <w:bCs/>
        </w:rPr>
        <w:t>Water intensity: 19.43 KL (m3) per INR crore of turnover.</w:t>
      </w:r>
    </w:p>
    <w:p w14:paraId="72F4EC48" w14:textId="77777777" w:rsidR="0055234B" w:rsidRDefault="00000000">
      <w:pPr>
        <w:spacing w:after="160"/>
      </w:pPr>
      <w:r>
        <w:rPr>
          <w:b/>
          <w:bCs/>
        </w:rPr>
        <w:t>Energy intensity: 11,237.1 MJ per INR crore of turnover.</w:t>
      </w:r>
    </w:p>
    <w:p w14:paraId="39196EAF" w14:textId="77777777" w:rsidR="0055234B" w:rsidRDefault="00000000">
      <w:pPr>
        <w:spacing w:after="160"/>
      </w:pPr>
      <w:r>
        <w:lastRenderedPageBreak/>
        <w:t>Formulas and the reconciliation against Wipro's own printed per-rupee intensities are in the Excel workbook, Intensity Ratios sheet.</w:t>
      </w:r>
    </w:p>
    <w:p w14:paraId="1FB7F20A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4. Interpretation (Task 1.5)</w:t>
      </w:r>
    </w:p>
    <w:p w14:paraId="7F48965D" w14:textId="34552F80" w:rsidR="00FB03FB" w:rsidRDefault="00FB03FB" w:rsidP="00FB03FB">
      <w:r>
        <w:t>Completeness was 100 per cent. This is not necessarily a clue to Wipro. Full disclosure of the basics is expected</w:t>
      </w:r>
      <w:r>
        <w:t>, as every top-1000-listed company on the NSE must</w:t>
      </w:r>
      <w:r>
        <w:t xml:space="preserve"> file the BRSR Core indicators with reasonable assurance.</w:t>
      </w:r>
    </w:p>
    <w:p w14:paraId="1EBD7B67" w14:textId="2B338E15" w:rsidR="00FB03FB" w:rsidRDefault="00FB03FB" w:rsidP="00FB03FB">
      <w:r>
        <w:t xml:space="preserve">The three I's </w:t>
      </w:r>
      <w:r>
        <w:t>I calculated are all quite low, but that's</w:t>
      </w:r>
      <w:r>
        <w:t xml:space="preserve"> because </w:t>
      </w:r>
      <w:r>
        <w:t>they're structural ratios</w:t>
      </w:r>
      <w:r>
        <w:t>. Wipro is an IT services company</w:t>
      </w:r>
      <w:r>
        <w:t xml:space="preserve"> and, unlike most companies, has no factories, processes water, or uses </w:t>
      </w:r>
      <w:r>
        <w:t xml:space="preserve">direct combustion. Comparing these numbers </w:t>
      </w:r>
      <w:r>
        <w:t>to industry averages would be misleading</w:t>
      </w:r>
      <w:r>
        <w:t xml:space="preserve">. There would be real substance to comparing the performance of firms </w:t>
      </w:r>
      <w:r>
        <w:t>such as TCS and</w:t>
      </w:r>
      <w:r>
        <w:t xml:space="preserve"> Infosys.</w:t>
      </w:r>
    </w:p>
    <w:p w14:paraId="6633DD95" w14:textId="67274544" w:rsidR="00FB03FB" w:rsidRDefault="00FB03FB" w:rsidP="00FB03FB">
      <w:r>
        <w:t xml:space="preserve">There was one thing, however, that did arise. I </w:t>
      </w:r>
      <w:r>
        <w:t>compared my three ratios with the three ratios Wipro published in their per-rupee intensity, and each was approximately 1.3 times higher, with nearly the same difference across the three categories:</w:t>
      </w:r>
      <w:r>
        <w:t xml:space="preserve"> GHG, Water, and Energy. Such a convergence suggests that there are no three separate errors, which brings us to a conclusion</w:t>
      </w:r>
      <w:r>
        <w:t>:</w:t>
      </w:r>
      <w:r>
        <w:t xml:space="preserve"> the revenue denominator. I went by Section VI CSR turnover </w:t>
      </w:r>
      <w:r>
        <w:t xml:space="preserve">of 67,293 crore (standalone), since that is the one </w:t>
      </w:r>
      <w:r>
        <w:t xml:space="preserve">given in the assignment table. In fact, Wipro's printed intensities are based on consolidated revenue of around 88,000 </w:t>
      </w:r>
      <w:proofErr w:type="gramStart"/>
      <w:r>
        <w:t>crore</w:t>
      </w:r>
      <w:proofErr w:type="gramEnd"/>
      <w:r>
        <w:t xml:space="preserve">, which relates to the change in the boundary on page 480. A point to note is that about 86 per cent of Wipro's real footprint is in </w:t>
      </w:r>
      <w:proofErr w:type="gramStart"/>
      <w:r>
        <w:t>the Scope</w:t>
      </w:r>
      <w:proofErr w:type="gramEnd"/>
      <w:r>
        <w:t xml:space="preserve"> 3</w:t>
      </w:r>
      <w:r>
        <w:t xml:space="preserve">, and none of the intensity ratios </w:t>
      </w:r>
      <w:proofErr w:type="gramStart"/>
      <w:r>
        <w:t>reflects</w:t>
      </w:r>
      <w:proofErr w:type="gramEnd"/>
      <w:r>
        <w:t xml:space="preserve"> this.</w:t>
      </w:r>
    </w:p>
    <w:p w14:paraId="4F9A08FB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5. GRI Task Approach (Task 2.1)</w:t>
      </w:r>
    </w:p>
    <w:p w14:paraId="62AB7CBB" w14:textId="6613A21F" w:rsidR="00FB03FB" w:rsidRDefault="00FB03FB" w:rsidP="00FB03FB">
      <w:r>
        <w:t xml:space="preserve">In addition to the mandatory BRSR, Wipro's 163-page Sustainability Report </w:t>
      </w:r>
      <w:r>
        <w:t>for FY 2024-25 has been</w:t>
      </w:r>
      <w:r>
        <w:t xml:space="preserve"> published. It is </w:t>
      </w:r>
      <w:proofErr w:type="gramStart"/>
      <w:r>
        <w:t>definitely aligned</w:t>
      </w:r>
      <w:proofErr w:type="gramEnd"/>
      <w:r>
        <w:t xml:space="preserve"> with the GRI (GRI codes are integrated</w:t>
      </w:r>
      <w:r>
        <w:t>,</w:t>
      </w:r>
      <w:r>
        <w:t xml:space="preserve"> and a formal GRI Content Index is included on pages 146-151). Applies to task 2.2 (coverage table). Task 2.3 (</w:t>
      </w:r>
      <w:r>
        <w:t>BRSR-to-GRI</w:t>
      </w:r>
      <w:r>
        <w:t xml:space="preserve"> conceptual mapping) was not needed and was not attempted. The complete 55-disclosure coverage table is found in the Excel workbook, GRI Coverage sheet, which covers the 5 GRI Standards.</w:t>
      </w:r>
    </w:p>
    <w:p w14:paraId="2A86339C" w14:textId="77777777" w:rsidR="0055234B" w:rsidRDefault="00000000">
      <w:pPr>
        <w:spacing w:before="320" w:after="160"/>
      </w:pPr>
      <w:r>
        <w:rPr>
          <w:b/>
          <w:bCs/>
          <w:sz w:val="32"/>
          <w:szCs w:val="32"/>
        </w:rPr>
        <w:t>6. Reflection (Task 2.4)</w:t>
      </w:r>
    </w:p>
    <w:p w14:paraId="7976C075" w14:textId="77777777" w:rsidR="0055234B" w:rsidRDefault="00000000">
      <w:pPr>
        <w:spacing w:after="160"/>
      </w:pPr>
      <w:r>
        <w:t>The obvious answer is that BRSR gave better data. It is templated, numbered, and Deloitte-assured, so extraction was mechanical.</w:t>
      </w:r>
    </w:p>
    <w:p w14:paraId="53943AB1" w14:textId="31E50ABC" w:rsidR="00FB03FB" w:rsidRDefault="00FB03FB" w:rsidP="00FB03FB">
      <w:r>
        <w:t xml:space="preserve">However, the GRI report has the same Deloitte assurance as the BRSR, </w:t>
      </w:r>
      <w:r>
        <w:t xml:space="preserve">since its disclosure points </w:t>
      </w:r>
      <w:proofErr w:type="gramStart"/>
      <w:r>
        <w:t>refer back</w:t>
      </w:r>
      <w:proofErr w:type="gramEnd"/>
      <w:r>
        <w:t xml:space="preserve"> to the same Deloitte assurance</w:t>
      </w:r>
      <w:r>
        <w:t xml:space="preserve">. Wipro will not pay for a second </w:t>
      </w:r>
      <w:proofErr w:type="gramStart"/>
      <w:r>
        <w:t>audit, but</w:t>
      </w:r>
      <w:proofErr w:type="gramEnd"/>
      <w:r>
        <w:t xml:space="preserve"> is reformatting the same assured data set into a second template. The interesting question is </w:t>
      </w:r>
      <w:proofErr w:type="gramStart"/>
      <w:r>
        <w:t>actually not</w:t>
      </w:r>
      <w:proofErr w:type="gramEnd"/>
      <w:r>
        <w:t xml:space="preserve"> </w:t>
      </w:r>
      <w:r>
        <w:t xml:space="preserve">about the data </w:t>
      </w:r>
      <w:r>
        <w:t>offered in the report</w:t>
      </w:r>
      <w:r>
        <w:t>;</w:t>
      </w:r>
      <w:r>
        <w:t xml:space="preserve"> it is why Wipro generates both!</w:t>
      </w:r>
    </w:p>
    <w:p w14:paraId="789C84F2" w14:textId="250FA421" w:rsidR="00FB03FB" w:rsidRDefault="00FB03FB" w:rsidP="00FB03FB">
      <w:r>
        <w:t>The answer to that question is the GRI report. This is Wipro's 18th Sustainability Report</w:t>
      </w:r>
      <w:r>
        <w:t>, published more than 10 years before</w:t>
      </w:r>
      <w:r>
        <w:t xml:space="preserve"> the BRSR. It claims that its materiality process is influenced by ‘SASB, MSCI, EcoVadis, and S&amp;P Global's CSA, BRSR, GRI, ISSB’ and that its disclosures feed ‘global ratings like S&amp;P DJSI, CDP, or FTSE4Good’. There are no domestic ones of those.</w:t>
      </w:r>
    </w:p>
    <w:p w14:paraId="44A663E4" w14:textId="77777777" w:rsidR="00FB03FB" w:rsidRDefault="00FB03FB" w:rsidP="00FB03FB"/>
    <w:p w14:paraId="27A5204A" w14:textId="67E8D0A2" w:rsidR="00FB03FB" w:rsidRDefault="00FB03FB" w:rsidP="00FB03FB">
      <w:r>
        <w:t xml:space="preserve">So BRSR is compliance infra. It is based on </w:t>
      </w:r>
      <w:r>
        <w:t>SEBI's needs</w:t>
      </w:r>
      <w:r>
        <w:t xml:space="preserve">. The GRI report is </w:t>
      </w:r>
      <w:r>
        <w:t>an infrastructure component</w:t>
      </w:r>
      <w:r>
        <w:t xml:space="preserve"> of investor relations. It is because MSCI, DJSI</w:t>
      </w:r>
      <w:r>
        <w:t>, and CDP are the scorecards that global capital reads, whereas BRSR is only a single scorecard</w:t>
      </w:r>
      <w:r>
        <w:t xml:space="preserve">. That is the closest to the whole point of the second report a ratio </w:t>
      </w:r>
      <w:proofErr w:type="gramStart"/>
      <w:r>
        <w:t>can ever</w:t>
      </w:r>
      <w:proofErr w:type="gramEnd"/>
      <w:r>
        <w:t xml:space="preserve"> get for a company that has 97.7 </w:t>
      </w:r>
      <w:r>
        <w:t>per cent of its turnover from exports, and has been listed on the NYSE,</w:t>
      </w:r>
      <w:r>
        <w:t xml:space="preserve"> BSE and NSE.</w:t>
      </w:r>
    </w:p>
    <w:p w14:paraId="7179F851" w14:textId="38C0B2B2" w:rsidR="0055234B" w:rsidRDefault="0055234B" w:rsidP="00FB03FB">
      <w:pPr>
        <w:spacing w:after="160"/>
      </w:pPr>
    </w:p>
    <w:sectPr w:rsidR="0055234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27DB3"/>
    <w:multiLevelType w:val="hybridMultilevel"/>
    <w:tmpl w:val="35CC209A"/>
    <w:lvl w:ilvl="0" w:tplc="054A3A5E">
      <w:start w:val="1"/>
      <w:numFmt w:val="bullet"/>
      <w:lvlText w:val="●"/>
      <w:lvlJc w:val="left"/>
      <w:pPr>
        <w:ind w:left="720" w:hanging="360"/>
      </w:pPr>
    </w:lvl>
    <w:lvl w:ilvl="1" w:tplc="AF14155C">
      <w:start w:val="1"/>
      <w:numFmt w:val="bullet"/>
      <w:lvlText w:val="○"/>
      <w:lvlJc w:val="left"/>
      <w:pPr>
        <w:ind w:left="1440" w:hanging="360"/>
      </w:pPr>
    </w:lvl>
    <w:lvl w:ilvl="2" w:tplc="AFBADF48">
      <w:start w:val="1"/>
      <w:numFmt w:val="bullet"/>
      <w:lvlText w:val="■"/>
      <w:lvlJc w:val="left"/>
      <w:pPr>
        <w:ind w:left="2160" w:hanging="360"/>
      </w:pPr>
    </w:lvl>
    <w:lvl w:ilvl="3" w:tplc="90FC7716">
      <w:start w:val="1"/>
      <w:numFmt w:val="bullet"/>
      <w:lvlText w:val="●"/>
      <w:lvlJc w:val="left"/>
      <w:pPr>
        <w:ind w:left="2880" w:hanging="360"/>
      </w:pPr>
    </w:lvl>
    <w:lvl w:ilvl="4" w:tplc="2196D124">
      <w:start w:val="1"/>
      <w:numFmt w:val="bullet"/>
      <w:lvlText w:val="○"/>
      <w:lvlJc w:val="left"/>
      <w:pPr>
        <w:ind w:left="3600" w:hanging="360"/>
      </w:pPr>
    </w:lvl>
    <w:lvl w:ilvl="5" w:tplc="F836B756">
      <w:start w:val="1"/>
      <w:numFmt w:val="bullet"/>
      <w:lvlText w:val="■"/>
      <w:lvlJc w:val="left"/>
      <w:pPr>
        <w:ind w:left="4320" w:hanging="360"/>
      </w:pPr>
    </w:lvl>
    <w:lvl w:ilvl="6" w:tplc="D7C42CD6">
      <w:start w:val="1"/>
      <w:numFmt w:val="bullet"/>
      <w:lvlText w:val="●"/>
      <w:lvlJc w:val="left"/>
      <w:pPr>
        <w:ind w:left="5040" w:hanging="360"/>
      </w:pPr>
    </w:lvl>
    <w:lvl w:ilvl="7" w:tplc="8E664A8A">
      <w:start w:val="1"/>
      <w:numFmt w:val="bullet"/>
      <w:lvlText w:val="●"/>
      <w:lvlJc w:val="left"/>
      <w:pPr>
        <w:ind w:left="5760" w:hanging="360"/>
      </w:pPr>
    </w:lvl>
    <w:lvl w:ilvl="8" w:tplc="2542A7C8">
      <w:start w:val="1"/>
      <w:numFmt w:val="bullet"/>
      <w:lvlText w:val="●"/>
      <w:lvlJc w:val="left"/>
      <w:pPr>
        <w:ind w:left="6480" w:hanging="360"/>
      </w:pPr>
    </w:lvl>
  </w:abstractNum>
  <w:num w:numId="1" w16cid:durableId="1232228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34B"/>
    <w:rsid w:val="0055234B"/>
    <w:rsid w:val="00E044EF"/>
    <w:rsid w:val="00FB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928F"/>
  <w15:docId w15:val="{8BCB5718-747D-46AE-8F20-A2ED66EA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Bhogi</cp:lastModifiedBy>
  <cp:revision>2</cp:revision>
  <dcterms:created xsi:type="dcterms:W3CDTF">2026-08-27T15:32:00Z</dcterms:created>
  <dcterms:modified xsi:type="dcterms:W3CDTF">2026-08-27T16:19:00Z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f447f4ea-3bcf-4aac-8ef5-2c56f3ef8311</vt:lpwstr>
  </property>
</Properties>
</file>