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5B61" w14:textId="77777777" w:rsidR="00EE3F5D" w:rsidRDefault="00000000">
      <w:pPr>
        <w:spacing w:after="240"/>
        <w:jc w:val="center"/>
      </w:pPr>
      <w:r>
        <w:rPr>
          <w:spacing w:val="60"/>
          <w:sz w:val="20"/>
          <w:szCs w:val="20"/>
        </w:rPr>
        <w:t>TATA INSTITUTE OF SOCIAL SCIENCES</w:t>
      </w:r>
    </w:p>
    <w:p w14:paraId="580B5B73" w14:textId="77777777" w:rsidR="00EE3F5D" w:rsidRDefault="00EE3F5D">
      <w:pPr>
        <w:pBdr>
          <w:bottom w:val="single" w:sz="6" w:space="4" w:color="605D5D"/>
        </w:pBdr>
        <w:spacing w:after="1600"/>
      </w:pPr>
    </w:p>
    <w:p w14:paraId="46C021FE" w14:textId="77777777" w:rsidR="00EE3F5D" w:rsidRDefault="00000000">
      <w:pPr>
        <w:spacing w:after="360"/>
        <w:jc w:val="center"/>
      </w:pPr>
      <w:r>
        <w:rPr>
          <w:b/>
          <w:color w:val="7D5411"/>
          <w:spacing w:val="60"/>
          <w:sz w:val="22"/>
          <w:szCs w:val="22"/>
        </w:rPr>
        <w:t>INDIVIDUAL URBAN FIELDWORK</w:t>
      </w:r>
    </w:p>
    <w:p w14:paraId="53E4F799" w14:textId="77777777" w:rsidR="00EE3F5D" w:rsidRDefault="00000000">
      <w:pPr>
        <w:spacing w:after="200"/>
        <w:jc w:val="center"/>
      </w:pPr>
      <w:r>
        <w:rPr>
          <w:sz w:val="56"/>
          <w:szCs w:val="56"/>
        </w:rPr>
        <w:t>The Tourism Resource Curse</w:t>
      </w:r>
    </w:p>
    <w:p w14:paraId="11FB78C2" w14:textId="77777777" w:rsidR="00EE3F5D" w:rsidRDefault="00000000">
      <w:pPr>
        <w:spacing w:after="480"/>
        <w:jc w:val="center"/>
      </w:pPr>
      <w:r>
        <w:rPr>
          <w:i/>
          <w:sz w:val="28"/>
          <w:szCs w:val="28"/>
        </w:rPr>
        <w:t>Geographic crowding-out, mono-dependence and resignation in a Himalayan hill station</w:t>
      </w:r>
    </w:p>
    <w:p w14:paraId="77546B96" w14:textId="77777777" w:rsidR="00EE3F5D" w:rsidRDefault="00000000">
      <w:pPr>
        <w:spacing w:after="1800"/>
        <w:jc w:val="center"/>
      </w:pPr>
      <w:r>
        <w:rPr>
          <w:b/>
          <w:spacing w:val="60"/>
          <w:sz w:val="20"/>
          <w:szCs w:val="20"/>
        </w:rPr>
        <w:t>NAINITAL, UTTARAKHAND</w:t>
      </w:r>
    </w:p>
    <w:p w14:paraId="7CB053C6" w14:textId="77777777" w:rsidR="00EE3F5D" w:rsidRDefault="00EE3F5D">
      <w:pPr>
        <w:pBdr>
          <w:top w:val="single" w:sz="6" w:space="8" w:color="605D5D"/>
        </w:pBdr>
        <w:spacing w:after="200"/>
      </w:pPr>
    </w:p>
    <w:p w14:paraId="138ABD8E" w14:textId="77777777" w:rsidR="00EE3F5D" w:rsidRDefault="00000000">
      <w:pPr>
        <w:spacing w:after="80"/>
        <w:jc w:val="center"/>
      </w:pPr>
      <w:r>
        <w:rPr>
          <w:color w:val="605D5D"/>
          <w:spacing w:val="40"/>
          <w:sz w:val="19"/>
          <w:szCs w:val="19"/>
        </w:rPr>
        <w:t>Submitted by</w:t>
      </w:r>
      <w:r>
        <w:rPr>
          <w:b/>
        </w:rPr>
        <w:t xml:space="preserve">   Yug Bhogi</w:t>
      </w:r>
    </w:p>
    <w:p w14:paraId="4C96B658" w14:textId="77777777" w:rsidR="00EE3F5D" w:rsidRDefault="00000000">
      <w:pPr>
        <w:spacing w:after="80"/>
        <w:jc w:val="center"/>
      </w:pPr>
      <w:r>
        <w:rPr>
          <w:color w:val="605D5D"/>
          <w:spacing w:val="40"/>
          <w:sz w:val="19"/>
          <w:szCs w:val="19"/>
        </w:rPr>
        <w:t>Submitted to</w:t>
      </w:r>
      <w:r>
        <w:t xml:space="preserve">   LMRF</w:t>
      </w:r>
    </w:p>
    <w:p w14:paraId="4CDE2BEE" w14:textId="77777777" w:rsidR="00EE3F5D" w:rsidRDefault="00000000">
      <w:pPr>
        <w:spacing w:after="80"/>
        <w:jc w:val="center"/>
      </w:pPr>
      <w:r>
        <w:rPr>
          <w:color w:val="605D5D"/>
          <w:spacing w:val="40"/>
          <w:sz w:val="19"/>
          <w:szCs w:val="19"/>
        </w:rPr>
        <w:t>Programme</w:t>
      </w:r>
      <w:r>
        <w:t xml:space="preserve">   BS in Analytics and Sustainability Studies</w:t>
      </w:r>
    </w:p>
    <w:p w14:paraId="02481AC3" w14:textId="77777777" w:rsidR="00EE3F5D" w:rsidRDefault="00000000">
      <w:pPr>
        <w:spacing w:after="0"/>
        <w:jc w:val="center"/>
      </w:pPr>
      <w:r>
        <w:rPr>
          <w:color w:val="605D5D"/>
          <w:spacing w:val="40"/>
          <w:sz w:val="19"/>
          <w:szCs w:val="19"/>
        </w:rPr>
        <w:t>Field immersion</w:t>
      </w:r>
      <w:r>
        <w:t xml:space="preserve">   Nainital, June 2026</w:t>
      </w:r>
    </w:p>
    <w:p w14:paraId="23376164" w14:textId="77777777" w:rsidR="00EE3F5D" w:rsidRDefault="00EE3F5D">
      <w:pPr>
        <w:spacing w:after="0"/>
      </w:pPr>
    </w:p>
    <w:p w14:paraId="1E9FF5CD" w14:textId="77777777" w:rsidR="00EE3F5D" w:rsidRDefault="00EE3F5D">
      <w:pPr>
        <w:spacing w:after="0"/>
        <w:rPr>
          <w:sz w:val="2"/>
        </w:rPr>
        <w:sectPr w:rsidR="00EE3F5D">
          <w:pgSz w:w="11906" w:h="16838"/>
          <w:pgMar w:top="1080" w:right="1080" w:bottom="1080" w:left="1080" w:header="620" w:footer="620" w:gutter="0"/>
          <w:pgBorders w:offsetFrom="page">
            <w:top w:val="single" w:sz="4" w:space="24" w:color="8A8686"/>
            <w:left w:val="single" w:sz="4" w:space="24" w:color="8A8686"/>
            <w:bottom w:val="single" w:sz="4" w:space="24" w:color="8A8686"/>
            <w:right w:val="single" w:sz="4" w:space="24" w:color="8A8686"/>
          </w:pgBorders>
          <w:cols w:space="720"/>
        </w:sectPr>
      </w:pPr>
    </w:p>
    <w:p w14:paraId="79A573FD" w14:textId="77777777" w:rsidR="00EE3F5D" w:rsidRDefault="00000000">
      <w:pPr>
        <w:pStyle w:val="Heading1"/>
      </w:pPr>
      <w:bookmarkStart w:id="0" w:name="_Toc238413264"/>
      <w:r>
        <w:lastRenderedPageBreak/>
        <w:t>Contents</w:t>
      </w:r>
      <w:bookmarkEnd w:id="0"/>
    </w:p>
    <w:p w14:paraId="5B5FABCB" w14:textId="77777777" w:rsidR="00AB6564" w:rsidRDefault="00000000">
      <w:pPr>
        <w:pStyle w:val="TOC1"/>
        <w:rPr>
          <w:rFonts w:asciiTheme="minorHAnsi" w:eastAsiaTheme="minorEastAsia" w:hAnsiTheme="minorHAnsi" w:cstheme="minorBidi"/>
          <w:b w:val="0"/>
          <w:noProof/>
          <w:color w:val="auto"/>
          <w:kern w:val="2"/>
          <w:lang w:val="en-US"/>
          <w14:ligatures w14:val="standardContextual"/>
        </w:rPr>
      </w:pPr>
      <w:r>
        <w:fldChar w:fldCharType="begin"/>
      </w:r>
      <w:r>
        <w:instrText xml:space="preserve">TOC \o "1-2" \h \z \u </w:instrText>
      </w:r>
      <w:r>
        <w:fldChar w:fldCharType="separate"/>
      </w:r>
      <w:hyperlink w:anchor="_Toc238413264" w:history="1">
        <w:r w:rsidR="00AB6564" w:rsidRPr="00AE590F">
          <w:rPr>
            <w:rStyle w:val="Hyperlink"/>
            <w:noProof/>
          </w:rPr>
          <w:t>Contents</w:t>
        </w:r>
        <w:r w:rsidR="00AB6564">
          <w:rPr>
            <w:noProof/>
            <w:webHidden/>
          </w:rPr>
          <w:tab/>
        </w:r>
        <w:r w:rsidR="00AB6564">
          <w:rPr>
            <w:noProof/>
            <w:webHidden/>
          </w:rPr>
          <w:fldChar w:fldCharType="begin"/>
        </w:r>
        <w:r w:rsidR="00AB6564">
          <w:rPr>
            <w:noProof/>
            <w:webHidden/>
          </w:rPr>
          <w:instrText xml:space="preserve"> PAGEREF _Toc238413264 \h </w:instrText>
        </w:r>
        <w:r w:rsidR="00AB6564">
          <w:rPr>
            <w:noProof/>
            <w:webHidden/>
          </w:rPr>
        </w:r>
        <w:r w:rsidR="00AB6564">
          <w:rPr>
            <w:noProof/>
            <w:webHidden/>
          </w:rPr>
          <w:fldChar w:fldCharType="separate"/>
        </w:r>
        <w:r w:rsidR="00AB6564">
          <w:rPr>
            <w:noProof/>
            <w:webHidden/>
          </w:rPr>
          <w:t>i</w:t>
        </w:r>
        <w:r w:rsidR="00AB6564">
          <w:rPr>
            <w:noProof/>
            <w:webHidden/>
          </w:rPr>
          <w:fldChar w:fldCharType="end"/>
        </w:r>
      </w:hyperlink>
    </w:p>
    <w:p w14:paraId="004E6065" w14:textId="29220EA3"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65" w:history="1">
        <w:r w:rsidRPr="00AE590F">
          <w:rPr>
            <w:rStyle w:val="Hyperlink"/>
            <w:noProof/>
          </w:rPr>
          <w:t>1.  Introduction</w:t>
        </w:r>
        <w:r>
          <w:rPr>
            <w:noProof/>
            <w:webHidden/>
          </w:rPr>
          <w:tab/>
        </w:r>
      </w:hyperlink>
      <w:r w:rsidR="00A96393">
        <w:t>1</w:t>
      </w:r>
    </w:p>
    <w:p w14:paraId="59D4A768" w14:textId="388C3013"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66" w:history="1">
        <w:r w:rsidRPr="00AE590F">
          <w:rPr>
            <w:rStyle w:val="Hyperlink"/>
            <w:noProof/>
          </w:rPr>
          <w:t>2.  Literature Review</w:t>
        </w:r>
        <w:r>
          <w:rPr>
            <w:noProof/>
            <w:webHidden/>
          </w:rPr>
          <w:tab/>
        </w:r>
        <w:r w:rsidR="00A96393">
          <w:rPr>
            <w:noProof/>
            <w:webHidden/>
          </w:rPr>
          <w:t>2</w:t>
        </w:r>
      </w:hyperlink>
    </w:p>
    <w:p w14:paraId="4E271AC5" w14:textId="28980913"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67" w:history="1">
        <w:r w:rsidRPr="00AE590F">
          <w:rPr>
            <w:rStyle w:val="Hyperlink"/>
            <w:noProof/>
          </w:rPr>
          <w:t>2.1  Resource curse theory and its extension to tourism</w:t>
        </w:r>
        <w:r>
          <w:rPr>
            <w:noProof/>
            <w:webHidden/>
          </w:rPr>
          <w:tab/>
        </w:r>
        <w:r w:rsidR="00A96393">
          <w:rPr>
            <w:noProof/>
            <w:webHidden/>
          </w:rPr>
          <w:t>2</w:t>
        </w:r>
      </w:hyperlink>
    </w:p>
    <w:p w14:paraId="4D3AE590" w14:textId="68DD8D8D"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68" w:history="1">
        <w:r w:rsidRPr="00AE590F">
          <w:rPr>
            <w:rStyle w:val="Hyperlink"/>
            <w:noProof/>
          </w:rPr>
          <w:t>2.2  Sustainable tourism and the limits of the distribution frame</w:t>
        </w:r>
        <w:r>
          <w:rPr>
            <w:noProof/>
            <w:webHidden/>
          </w:rPr>
          <w:tab/>
        </w:r>
        <w:r w:rsidR="00A96393">
          <w:rPr>
            <w:noProof/>
            <w:webHidden/>
          </w:rPr>
          <w:t>2</w:t>
        </w:r>
      </w:hyperlink>
    </w:p>
    <w:p w14:paraId="678591AA" w14:textId="17FFC823"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69" w:history="1">
        <w:r w:rsidRPr="00AE590F">
          <w:rPr>
            <w:rStyle w:val="Hyperlink"/>
            <w:noProof/>
          </w:rPr>
          <w:t>2.3  Himalayan hill stations and the colonial inheritance</w:t>
        </w:r>
        <w:r>
          <w:rPr>
            <w:noProof/>
            <w:webHidden/>
          </w:rPr>
          <w:tab/>
        </w:r>
        <w:r w:rsidR="00A96393">
          <w:rPr>
            <w:noProof/>
            <w:webHidden/>
          </w:rPr>
          <w:t>3</w:t>
        </w:r>
      </w:hyperlink>
    </w:p>
    <w:p w14:paraId="0A32041F" w14:textId="62A6D393"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0" w:history="1">
        <w:r w:rsidRPr="00AE590F">
          <w:rPr>
            <w:rStyle w:val="Hyperlink"/>
            <w:noProof/>
          </w:rPr>
          <w:t>2.4  The Uttarakhand policy context</w:t>
        </w:r>
        <w:r>
          <w:rPr>
            <w:noProof/>
            <w:webHidden/>
          </w:rPr>
          <w:tab/>
        </w:r>
        <w:r w:rsidR="00A96393">
          <w:rPr>
            <w:noProof/>
            <w:webHidden/>
          </w:rPr>
          <w:t>3</w:t>
        </w:r>
      </w:hyperlink>
    </w:p>
    <w:p w14:paraId="3BD4D92D" w14:textId="6C1FFF05"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1" w:history="1">
        <w:r w:rsidRPr="00AE590F">
          <w:rPr>
            <w:rStyle w:val="Hyperlink"/>
            <w:noProof/>
          </w:rPr>
          <w:t>2.5  The gap this paper fills</w:t>
        </w:r>
        <w:r>
          <w:rPr>
            <w:noProof/>
            <w:webHidden/>
          </w:rPr>
          <w:tab/>
        </w:r>
        <w:r w:rsidR="00A96393">
          <w:rPr>
            <w:noProof/>
            <w:webHidden/>
          </w:rPr>
          <w:t>4</w:t>
        </w:r>
      </w:hyperlink>
    </w:p>
    <w:p w14:paraId="6F9C6ADC" w14:textId="5189C0A5"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72" w:history="1">
        <w:r w:rsidRPr="00AE590F">
          <w:rPr>
            <w:rStyle w:val="Hyperlink"/>
            <w:noProof/>
          </w:rPr>
          <w:t>3.  Theoretical Framing</w:t>
        </w:r>
        <w:r>
          <w:rPr>
            <w:noProof/>
            <w:webHidden/>
          </w:rPr>
          <w:tab/>
        </w:r>
        <w:r w:rsidR="00A96393">
          <w:rPr>
            <w:noProof/>
            <w:webHidden/>
          </w:rPr>
          <w:t>4</w:t>
        </w:r>
      </w:hyperlink>
    </w:p>
    <w:p w14:paraId="5EBC801E" w14:textId="398CC761"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73" w:history="1">
        <w:r w:rsidRPr="00AE590F">
          <w:rPr>
            <w:rStyle w:val="Hyperlink"/>
            <w:noProof/>
          </w:rPr>
          <w:t>4.  Methodology</w:t>
        </w:r>
        <w:r>
          <w:rPr>
            <w:noProof/>
            <w:webHidden/>
          </w:rPr>
          <w:tab/>
        </w:r>
        <w:r w:rsidR="00A96393">
          <w:rPr>
            <w:noProof/>
            <w:webHidden/>
          </w:rPr>
          <w:t>5</w:t>
        </w:r>
      </w:hyperlink>
    </w:p>
    <w:p w14:paraId="008BE508" w14:textId="7AE84BB8"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74" w:history="1">
        <w:r w:rsidRPr="00AE590F">
          <w:rPr>
            <w:rStyle w:val="Hyperlink"/>
            <w:noProof/>
          </w:rPr>
          <w:t>5.  Analysis</w:t>
        </w:r>
        <w:r>
          <w:rPr>
            <w:noProof/>
            <w:webHidden/>
          </w:rPr>
          <w:tab/>
        </w:r>
        <w:r w:rsidR="00A96393">
          <w:rPr>
            <w:noProof/>
            <w:webHidden/>
          </w:rPr>
          <w:t>6</w:t>
        </w:r>
      </w:hyperlink>
    </w:p>
    <w:p w14:paraId="11DE0720" w14:textId="370C6BCA"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5" w:history="1">
        <w:r w:rsidRPr="00AE590F">
          <w:rPr>
            <w:rStyle w:val="Hyperlink"/>
            <w:noProof/>
          </w:rPr>
          <w:t>5.1  The town runs on one engine</w:t>
        </w:r>
        <w:r>
          <w:rPr>
            <w:noProof/>
            <w:webHidden/>
          </w:rPr>
          <w:tab/>
        </w:r>
        <w:r w:rsidR="00A96393">
          <w:rPr>
            <w:noProof/>
            <w:webHidden/>
          </w:rPr>
          <w:t>6</w:t>
        </w:r>
      </w:hyperlink>
    </w:p>
    <w:p w14:paraId="0DC41857" w14:textId="69C9D5A9"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6" w:history="1">
        <w:r w:rsidRPr="00AE590F">
          <w:rPr>
            <w:rStyle w:val="Hyperlink"/>
            <w:noProof/>
          </w:rPr>
          <w:t>5.2  The engine is eating its own fuel</w:t>
        </w:r>
        <w:r>
          <w:rPr>
            <w:noProof/>
            <w:webHidden/>
          </w:rPr>
          <w:tab/>
        </w:r>
        <w:r w:rsidR="00A96393">
          <w:rPr>
            <w:noProof/>
            <w:webHidden/>
          </w:rPr>
          <w:t>7</w:t>
        </w:r>
      </w:hyperlink>
    </w:p>
    <w:p w14:paraId="36E68C0C" w14:textId="2E2454CD"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7" w:history="1">
        <w:r w:rsidRPr="00AE590F">
          <w:rPr>
            <w:rStyle w:val="Hyperlink"/>
            <w:noProof/>
          </w:rPr>
          <w:t>5.3  Who bears the cost of dependency</w:t>
        </w:r>
        <w:r>
          <w:rPr>
            <w:noProof/>
            <w:webHidden/>
          </w:rPr>
          <w:tab/>
        </w:r>
        <w:r w:rsidR="00A96393">
          <w:rPr>
            <w:noProof/>
            <w:webHidden/>
          </w:rPr>
          <w:t>8</w:t>
        </w:r>
      </w:hyperlink>
    </w:p>
    <w:p w14:paraId="459780AA" w14:textId="7092B607"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8" w:history="1">
        <w:r w:rsidRPr="00AE590F">
          <w:rPr>
            <w:rStyle w:val="Hyperlink"/>
            <w:noProof/>
          </w:rPr>
          <w:t>5.4  What the data does not show</w:t>
        </w:r>
        <w:r>
          <w:rPr>
            <w:noProof/>
            <w:webHidden/>
          </w:rPr>
          <w:tab/>
        </w:r>
        <w:r w:rsidR="00A96393">
          <w:rPr>
            <w:noProof/>
            <w:webHidden/>
          </w:rPr>
          <w:t>9</w:t>
        </w:r>
      </w:hyperlink>
    </w:p>
    <w:p w14:paraId="602FC2E3" w14:textId="298BEC80" w:rsidR="00AB6564" w:rsidRDefault="00AB6564">
      <w:pPr>
        <w:pStyle w:val="TOC2"/>
        <w:rPr>
          <w:rFonts w:asciiTheme="minorHAnsi" w:eastAsiaTheme="minorEastAsia" w:hAnsiTheme="minorHAnsi" w:cstheme="minorBidi"/>
          <w:noProof/>
          <w:color w:val="auto"/>
          <w:kern w:val="2"/>
          <w:sz w:val="24"/>
          <w:szCs w:val="24"/>
          <w:lang w:val="en-US"/>
          <w14:ligatures w14:val="standardContextual"/>
        </w:rPr>
      </w:pPr>
      <w:hyperlink w:anchor="_Toc238413279" w:history="1">
        <w:r w:rsidRPr="00AE590F">
          <w:rPr>
            <w:rStyle w:val="Hyperlink"/>
            <w:noProof/>
          </w:rPr>
          <w:t>5.5  The view from the other side</w:t>
        </w:r>
        <w:r>
          <w:rPr>
            <w:noProof/>
            <w:webHidden/>
          </w:rPr>
          <w:tab/>
        </w:r>
        <w:r w:rsidR="00A96393">
          <w:rPr>
            <w:noProof/>
            <w:webHidden/>
          </w:rPr>
          <w:t>9</w:t>
        </w:r>
      </w:hyperlink>
    </w:p>
    <w:p w14:paraId="23546318" w14:textId="02FE5199"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80" w:history="1">
        <w:r w:rsidRPr="00AE590F">
          <w:rPr>
            <w:rStyle w:val="Hyperlink"/>
            <w:noProof/>
          </w:rPr>
          <w:t>6.  Discussion</w:t>
        </w:r>
        <w:r>
          <w:rPr>
            <w:noProof/>
            <w:webHidden/>
          </w:rPr>
          <w:tab/>
        </w:r>
        <w:r w:rsidR="00A96393">
          <w:rPr>
            <w:noProof/>
            <w:webHidden/>
          </w:rPr>
          <w:t>9</w:t>
        </w:r>
      </w:hyperlink>
    </w:p>
    <w:p w14:paraId="776A6762" w14:textId="54A65362"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81" w:history="1">
        <w:r w:rsidRPr="00AE590F">
          <w:rPr>
            <w:rStyle w:val="Hyperlink"/>
            <w:noProof/>
          </w:rPr>
          <w:t>7.  Conclusion</w:t>
        </w:r>
        <w:r>
          <w:rPr>
            <w:noProof/>
            <w:webHidden/>
          </w:rPr>
          <w:tab/>
        </w:r>
        <w:r w:rsidR="00A96393">
          <w:rPr>
            <w:noProof/>
            <w:webHidden/>
          </w:rPr>
          <w:t>11</w:t>
        </w:r>
      </w:hyperlink>
    </w:p>
    <w:p w14:paraId="480D085F" w14:textId="2E05FC53" w:rsidR="00AB6564" w:rsidRDefault="00AB6564">
      <w:pPr>
        <w:pStyle w:val="TOC1"/>
        <w:rPr>
          <w:rFonts w:asciiTheme="minorHAnsi" w:eastAsiaTheme="minorEastAsia" w:hAnsiTheme="minorHAnsi" w:cstheme="minorBidi"/>
          <w:b w:val="0"/>
          <w:noProof/>
          <w:color w:val="auto"/>
          <w:kern w:val="2"/>
          <w:lang w:val="en-US"/>
          <w14:ligatures w14:val="standardContextual"/>
        </w:rPr>
      </w:pPr>
      <w:hyperlink w:anchor="_Toc238413282" w:history="1">
        <w:r w:rsidRPr="00AE590F">
          <w:rPr>
            <w:rStyle w:val="Hyperlink"/>
            <w:noProof/>
          </w:rPr>
          <w:t>References</w:t>
        </w:r>
        <w:r>
          <w:rPr>
            <w:noProof/>
            <w:webHidden/>
          </w:rPr>
          <w:tab/>
        </w:r>
        <w:r>
          <w:rPr>
            <w:noProof/>
            <w:webHidden/>
          </w:rPr>
          <w:fldChar w:fldCharType="begin"/>
        </w:r>
        <w:r>
          <w:rPr>
            <w:noProof/>
            <w:webHidden/>
          </w:rPr>
          <w:instrText xml:space="preserve"> PAGEREF _Toc238413282 \h </w:instrText>
        </w:r>
        <w:r>
          <w:rPr>
            <w:noProof/>
            <w:webHidden/>
          </w:rPr>
        </w:r>
        <w:r>
          <w:rPr>
            <w:noProof/>
            <w:webHidden/>
          </w:rPr>
          <w:fldChar w:fldCharType="separate"/>
        </w:r>
        <w:r>
          <w:rPr>
            <w:noProof/>
            <w:webHidden/>
          </w:rPr>
          <w:t>1</w:t>
        </w:r>
        <w:r>
          <w:rPr>
            <w:noProof/>
            <w:webHidden/>
          </w:rPr>
          <w:fldChar w:fldCharType="end"/>
        </w:r>
      </w:hyperlink>
      <w:r w:rsidR="00A96393">
        <w:t xml:space="preserve">2  </w:t>
      </w:r>
    </w:p>
    <w:p w14:paraId="37070266" w14:textId="77777777" w:rsidR="00EE3F5D" w:rsidRDefault="00000000">
      <w:pPr>
        <w:tabs>
          <w:tab w:val="right" w:leader="dot" w:pos="9746"/>
        </w:tabs>
        <w:spacing w:after="120"/>
      </w:pPr>
      <w:r>
        <w:fldChar w:fldCharType="end"/>
      </w:r>
    </w:p>
    <w:p w14:paraId="22F3CD63" w14:textId="77777777" w:rsidR="00EE3F5D" w:rsidRDefault="00EE3F5D">
      <w:pPr>
        <w:spacing w:after="0"/>
        <w:rPr>
          <w:sz w:val="2"/>
        </w:rPr>
        <w:sectPr w:rsidR="00EE3F5D">
          <w:headerReference w:type="default" r:id="rId6"/>
          <w:footerReference w:type="default" r:id="rId7"/>
          <w:pgSz w:w="11906" w:h="16838"/>
          <w:pgMar w:top="1080" w:right="1080" w:bottom="1080" w:left="1080" w:header="620" w:footer="620" w:gutter="0"/>
          <w:pgBorders w:offsetFrom="page">
            <w:top w:val="single" w:sz="4" w:space="24" w:color="8A8686"/>
            <w:left w:val="single" w:sz="4" w:space="24" w:color="8A8686"/>
            <w:bottom w:val="single" w:sz="4" w:space="24" w:color="8A8686"/>
            <w:right w:val="single" w:sz="4" w:space="24" w:color="8A8686"/>
          </w:pgBorders>
          <w:pgNumType w:fmt="lowerRoman" w:start="1"/>
          <w:cols w:space="720"/>
        </w:sectPr>
      </w:pPr>
    </w:p>
    <w:p w14:paraId="7E1B09A1" w14:textId="77777777" w:rsidR="00EE3F5D" w:rsidRDefault="00000000">
      <w:pPr>
        <w:pStyle w:val="Heading1"/>
      </w:pPr>
      <w:bookmarkStart w:id="1" w:name="_Toc238413265"/>
      <w:r>
        <w:lastRenderedPageBreak/>
        <w:t>1.  Introduction</w:t>
      </w:r>
      <w:bookmarkEnd w:id="1"/>
    </w:p>
    <w:p w14:paraId="6E4D6E4E" w14:textId="77777777" w:rsidR="00EE3F5D" w:rsidRDefault="00000000">
      <w:pPr>
        <w:pStyle w:val="BodyText"/>
      </w:pPr>
      <w:r>
        <w:t>Nainital receives around 3.5 million visitors in a year; that is a lot, given it was built for only around 40,000 residents. This is not an approximation of a problem; this is an actual problem, just expressed as a ratio. It is a place that was planned to be either a village or a town by the British colonial government officials for a summer holiday destination, but which is now expected to house, feed, provide water to, and dispose of waste from a population 10 times greater than what it is designed for during its peak months. Moreover, surrounded by steep slopes on all four sides and with no hard, flat ground available for industry or agriculture to expand beyond, there is no direction except into the sector that is already pushing the economy too far.</w:t>
      </w:r>
    </w:p>
    <w:p w14:paraId="2B8D9A40" w14:textId="77777777" w:rsidR="00EE3F5D" w:rsidRDefault="00000000">
      <w:pPr>
        <w:pStyle w:val="BodyText"/>
      </w:pPr>
      <w:r>
        <w:t>This paper explores the implications for a place's fate when the only thing that allows its economy to function is the same force destroying its resource base, and the people who live there know it but cannot change it. The argument is developed using an adapted resource curse theory. The resource curse, which was first proposed to explain the underperformance of oil- and mineral-rich countries (Auty, 1993; Sachs &amp; Warner, 1995), is a phenomenon that involves institutional distortions, the exclusion of other industry sectors, and the inability of the population to escape from the sector on which they depend. The framework developed here for tourism-dependent hill stations can be applied to examine whether the pattern is replicated in cases of non-wage crowding out, where the resource is not an exportable good but rather the town's own environment and water supply.</w:t>
      </w:r>
    </w:p>
    <w:p w14:paraId="72636316" w14:textId="77777777" w:rsidR="00EE3F5D" w:rsidRDefault="00000000">
      <w:pPr>
        <w:pStyle w:val="BodyText"/>
      </w:pPr>
      <w:r>
        <w:t xml:space="preserve">The problem this paper addresses </w:t>
      </w:r>
      <w:proofErr w:type="gramStart"/>
      <w:r>
        <w:t>is</w:t>
      </w:r>
      <w:proofErr w:type="gramEnd"/>
      <w:r>
        <w:t xml:space="preserve"> that the basic vocabulary of sustainable tourism does not fully capture what is happening in Nainital. It often treats tourism-related harms as management failures that can be solved through better regulation, planning, or fairer distribution of resources. However, these solutions do not address Nainital's deeper problem. There is no alternative economic sector that can replace tourism and provide residents with similar livelihoods. In addition, better distribution cannot overcome the town's geographical constraints. This creates a situation in which Nainital cannot escape tourism, even though it is contributing to its decline. The very sector putting pressure on the town is also the one that keeps the town's economy functioning. This paper, therefore, asks whether the resource curse theory still applies when the trap is not primarily economic but geographical, and what this means for people who can recognise the trap but have no realistic way to escape it.</w:t>
      </w:r>
    </w:p>
    <w:p w14:paraId="69DD3B06" w14:textId="77777777" w:rsidR="00EE3F5D" w:rsidRDefault="00000000">
      <w:pPr>
        <w:pStyle w:val="BodyText"/>
      </w:pPr>
      <w:r>
        <w:t>The empirical basis comprises structured survey data collected from five stakeholders during a field immersion in June 2026, as well as informal field conversations with residents and small business owners. The data tells us a town where the labour force has nothing to fall back on; where vast majorities in every subgroup, regardless of their opinions on tourism, see the negative effects of tourism; and where visitors who drive the demand have a different experience of the same place as those who absorb the impacts of it. The paper refers to this as the tourism resource curse. It concludes that the only solution is not about the distributional impact of tourism but rather about the article's conclusion: there is no alternative to tourism.</w:t>
      </w:r>
    </w:p>
    <w:p w14:paraId="672E5515" w14:textId="77777777" w:rsidR="00EE3F5D" w:rsidRDefault="00000000">
      <w:pPr>
        <w:pStyle w:val="BodyText"/>
      </w:pPr>
      <w:r>
        <w:t xml:space="preserve">The paper is organised as follows. The literature review in the following section includes work on tourism dependency, resource curse theory, and Environmental Justice in the context of tourism. This is followed by a theoretical framing in which the channels of the classical resource curse are mapped on the conditions in Nainital. The methodology section describes the survey instruments, data cleaning, </w:t>
      </w:r>
      <w:r>
        <w:lastRenderedPageBreak/>
        <w:t>and statistical approach. A fourfold perspective of the curse is explored. The findings are interwoven into the discussion, which is also related to field observations and the larger theoretical discussion. Last, a statement of limitations and directions for further research is included.</w:t>
      </w:r>
    </w:p>
    <w:p w14:paraId="7782E2CA" w14:textId="77777777" w:rsidR="00EE3F5D" w:rsidRDefault="00000000">
      <w:pPr>
        <w:pStyle w:val="Heading1"/>
      </w:pPr>
      <w:bookmarkStart w:id="2" w:name="_Toc238413266"/>
      <w:r>
        <w:t>2.  Literature Review</w:t>
      </w:r>
      <w:bookmarkEnd w:id="2"/>
    </w:p>
    <w:p w14:paraId="73434941" w14:textId="77777777" w:rsidR="00EE3F5D" w:rsidRDefault="00000000">
      <w:pPr>
        <w:pStyle w:val="BodyText"/>
      </w:pPr>
      <w:r>
        <w:t>This paper draws on four distinct streams in the literature. Usually, they do not converse with one another. One by one, each is discussed, and then the gap the case of Nainital falls into is identified.</w:t>
      </w:r>
    </w:p>
    <w:p w14:paraId="775E35C6" w14:textId="77777777" w:rsidR="00EE3F5D" w:rsidRDefault="00000000">
      <w:pPr>
        <w:pStyle w:val="Heading2"/>
      </w:pPr>
      <w:bookmarkStart w:id="3" w:name="_Toc238413267"/>
      <w:proofErr w:type="gramStart"/>
      <w:r>
        <w:t>2.1  Resource</w:t>
      </w:r>
      <w:proofErr w:type="gramEnd"/>
      <w:r>
        <w:t xml:space="preserve"> curse theory and its extension to tourism</w:t>
      </w:r>
      <w:bookmarkEnd w:id="3"/>
    </w:p>
    <w:p w14:paraId="7441F42C" w14:textId="77777777" w:rsidR="00EE3F5D" w:rsidRDefault="00000000">
      <w:pPr>
        <w:pStyle w:val="BodyText"/>
      </w:pPr>
      <w:r>
        <w:t xml:space="preserve">The term 'resource curse' refers to a paradox, first identified by economists in the twentieth century. The low growth rates and greater inequality in growth rates in countries with abundant oil, gas, or mineral resources illustrate this. The name has been assigned by Auty (1993). Sachs and Warner (1995) demonstrated </w:t>
      </w:r>
      <w:proofErr w:type="gramStart"/>
      <w:r>
        <w:t>this using figures</w:t>
      </w:r>
      <w:proofErr w:type="gramEnd"/>
      <w:r>
        <w:t xml:space="preserve"> from dozens of countries and proposed four explanations for how it works. The majority sector (dominant sector) attracts investment and labour, while the other sectors suffer. Revenue is highly volatile, depending on global market prices, and planning is difficult. The government puts itself in the service of its strongest sectors. The base of resources is depleted, and the resources are damaged.</w:t>
      </w:r>
    </w:p>
    <w:p w14:paraId="214136F2" w14:textId="77777777" w:rsidR="00EE3F5D" w:rsidRDefault="00000000">
      <w:pPr>
        <w:pStyle w:val="BodyText"/>
      </w:pPr>
      <w:r>
        <w:t>After 20 years of research on the theory, Frankel (2010) landed upon some important conclusions. The phenomenon of the curse does not necessarily follow. It is a function of the strength of the nation's institutions and its ability to manage its finances. The curse is elaborated as a weakness of institutions, plus dependence. However, dependence and strong institutions are not consistent. This is important for Nainital because it applies to both the region and Nainital, the capital of Nainital.</w:t>
      </w:r>
    </w:p>
    <w:p w14:paraId="5DE5983C" w14:textId="77777777" w:rsidR="00EE3F5D" w:rsidRDefault="00000000">
      <w:pPr>
        <w:pStyle w:val="BodyText"/>
      </w:pPr>
      <w:r>
        <w:t>The theory's application to tourism is new. Geoffrey Deng, Ma, and Cao (2014) tested this across different provinces in China and found that provinces that rely on tourism grew more slowly in the long term. They also caught on to a purity. Indeed, the Dutch disease mechanism, the part of the theory related to currency appreciation, is relatively weak in the case of tourist inflows: tourism is not an export. This paper follows that line of thought and suggests that the crowding-out effect Nainital experiences is not monetary but geographic. Other researchers have been analysing the relationship between tourism and growth, and the results have been variable (Sequeira &amp; Nunes, 2008; Eugenio-Martin &amp; Morales, 2004). Certain tourist destinations will benefit from the specialisation of tourism. Others are afflicted with it. The recent resource-curse tourism literature uses the terms "distribution" and "institutions," whereas the earlier literature studied only GDP.</w:t>
      </w:r>
    </w:p>
    <w:p w14:paraId="4C0E2A16" w14:textId="77777777" w:rsidR="00EE3F5D" w:rsidRDefault="00000000">
      <w:pPr>
        <w:pStyle w:val="Heading2"/>
      </w:pPr>
      <w:bookmarkStart w:id="4" w:name="_Toc238413268"/>
      <w:proofErr w:type="gramStart"/>
      <w:r>
        <w:t>2.2  Sustainable</w:t>
      </w:r>
      <w:proofErr w:type="gramEnd"/>
      <w:r>
        <w:t xml:space="preserve"> tourism and the limits of the distribution frame</w:t>
      </w:r>
      <w:bookmarkEnd w:id="4"/>
    </w:p>
    <w:p w14:paraId="5671643C" w14:textId="77777777" w:rsidR="00EE3F5D" w:rsidRDefault="00000000">
      <w:pPr>
        <w:pStyle w:val="BodyText"/>
      </w:pPr>
      <w:r>
        <w:t>However, there is a much larger body of research on tourism impacts on sustainability, visitors' attitudes towards host communities, and disputes between them over the utilisation of shared resources. This article is the most cited on the water side (Cole, 2012). In Bali, she noted that tourism companies receive water before locals, and this needs to be the focus of criticism of sustainable tourism. There are three steps to her framework. Document the inequity. Have community members look at it. Redistribute more fairly.</w:t>
      </w:r>
    </w:p>
    <w:p w14:paraId="571F2E42" w14:textId="77777777" w:rsidR="00EE3F5D" w:rsidRDefault="00000000">
      <w:pPr>
        <w:pStyle w:val="BodyText"/>
      </w:pPr>
      <w:r>
        <w:lastRenderedPageBreak/>
        <w:t>This paper builds on Cole but does not employ his framework. For Nainital, things are different. However, there is something Nainital lacks: an inequity she names. 63% of the residents believe that businesses receive water first. However, when the residents are divided by whether they rely on tourism for survival, both groups prefer "the same" thing. They are entitled to "the same amendments" regarding water supply—no continuum of complaints to develop a policy around. In the case of unequally dispersed harm, Cole's "redistribution model" holds. That is not the case in Nainital.</w:t>
      </w:r>
    </w:p>
    <w:p w14:paraId="623E795C" w14:textId="77777777" w:rsidR="00EE3F5D" w:rsidRDefault="00000000">
      <w:pPr>
        <w:pStyle w:val="BodyText"/>
      </w:pPr>
      <w:r>
        <w:t xml:space="preserve">The other starting point is the literature on the residents' perception. Doxey (1975) suggested that the four stages of the development of host community response to tourism increase. First euphoria. Then apathy. Then annoyance. Then antagonism. His model is almost half a century old and continues to be referenced. It has also been called into question. According to Sharpley (2014), Doxey views residents' sentiments as a response to the number of tourists rather than a rational analysis of not only what is happening to their town but also the nature of their emotions, values, or concerns. That the owner of the utility shop in the discussion is stating the apparent fact that Nainital would soon fall into oblivion </w:t>
      </w:r>
      <w:proofErr w:type="gramStart"/>
      <w:r>
        <w:t>actually fits</w:t>
      </w:r>
      <w:proofErr w:type="gramEnd"/>
      <w:r>
        <w:t xml:space="preserve"> Sharpley's critique. His reply is not from the heart. It is a forecast.</w:t>
      </w:r>
    </w:p>
    <w:p w14:paraId="11C2A108" w14:textId="77777777" w:rsidR="00EE3F5D" w:rsidRDefault="00000000">
      <w:pPr>
        <w:pStyle w:val="BodyText"/>
      </w:pPr>
      <w:r>
        <w:t xml:space="preserve">A similar perspective is provided by Butler (1980). According to His Tourism area life cycle model, destinations experience stages of exploration, involvement, development, consolidation, stagnation, rejuvenation and decline. The model has already been used for hill stations. One criticism is that it </w:t>
      </w:r>
      <w:proofErr w:type="gramStart"/>
      <w:r>
        <w:t>is based on the assumption</w:t>
      </w:r>
      <w:proofErr w:type="gramEnd"/>
      <w:r>
        <w:t xml:space="preserve"> that destinations control direction. When the economy of geography prevails, this one is an outing.</w:t>
      </w:r>
    </w:p>
    <w:p w14:paraId="72A864E1" w14:textId="77777777" w:rsidR="00EE3F5D" w:rsidRDefault="00000000">
      <w:pPr>
        <w:pStyle w:val="Heading2"/>
      </w:pPr>
      <w:bookmarkStart w:id="5" w:name="_Toc238413269"/>
      <w:proofErr w:type="gramStart"/>
      <w:r>
        <w:t>2.3  Himalayan</w:t>
      </w:r>
      <w:proofErr w:type="gramEnd"/>
      <w:r>
        <w:t xml:space="preserve"> hill stations and the colonial inheritance</w:t>
      </w:r>
      <w:bookmarkEnd w:id="5"/>
    </w:p>
    <w:p w14:paraId="4132F5B0" w14:textId="77777777" w:rsidR="00EE3F5D" w:rsidRDefault="00000000">
      <w:pPr>
        <w:pStyle w:val="BodyText"/>
      </w:pPr>
      <w:r>
        <w:t xml:space="preserve">There is less literature directly relevant to hill stations in the Himalayas. The most important historical source is </w:t>
      </w:r>
      <w:proofErr w:type="spellStart"/>
      <w:r>
        <w:t>Sacareau</w:t>
      </w:r>
      <w:proofErr w:type="spellEnd"/>
      <w:r>
        <w:t xml:space="preserve"> (2007). She followed the trail created by the British colonial officials in building locations such as Nainital, Mussoorie, Shimla and Darjeeling – places where Europeans went for vacations. They constructed their infrastructure for a diversified economy, a structure which never had to rely on tourism. They built narrow roads and hotels around lakes and terraced hillsides, which were never designed to support a diversified economy capable of surviving without tourism. This paper's argument is based on this historical precedent. Nainital's ‘mono-dependence' is not a failure of India's policies since Independence. It is ingrained in the town's architecture.</w:t>
      </w:r>
    </w:p>
    <w:p w14:paraId="5B0834C8" w14:textId="77777777" w:rsidR="00EE3F5D" w:rsidRDefault="00000000">
      <w:pPr>
        <w:pStyle w:val="BodyText"/>
      </w:pPr>
      <w:r>
        <w:t xml:space="preserve">Nepal (2000, 2002) has documented the environmental and social damage caused by mass tourism across destinations in the Himalayas, Nepal, Bhutan, and Indian states. Concerns have been raised in studies on India's hill stations, such as Shimla, Mussoorie, and Ooty (Batta, 2000; </w:t>
      </w:r>
      <w:proofErr w:type="spellStart"/>
      <w:r>
        <w:t>Kuniyal</w:t>
      </w:r>
      <w:proofErr w:type="spellEnd"/>
      <w:r>
        <w:t>, 2005). What is missing from this literature is a theoretical framework that directly links environmental damage to the political-economic situation of being mono-dependent. This is the link that this paper will attempt to build.</w:t>
      </w:r>
    </w:p>
    <w:p w14:paraId="64DDC04F" w14:textId="77777777" w:rsidR="00EE3F5D" w:rsidRDefault="00000000">
      <w:pPr>
        <w:pStyle w:val="Heading2"/>
      </w:pPr>
      <w:bookmarkStart w:id="6" w:name="_Toc238413270"/>
      <w:proofErr w:type="gramStart"/>
      <w:r>
        <w:t>2.4  The</w:t>
      </w:r>
      <w:proofErr w:type="gramEnd"/>
      <w:r>
        <w:t xml:space="preserve"> Uttarakhand policy context</w:t>
      </w:r>
      <w:bookmarkEnd w:id="6"/>
    </w:p>
    <w:p w14:paraId="2A2786DE" w14:textId="77777777" w:rsidR="00EE3F5D" w:rsidRDefault="00000000">
      <w:pPr>
        <w:pStyle w:val="BodyText"/>
      </w:pPr>
      <w:r>
        <w:t xml:space="preserve">The Uttarakhand Tourism Policy 2023 is of particular importance for this paper. It is not "background. It's a sign of the state of the issue that this paper will describe. The policy is coherent and embraces the language of sustainability throughout. It is based on three principles: carrying capacity, environmental sensitivity and high-value, low-volume tourism. Meanwhile, it sets a goal of USD 10bn in annual tourism revenue and 15 per cent of state GSDP from tourism by 2030. It envisages creating </w:t>
      </w:r>
      <w:r>
        <w:lastRenderedPageBreak/>
        <w:t>20 lakh jobs in the tourist and related tourism sectors. The investment in tourism is INR 40,000 crore in this commitment.</w:t>
      </w:r>
    </w:p>
    <w:p w14:paraId="496DC944" w14:textId="77777777" w:rsidR="00EE3F5D" w:rsidRDefault="00000000">
      <w:pPr>
        <w:pStyle w:val="BodyText"/>
      </w:pPr>
      <w:r>
        <w:t>The point of the gap is the point between the two halves of the policy. The state is aware of the fragile ecological basis. The state will also not be able to walk out of scaling tourism, as there is nothing else to scale. The policy states the tension; it doesn't solve it. This paper argues that this unresolved tension is exactly what a tourism resource curse looks like when it is written into state planning documents.</w:t>
      </w:r>
    </w:p>
    <w:p w14:paraId="13CF0EA5" w14:textId="77777777" w:rsidR="00EE3F5D" w:rsidRDefault="00000000">
      <w:pPr>
        <w:pStyle w:val="Heading2"/>
      </w:pPr>
      <w:bookmarkStart w:id="7" w:name="_Toc238413271"/>
      <w:proofErr w:type="gramStart"/>
      <w:r>
        <w:t>2.5  The</w:t>
      </w:r>
      <w:proofErr w:type="gramEnd"/>
      <w:r>
        <w:t xml:space="preserve"> gap this paper fills</w:t>
      </w:r>
      <w:bookmarkEnd w:id="7"/>
    </w:p>
    <w:p w14:paraId="09719AB9" w14:textId="77777777" w:rsidR="00EE3F5D" w:rsidRDefault="00000000">
      <w:pPr>
        <w:pStyle w:val="BodyText"/>
      </w:pPr>
      <w:r>
        <w:t xml:space="preserve">While the four fields reviewed above converge in Nainital, they have yet to be combined into a single framework for Himalayan hill-station tourism. Tourism, as a subject in the resource curse literature, has so far been examined at the macro level rather than at the level of the specific hill station analysed using survey and interview data. The harm is acknowledged by Cole and by the water inequity literature. However, it is a distributional assumption, not a necessity, as indicated by the data from Nainital. Resignation, described in this paper, is not a category in the resident-attitude literature, but is superior in meaning to Doxey's treatment of antagonism. </w:t>
      </w:r>
      <w:proofErr w:type="spellStart"/>
      <w:r>
        <w:t>Sacareau</w:t>
      </w:r>
      <w:proofErr w:type="spellEnd"/>
      <w:r>
        <w:t xml:space="preserve"> and the historians of the hill station discuss the origin of Nainital, but they do not extend their analysis to the actual situation. Furthermore, the very policy of the State does not refer to the condition, but only to the tension.</w:t>
      </w:r>
    </w:p>
    <w:p w14:paraId="66496952" w14:textId="77777777" w:rsidR="00EE3F5D" w:rsidRDefault="00000000">
      <w:pPr>
        <w:pStyle w:val="BodyText"/>
      </w:pPr>
      <w:r>
        <w:t>This paper is a four-piece story that brings them all together. It proposes that "geographic crowding-out is the glue that holds them together," setting the credentials here in the traditional ideas of the tourism resource curse, but with the crowding-out factor removed and replaced by the geographic factor. It makes it possible to identify Nainital's health condition for the first time.</w:t>
      </w:r>
    </w:p>
    <w:p w14:paraId="295A5EE2" w14:textId="77777777" w:rsidR="00EE3F5D" w:rsidRDefault="00000000">
      <w:pPr>
        <w:pStyle w:val="Heading1"/>
      </w:pPr>
      <w:bookmarkStart w:id="8" w:name="_Toc238413272"/>
      <w:r>
        <w:t>3.  Theoretical Framing</w:t>
      </w:r>
      <w:bookmarkEnd w:id="8"/>
    </w:p>
    <w:p w14:paraId="0AF6D3C1" w14:textId="77777777" w:rsidR="00EE3F5D" w:rsidRDefault="00000000">
      <w:pPr>
        <w:pStyle w:val="BodyText"/>
      </w:pPr>
      <w:r>
        <w:t>The lens adopted in this paper is the resource curse theory, adapted to a hill station dependent on tourism. At the level of places, the resource curse was originally formulated to explain the tendency of oil and mineral-rich countries to experience slower growth and greater inequality than would otherwise be predicted (Auty, 1993; Sachs &amp; Warner, 1995); it highlights four main processes by which single-resource dependence harms a place over time.</w:t>
      </w:r>
    </w:p>
    <w:p w14:paraId="3A2649D0" w14:textId="77777777" w:rsidR="00EE3F5D" w:rsidRDefault="00000000">
      <w:pPr>
        <w:pStyle w:val="BodyText"/>
      </w:pPr>
      <w:r>
        <w:t xml:space="preserve">The first one is crowding out. Suppose the other sectors cannot expand because one sector absorbs all the investment and labour. The second one is volatility. Frontrunners or backlashes within a </w:t>
      </w:r>
      <w:proofErr w:type="gramStart"/>
      <w:r>
        <w:t>single demand cycle drive economies</w:t>
      </w:r>
      <w:proofErr w:type="gramEnd"/>
      <w:r>
        <w:t>, making long-term planning difficult for households. The third is when the government and its infrastructure prioritise services for the dominant sector first, with others following. This is known as institutional capture. The fourth is resource degradation, in which a sector exhausts or harms the resource on which it relies for survival.</w:t>
      </w:r>
    </w:p>
    <w:p w14:paraId="69EA7AF7" w14:textId="77777777" w:rsidR="00EE3F5D" w:rsidRDefault="00000000">
      <w:pPr>
        <w:pStyle w:val="BodyText"/>
      </w:pPr>
      <w:r>
        <w:t xml:space="preserve">Of the four, Nainital fits three: the one that should be tweaked is "crowding out." With an oil business in the midst, it would have done so by causing currency appreciation and harming other businesses. That is not so here. Nainital cannot be scaled up to support agriculture and industry due to the steep inclines on both sides and a lack of flat land upon which to do business around the tightly bordered lake of the same name. It was not the draw of tourism that drove those industries out. They were not offered throughout the year. That is exactly what </w:t>
      </w:r>
      <w:proofErr w:type="spellStart"/>
      <w:r>
        <w:t>Sacareau</w:t>
      </w:r>
      <w:proofErr w:type="spellEnd"/>
      <w:r>
        <w:t xml:space="preserve"> (2007) writes in his study of the hill stations of the Himalaya: Nainital and other such places were constructed by the British as summer retreats, </w:t>
      </w:r>
      <w:r>
        <w:lastRenderedPageBreak/>
        <w:t>and so far, nothing has changed in the terrain. This means that the process of crowding out is geographic, not financial. This is important, as policies to resolve the currency issue are meaningless for the mountain.</w:t>
      </w:r>
    </w:p>
    <w:p w14:paraId="637C3DBB" w14:textId="77777777" w:rsidR="00EE3F5D" w:rsidRDefault="00000000">
      <w:pPr>
        <w:pStyle w:val="BodyText"/>
      </w:pPr>
      <w:r>
        <w:t>The remaining three channels need minimal adjustment, with as much as it works. The volatility is reflected in the difference between income during the peak and off-peak periods. The inclination of parking facilities, toilets, and water supply facilities to tourist areas over residential areas is an example of institutional capture. Resource degradation is evident in residents' perception that the environment is worsening annually.</w:t>
      </w:r>
    </w:p>
    <w:p w14:paraId="30590D45" w14:textId="77777777" w:rsidR="00EE3F5D" w:rsidRDefault="00000000">
      <w:pPr>
        <w:pStyle w:val="BodyText"/>
      </w:pPr>
      <w:r>
        <w:t xml:space="preserve">The structure then assumes four things, which are tested by the Analysis section. First, one-for-one, </w:t>
      </w:r>
      <w:proofErr w:type="gramStart"/>
      <w:r>
        <w:t>the majority of</w:t>
      </w:r>
      <w:proofErr w:type="gramEnd"/>
      <w:r>
        <w:t xml:space="preserve"> people who work here have no other financial options. Secondly, the environment is deteriorating measurably, and residents can see it. Secondly, the environment is measurably deteriorating, and residents can see it. Third, public facilities are provided first to tourists and last to residents. Third, tourists have access to public facilities before residents do. Fourth, the residents clearly understand all this, and they cannot walk away from it. For geographic reasons, this is their home, and they cannot just abandon it.</w:t>
      </w:r>
    </w:p>
    <w:p w14:paraId="635EDDD7" w14:textId="77777777" w:rsidR="00EE3F5D" w:rsidRDefault="00000000">
      <w:pPr>
        <w:pStyle w:val="BodyText"/>
      </w:pPr>
      <w:r>
        <w:t>Nothing is taken for granted; there is only one clarification, which rules out overreach. The paper has nothing to do with the fact that Nainital is a petro-state. The mechanism that causes the trap is different. What is similar is the result—population cages preventing them from escaping. What is similar is the result: population cages that now feed them and slowly kill them.</w:t>
      </w:r>
    </w:p>
    <w:p w14:paraId="49716FC6" w14:textId="77777777" w:rsidR="00EE3F5D" w:rsidRDefault="00000000">
      <w:pPr>
        <w:pStyle w:val="Heading1"/>
      </w:pPr>
      <w:bookmarkStart w:id="9" w:name="_Toc238413273"/>
      <w:r>
        <w:t>4.  Methodology</w:t>
      </w:r>
      <w:bookmarkEnd w:id="9"/>
    </w:p>
    <w:p w14:paraId="1FD9E3A3" w14:textId="77777777" w:rsidR="00EE3F5D" w:rsidRDefault="00000000">
      <w:pPr>
        <w:pStyle w:val="BodyText"/>
      </w:pPr>
      <w:r>
        <w:t xml:space="preserve">The study is based on primary data collected during a field immersion in Nainital, Uttarakhand, in June 2026, as part of the BS in Analytics and Sustainability Studies course at the Tata Institute of Social Sciences. An assessment group comprising around 30 students from various user groups was used to collect pre-structured questionnaires on the mobile data collection platform </w:t>
      </w:r>
      <w:proofErr w:type="spellStart"/>
      <w:r>
        <w:t>KoboToolbox</w:t>
      </w:r>
      <w:proofErr w:type="spellEnd"/>
      <w:r>
        <w:t>. This means that the data set is mixed, with all the raw responses accessible to all students. The analysis performed in this paper, the selection of its variables and its theoretical transposition, not to mention any interpretation that the author makes, are the independent work of the author.</w:t>
      </w:r>
    </w:p>
    <w:p w14:paraId="04FE9C7D" w14:textId="77777777" w:rsidR="00EE3F5D" w:rsidRDefault="00000000">
      <w:pPr>
        <w:pStyle w:val="BodyText"/>
      </w:pPr>
      <w:r>
        <w:t xml:space="preserve">Five surveys were used to reflect various aspects of the town's tourism relationship. The tourist survey (n = 311) was completed for eight visit characteristics, four satisfaction metrics (from a five-point Likert scale), each examining a specific component of the tourist experience (ease of navigation, signboard usefulness, cleanliness, and general satisfaction) and four items examining how the tourist arrived on site (self-guided, tour guide, van, or private car). The residents' survey (n=239) was most central to the argument in this paper. It asked the household whether tourism was its main occupation or a means of livelihood; how many hours of piped water the household received per day; whether respondents felt that hotels and tourists received water supply before local inhabitants; and how the environment in Nainital has changed over the last 5 years. It also recorded coping mechanisms during periods of water scarcity and the price difference between the peak and </w:t>
      </w:r>
      <w:proofErr w:type="gramStart"/>
      <w:r>
        <w:t>off-seasons</w:t>
      </w:r>
      <w:proofErr w:type="gramEnd"/>
      <w:r>
        <w:t xml:space="preserve">. The workers survey (n=303) focused on the economics of tourist employment—monthly income in the peak and off-season separately, native or migrant worker status, the percentage of income from tourism activities in the year, other sources of income, and access to health or accident insurance. The enterprise survey, </w:t>
      </w:r>
      <w:r>
        <w:lastRenderedPageBreak/>
        <w:t xml:space="preserve">with 159 entries, mainly focused on the supply side of tourism, including owner presence, employment, water sources, seasonal electricity prices, and reductions in operations during peak season due to water restrictions. Ten tourist locations were visited as part of a location audit, during which the following salient points were observed: parking facilities, public toilets, footpath facilities, road conditions, and signage. Due to the small sample, the audit is kept </w:t>
      </w:r>
      <w:proofErr w:type="gramStart"/>
      <w:r>
        <w:t>to provide</w:t>
      </w:r>
      <w:proofErr w:type="gramEnd"/>
      <w:r>
        <w:t xml:space="preserve"> some context.</w:t>
      </w:r>
    </w:p>
    <w:p w14:paraId="36C62AB2" w14:textId="77777777" w:rsidR="00EE3F5D" w:rsidRDefault="00000000">
      <w:pPr>
        <w:pStyle w:val="BodyText"/>
      </w:pPr>
      <w:r>
        <w:t>The raw data required considerable cleanup. Some response labels with trailing whitespace were used in categorical responses across multiple files, resulting in incorrect cross-tabulation because leading and trailing whitespace were not accounted for; e.g., "Migrant" and "Migrant " were both counted as separate responses. Before analysis, all string fields had been stripped. Four tourist survey items were measured on a Likert scale and exported without question-text columns, with answer points placed in cells with anchors. These were cross-checked against the original form design and found to be valid and remapped. Some columns were completely blanked out due to “form versioning” in the survey design and were therefore not included. Moreover, the income figures in the workers' survey included extreme outlier entries. The most notable exceeded four billion rupees, which is not present in the dataset and is considered an incorrect entry. This was immediately flagged and avoided during data analysis.</w:t>
      </w:r>
    </w:p>
    <w:p w14:paraId="6B60CCD9" w14:textId="77777777" w:rsidR="00EE3F5D" w:rsidRDefault="00000000">
      <w:pPr>
        <w:pStyle w:val="BodyText"/>
      </w:pPr>
      <w:r>
        <w:t>A chi-square test of independence was used to test categorical associations. Due to the above-noted characteristics of income (skewness, outliers), the data were compared across domicile groups using the Mann-Whitney U test. Alpha (α) was considered significant at 0.05. Two cross-tabulations were planned to ascertain whether water priorities differ and/or whether fewer hours of piped water for tourism-dependent households have been restored. Still, the results were non-significant and are reported as substantive findings in the Analysis section.</w:t>
      </w:r>
    </w:p>
    <w:p w14:paraId="7B9F8708" w14:textId="77777777" w:rsidR="00EE3F5D" w:rsidRDefault="00000000">
      <w:pPr>
        <w:pStyle w:val="BodyText"/>
      </w:pPr>
      <w:r>
        <w:t>About a dozen informal interview sessions were also held in the field with residents and small business owners. They were not recorded, were in Hindi and were unguided. The three statements below appear in the Discussion as they were translated from the original text and were chosen because they express patterns that the survey data reveal in large numbers but are silent about the survey. They are not considered to represent prevalence but rather to illustrate recurring themes. Thematic coding was not used: there are twenty informal conversations conducted in a second language, but without a formal coding system, no precision is possible.</w:t>
      </w:r>
    </w:p>
    <w:p w14:paraId="320C34D2" w14:textId="77777777" w:rsidR="00EE3F5D" w:rsidRDefault="00000000">
      <w:pPr>
        <w:pStyle w:val="Heading1"/>
      </w:pPr>
      <w:bookmarkStart w:id="10" w:name="_Toc238413274"/>
      <w:r>
        <w:t>5.  Analysis</w:t>
      </w:r>
      <w:bookmarkEnd w:id="10"/>
    </w:p>
    <w:p w14:paraId="195319F5" w14:textId="77777777" w:rsidR="00EE3F5D" w:rsidRDefault="00000000">
      <w:pPr>
        <w:pStyle w:val="Heading2"/>
      </w:pPr>
      <w:bookmarkStart w:id="11" w:name="_Toc238413275"/>
      <w:proofErr w:type="gramStart"/>
      <w:r>
        <w:t>5.1  The</w:t>
      </w:r>
      <w:proofErr w:type="gramEnd"/>
      <w:r>
        <w:t xml:space="preserve"> town runs on one engine</w:t>
      </w:r>
      <w:bookmarkEnd w:id="11"/>
    </w:p>
    <w:p w14:paraId="2417924A" w14:textId="77777777" w:rsidR="00EE3F5D" w:rsidRDefault="00000000">
      <w:pPr>
        <w:pStyle w:val="BodyText"/>
      </w:pPr>
      <w:r>
        <w:t xml:space="preserve">In Nainital, it is not a choice but a necessity for almost everyone who </w:t>
      </w:r>
      <w:proofErr w:type="gramStart"/>
      <w:r>
        <w:t>has to</w:t>
      </w:r>
      <w:proofErr w:type="gramEnd"/>
      <w:r>
        <w:t xml:space="preserve"> work. It is the sole answer they have. The results and conclusions from the survey of 303 workers indicate that 79% of respondents said their annual income is entirely from tourism. When asked independently whether they had sources of income other than tourism-related occupations, 84% answered no. These are not two different ways of asking the same question. The first is the portion of the pie that is 'tourism', and the second is whether there is any pie at all beyond the boundaries of that pie. Both findings coalesce this way.</w:t>
      </w:r>
    </w:p>
    <w:p w14:paraId="3753E2E5" w14:textId="77777777" w:rsidR="00EE3F5D" w:rsidRDefault="00000000">
      <w:pPr>
        <w:pStyle w:val="BodyText"/>
      </w:pPr>
      <w:r>
        <w:t xml:space="preserve">The relationship is subtler in the gentler version reported in the residents' survey, which also excludes those without employment. Almost half (49%) reported that their household's main source of </w:t>
      </w:r>
      <w:r>
        <w:lastRenderedPageBreak/>
        <w:t>livelihood was tourism. These two surveys together exemplify an economy in which nearly half of the households in Nainital have the main earner in tourism, and of those employed in the sector (two out of five), have no other means of livelihood.</w:t>
      </w:r>
    </w:p>
    <w:p w14:paraId="28344602" w14:textId="77777777" w:rsidR="00EE3F5D" w:rsidRDefault="00000000">
      <w:pPr>
        <w:pStyle w:val="BodyText"/>
      </w:pPr>
      <w:r>
        <w:t>Two dimensions of this dependence are more important than the consequences before deciding on its impact. It is not focused on a specific group of the labour force, as 80.1% of natives, compared with 76.7% of migrants, received 100% of their income from tourism (chi-square p = 0.636). It is not a seasonal periodisation with workers rotating in and out; rather, 69% of workers reported working for the entire 12 months of the previous year. This dependence occurs year-round and across the sector. No one is diversifying for balloons in the off-season. No one maintains a second trade alongside. The workers are dedicated, and where can they be otherwise?</w:t>
      </w:r>
    </w:p>
    <w:p w14:paraId="786E73E5" w14:textId="77777777" w:rsidR="00EE3F5D" w:rsidRDefault="00000000">
      <w:pPr>
        <w:pStyle w:val="Heading2"/>
      </w:pPr>
      <w:bookmarkStart w:id="12" w:name="_Toc238413276"/>
      <w:proofErr w:type="gramStart"/>
      <w:r>
        <w:t>5.2  The</w:t>
      </w:r>
      <w:proofErr w:type="gramEnd"/>
      <w:r>
        <w:t xml:space="preserve"> engine is eating its own fuel</w:t>
      </w:r>
      <w:bookmarkEnd w:id="12"/>
    </w:p>
    <w:p w14:paraId="406108BC" w14:textId="77777777" w:rsidR="00EE3F5D" w:rsidRDefault="00000000">
      <w:pPr>
        <w:pStyle w:val="BodyText"/>
      </w:pPr>
      <w:r>
        <w:t>If mono-dependence describes the shape of the economy, the next finding describes what that economy is doing to the resource base it depends on. Out of 60% people who said the surroundings of Nainital, i.e. the lake, the forests and the roads had become worse over the past five years, 17% indicated that it was better.17% said that it had become better in the last five years, while 60% said it was worse; the surroundings of Nainital mean the lake, forest and the road. This is not a few people who care about the environment complaining about this in a dressed-up manner—it is the community's general opinion about its own health.</w:t>
      </w:r>
    </w:p>
    <w:p w14:paraId="6598E78A" w14:textId="77777777" w:rsidR="00EE3F5D" w:rsidRDefault="00000000">
      <w:pPr>
        <w:pStyle w:val="BodyText"/>
      </w:pPr>
      <w:r>
        <w:t xml:space="preserve">The drop is not brought about by chance. Residents said 63% of water supplies are provided to businesses first, or that their water supply takes precedence over businesses'. This is the one measure of interest in this study. </w:t>
      </w:r>
      <w:proofErr w:type="gramStart"/>
      <w:r>
        <w:t>The majority of</w:t>
      </w:r>
      <w:proofErr w:type="gramEnd"/>
      <w:r>
        <w:t xml:space="preserve"> survey questions involve residents and what could be gleaned from that condition regarding resources. From there, this one directly asked about their choice between the possibilities that tourism would take something from them or that it would not. They said yes.</w:t>
      </w:r>
    </w:p>
    <w:p w14:paraId="35F791C5" w14:textId="77777777" w:rsidR="00EE3F5D" w:rsidRDefault="00000000">
      <w:pPr>
        <w:pStyle w:val="BodyText"/>
      </w:pPr>
      <w:r>
        <w:t>“Claim” triplicates against another independent source. 46% of businesses said they had to change their schedules due to peak-season water restrictions, reduce operations due to water restrictions, or, in a few cases, severely restrict guests from staying. Businesses and residents who feel they are being served first are also experiencing water shortages. Whatever system of priorities is in place amid a shortage of physical resources eventually has a snowball effect on both sides.</w:t>
      </w:r>
    </w:p>
    <w:p w14:paraId="759FF6F9" w14:textId="77777777" w:rsidR="00EE3F5D" w:rsidRDefault="00000000">
      <w:pPr>
        <w:pStyle w:val="BodyText"/>
      </w:pPr>
      <w:r>
        <w:t>However, the location audit adds an even more basic form of evidence and one that's more gruesome. Across the 10 tourist attractions, there were 18 hotel parking spaces compared to 5 public parking spaces. Only six of the ten sites had public toilet(s). To make statistical inferences from 10 data values, the direction is not clouded.</w:t>
      </w:r>
    </w:p>
    <w:p w14:paraId="14D2A871" w14:textId="77777777" w:rsidR="00EE3F5D" w:rsidRDefault="00000000">
      <w:pPr>
        <w:pStyle w:val="Caption"/>
      </w:pPr>
      <w:r>
        <w:t>Table 1. Water-priority perception triangulated across three data sources</w:t>
      </w:r>
    </w:p>
    <w:tbl>
      <w:tblPr>
        <w:tblW w:w="5000" w:type="pct"/>
        <w:tblCellMar>
          <w:left w:w="0" w:type="dxa"/>
          <w:right w:w="113" w:type="dxa"/>
        </w:tblCellMar>
        <w:tblLook w:val="04A0" w:firstRow="1" w:lastRow="0" w:firstColumn="1" w:lastColumn="0" w:noHBand="0" w:noVBand="1"/>
      </w:tblPr>
      <w:tblGrid>
        <w:gridCol w:w="2923"/>
        <w:gridCol w:w="4581"/>
        <w:gridCol w:w="2242"/>
      </w:tblGrid>
      <w:tr w:rsidR="00EE3F5D" w14:paraId="401AD1C9" w14:textId="77777777">
        <w:trPr>
          <w:tblHeader/>
        </w:trPr>
        <w:tc>
          <w:tcPr>
            <w:tcW w:w="1500" w:type="pct"/>
            <w:tcBorders>
              <w:bottom w:val="single" w:sz="8" w:space="0" w:color="605D5D"/>
            </w:tcBorders>
          </w:tcPr>
          <w:p w14:paraId="7094C5CC" w14:textId="77777777" w:rsidR="00EE3F5D" w:rsidRDefault="00000000">
            <w:pPr>
              <w:spacing w:before="60" w:after="60" w:line="240" w:lineRule="auto"/>
            </w:pPr>
            <w:r>
              <w:rPr>
                <w:b/>
                <w:color w:val="605D5D"/>
                <w:sz w:val="18"/>
                <w:szCs w:val="18"/>
              </w:rPr>
              <w:t>Source</w:t>
            </w:r>
          </w:p>
        </w:tc>
        <w:tc>
          <w:tcPr>
            <w:tcW w:w="2350" w:type="pct"/>
            <w:tcBorders>
              <w:bottom w:val="single" w:sz="8" w:space="0" w:color="605D5D"/>
            </w:tcBorders>
          </w:tcPr>
          <w:p w14:paraId="16751FA5" w14:textId="77777777" w:rsidR="00EE3F5D" w:rsidRDefault="00000000">
            <w:pPr>
              <w:spacing w:before="60" w:after="60" w:line="240" w:lineRule="auto"/>
            </w:pPr>
            <w:r>
              <w:rPr>
                <w:b/>
                <w:color w:val="605D5D"/>
                <w:sz w:val="18"/>
                <w:szCs w:val="18"/>
              </w:rPr>
              <w:t>Measure</w:t>
            </w:r>
          </w:p>
        </w:tc>
        <w:tc>
          <w:tcPr>
            <w:tcW w:w="1150" w:type="pct"/>
            <w:tcBorders>
              <w:bottom w:val="single" w:sz="8" w:space="0" w:color="605D5D"/>
            </w:tcBorders>
          </w:tcPr>
          <w:p w14:paraId="264BAC39" w14:textId="77777777" w:rsidR="00EE3F5D" w:rsidRDefault="00000000">
            <w:pPr>
              <w:spacing w:before="60" w:after="60" w:line="240" w:lineRule="auto"/>
            </w:pPr>
            <w:r>
              <w:rPr>
                <w:b/>
                <w:color w:val="605D5D"/>
                <w:sz w:val="18"/>
                <w:szCs w:val="18"/>
              </w:rPr>
              <w:t>Finding</w:t>
            </w:r>
          </w:p>
        </w:tc>
      </w:tr>
      <w:tr w:rsidR="00EE3F5D" w14:paraId="24583961" w14:textId="77777777">
        <w:tc>
          <w:tcPr>
            <w:tcW w:w="1500" w:type="pct"/>
            <w:tcBorders>
              <w:bottom w:val="single" w:sz="4" w:space="0" w:color="C9C4C4"/>
            </w:tcBorders>
          </w:tcPr>
          <w:p w14:paraId="5FEEE602" w14:textId="77777777" w:rsidR="00EE3F5D" w:rsidRDefault="00000000">
            <w:pPr>
              <w:spacing w:before="60" w:after="60" w:line="240" w:lineRule="auto"/>
            </w:pPr>
            <w:r>
              <w:rPr>
                <w:sz w:val="20"/>
                <w:szCs w:val="20"/>
              </w:rPr>
              <w:t>Residents (n=231)</w:t>
            </w:r>
          </w:p>
        </w:tc>
        <w:tc>
          <w:tcPr>
            <w:tcW w:w="2350" w:type="pct"/>
            <w:tcBorders>
              <w:bottom w:val="single" w:sz="4" w:space="0" w:color="C9C4C4"/>
            </w:tcBorders>
          </w:tcPr>
          <w:p w14:paraId="6AFABA55" w14:textId="77777777" w:rsidR="00EE3F5D" w:rsidRDefault="00000000">
            <w:pPr>
              <w:spacing w:before="60" w:after="60" w:line="240" w:lineRule="auto"/>
            </w:pPr>
            <w:r>
              <w:rPr>
                <w:sz w:val="20"/>
                <w:szCs w:val="20"/>
              </w:rPr>
              <w:t>Businesses receive water before residents</w:t>
            </w:r>
          </w:p>
        </w:tc>
        <w:tc>
          <w:tcPr>
            <w:tcW w:w="1150" w:type="pct"/>
            <w:tcBorders>
              <w:bottom w:val="single" w:sz="4" w:space="0" w:color="C9C4C4"/>
            </w:tcBorders>
          </w:tcPr>
          <w:p w14:paraId="2FCB4664" w14:textId="77777777" w:rsidR="00EE3F5D" w:rsidRDefault="00000000">
            <w:pPr>
              <w:spacing w:before="60" w:after="60" w:line="240" w:lineRule="auto"/>
            </w:pPr>
            <w:r>
              <w:rPr>
                <w:sz w:val="20"/>
                <w:szCs w:val="20"/>
              </w:rPr>
              <w:t>63% agree</w:t>
            </w:r>
          </w:p>
        </w:tc>
      </w:tr>
      <w:tr w:rsidR="00EE3F5D" w14:paraId="38381DAB" w14:textId="77777777">
        <w:tc>
          <w:tcPr>
            <w:tcW w:w="1500" w:type="pct"/>
            <w:tcBorders>
              <w:bottom w:val="single" w:sz="4" w:space="0" w:color="C9C4C4"/>
            </w:tcBorders>
          </w:tcPr>
          <w:p w14:paraId="679E09EA" w14:textId="77777777" w:rsidR="00EE3F5D" w:rsidRDefault="00000000">
            <w:pPr>
              <w:spacing w:before="60" w:after="60" w:line="240" w:lineRule="auto"/>
            </w:pPr>
            <w:r>
              <w:rPr>
                <w:sz w:val="20"/>
                <w:szCs w:val="20"/>
              </w:rPr>
              <w:t>Enterprises (n=116)</w:t>
            </w:r>
          </w:p>
        </w:tc>
        <w:tc>
          <w:tcPr>
            <w:tcW w:w="2350" w:type="pct"/>
            <w:tcBorders>
              <w:bottom w:val="single" w:sz="4" w:space="0" w:color="C9C4C4"/>
            </w:tcBorders>
          </w:tcPr>
          <w:p w14:paraId="34EF4162" w14:textId="77777777" w:rsidR="00EE3F5D" w:rsidRDefault="00000000">
            <w:pPr>
              <w:spacing w:before="60" w:after="60" w:line="240" w:lineRule="auto"/>
            </w:pPr>
            <w:r>
              <w:rPr>
                <w:sz w:val="20"/>
                <w:szCs w:val="20"/>
              </w:rPr>
              <w:t>Water constraints affected peak-season operations</w:t>
            </w:r>
          </w:p>
        </w:tc>
        <w:tc>
          <w:tcPr>
            <w:tcW w:w="1150" w:type="pct"/>
            <w:tcBorders>
              <w:bottom w:val="single" w:sz="4" w:space="0" w:color="C9C4C4"/>
            </w:tcBorders>
          </w:tcPr>
          <w:p w14:paraId="59AC0B3E" w14:textId="77777777" w:rsidR="00EE3F5D" w:rsidRDefault="00000000">
            <w:pPr>
              <w:spacing w:before="60" w:after="60" w:line="240" w:lineRule="auto"/>
            </w:pPr>
            <w:r>
              <w:rPr>
                <w:sz w:val="20"/>
                <w:szCs w:val="20"/>
              </w:rPr>
              <w:t>46% affected</w:t>
            </w:r>
          </w:p>
        </w:tc>
      </w:tr>
      <w:tr w:rsidR="00EE3F5D" w14:paraId="76C3A894" w14:textId="77777777">
        <w:tc>
          <w:tcPr>
            <w:tcW w:w="1500" w:type="pct"/>
            <w:tcBorders>
              <w:bottom w:val="single" w:sz="8" w:space="0" w:color="605D5D"/>
            </w:tcBorders>
          </w:tcPr>
          <w:p w14:paraId="5BD70249" w14:textId="77777777" w:rsidR="00EE3F5D" w:rsidRDefault="00000000">
            <w:pPr>
              <w:spacing w:before="60" w:after="60" w:line="240" w:lineRule="auto"/>
            </w:pPr>
            <w:r>
              <w:rPr>
                <w:sz w:val="20"/>
                <w:szCs w:val="20"/>
              </w:rPr>
              <w:t>Location audit (n=10)</w:t>
            </w:r>
          </w:p>
        </w:tc>
        <w:tc>
          <w:tcPr>
            <w:tcW w:w="2350" w:type="pct"/>
            <w:tcBorders>
              <w:bottom w:val="single" w:sz="8" w:space="0" w:color="605D5D"/>
            </w:tcBorders>
          </w:tcPr>
          <w:p w14:paraId="627F8A34" w14:textId="77777777" w:rsidR="00EE3F5D" w:rsidRDefault="00000000">
            <w:pPr>
              <w:spacing w:before="60" w:after="60" w:line="240" w:lineRule="auto"/>
            </w:pPr>
            <w:r>
              <w:rPr>
                <w:sz w:val="20"/>
                <w:szCs w:val="20"/>
              </w:rPr>
              <w:t>Hotel: public parking, summed across sites</w:t>
            </w:r>
          </w:p>
        </w:tc>
        <w:tc>
          <w:tcPr>
            <w:tcW w:w="1150" w:type="pct"/>
            <w:tcBorders>
              <w:bottom w:val="single" w:sz="8" w:space="0" w:color="605D5D"/>
            </w:tcBorders>
          </w:tcPr>
          <w:p w14:paraId="51E5C501" w14:textId="77777777" w:rsidR="00EE3F5D" w:rsidRDefault="00000000">
            <w:pPr>
              <w:spacing w:before="60" w:after="60" w:line="240" w:lineRule="auto"/>
            </w:pPr>
            <w:r>
              <w:rPr>
                <w:sz w:val="20"/>
                <w:szCs w:val="20"/>
              </w:rPr>
              <w:t>18: 5</w:t>
            </w:r>
          </w:p>
        </w:tc>
      </w:tr>
    </w:tbl>
    <w:p w14:paraId="4B272136" w14:textId="77777777" w:rsidR="00EE3F5D" w:rsidRDefault="00EE3F5D">
      <w:pPr>
        <w:pStyle w:val="BodyText"/>
        <w:spacing w:after="0"/>
      </w:pPr>
    </w:p>
    <w:p w14:paraId="373200BD" w14:textId="77777777" w:rsidR="00EE3F5D" w:rsidRDefault="00000000">
      <w:pPr>
        <w:pStyle w:val="BodyText"/>
      </w:pPr>
      <w:r>
        <w:t xml:space="preserve">One caveat prevents the section from overreaching. When environmental perception is </w:t>
      </w:r>
      <w:proofErr w:type="gramStart"/>
      <w:r>
        <w:t>cross-tabulated</w:t>
      </w:r>
      <w:proofErr w:type="gramEnd"/>
      <w:r>
        <w:t xml:space="preserve"> against residents' overall support for tourism, 59% of pro-tourism residents also reported </w:t>
      </w:r>
      <w:r>
        <w:lastRenderedPageBreak/>
        <w:t>environmental decline. Among residents who said tourism has not helped, 68% said it has. The difference is not statistically significant (χ2 = 0.269). Seeing the damage does not require opposing the source. Majorities in both camps agree that the environment is worse. Residents who support tourism are not blind to what it is costing them; they live in the same conditions as everyone else, and they see it. That is not a contradiction to explain away. It is the point.</w:t>
      </w:r>
    </w:p>
    <w:p w14:paraId="145330A0" w14:textId="77777777" w:rsidR="00EE3F5D" w:rsidRDefault="00000000">
      <w:pPr>
        <w:pStyle w:val="Heading2"/>
      </w:pPr>
      <w:bookmarkStart w:id="13" w:name="_Toc238413277"/>
      <w:proofErr w:type="gramStart"/>
      <w:r>
        <w:t>5.3  Who</w:t>
      </w:r>
      <w:proofErr w:type="gramEnd"/>
      <w:r>
        <w:t xml:space="preserve"> bears the cost of dependency</w:t>
      </w:r>
      <w:bookmarkEnd w:id="13"/>
    </w:p>
    <w:p w14:paraId="567D150F" w14:textId="77777777" w:rsidR="00EE3F5D" w:rsidRDefault="00000000">
      <w:pPr>
        <w:pStyle w:val="BodyText"/>
      </w:pPr>
      <w:r>
        <w:t>The workers' survey lets us ask a specific question about who within the tourism economy bears the costs of its instability.</w:t>
      </w:r>
    </w:p>
    <w:p w14:paraId="179DBD5D" w14:textId="77777777" w:rsidR="00EE3F5D" w:rsidRDefault="00000000">
      <w:pPr>
        <w:pStyle w:val="Caption"/>
      </w:pPr>
      <w:r>
        <w:t>Table 2. Worker outcomes by domicile status (n=294 with valid domicile)</w:t>
      </w:r>
    </w:p>
    <w:tbl>
      <w:tblPr>
        <w:tblW w:w="5000" w:type="pct"/>
        <w:tblCellMar>
          <w:left w:w="0" w:type="dxa"/>
          <w:right w:w="113" w:type="dxa"/>
        </w:tblCellMar>
        <w:tblLook w:val="04A0" w:firstRow="1" w:lastRow="0" w:firstColumn="1" w:lastColumn="0" w:noHBand="0" w:noVBand="1"/>
      </w:tblPr>
      <w:tblGrid>
        <w:gridCol w:w="3313"/>
        <w:gridCol w:w="1657"/>
        <w:gridCol w:w="1657"/>
        <w:gridCol w:w="1949"/>
        <w:gridCol w:w="1170"/>
      </w:tblGrid>
      <w:tr w:rsidR="00EE3F5D" w14:paraId="06A189B3" w14:textId="77777777">
        <w:trPr>
          <w:tblHeader/>
        </w:trPr>
        <w:tc>
          <w:tcPr>
            <w:tcW w:w="1700" w:type="pct"/>
            <w:tcBorders>
              <w:bottom w:val="single" w:sz="8" w:space="0" w:color="605D5D"/>
            </w:tcBorders>
          </w:tcPr>
          <w:p w14:paraId="19765541" w14:textId="77777777" w:rsidR="00EE3F5D" w:rsidRDefault="00000000">
            <w:pPr>
              <w:spacing w:before="60" w:after="60" w:line="240" w:lineRule="auto"/>
            </w:pPr>
            <w:r>
              <w:rPr>
                <w:b/>
                <w:color w:val="605D5D"/>
                <w:sz w:val="18"/>
                <w:szCs w:val="18"/>
              </w:rPr>
              <w:t>Outcome</w:t>
            </w:r>
          </w:p>
        </w:tc>
        <w:tc>
          <w:tcPr>
            <w:tcW w:w="850" w:type="pct"/>
            <w:tcBorders>
              <w:bottom w:val="single" w:sz="8" w:space="0" w:color="605D5D"/>
            </w:tcBorders>
          </w:tcPr>
          <w:p w14:paraId="6BB1687E" w14:textId="77777777" w:rsidR="00EE3F5D" w:rsidRDefault="00000000">
            <w:pPr>
              <w:spacing w:before="60" w:after="60" w:line="240" w:lineRule="auto"/>
              <w:jc w:val="right"/>
            </w:pPr>
            <w:r>
              <w:rPr>
                <w:b/>
                <w:color w:val="605D5D"/>
                <w:sz w:val="18"/>
                <w:szCs w:val="18"/>
              </w:rPr>
              <w:t>Native (n=197)</w:t>
            </w:r>
          </w:p>
        </w:tc>
        <w:tc>
          <w:tcPr>
            <w:tcW w:w="850" w:type="pct"/>
            <w:tcBorders>
              <w:bottom w:val="single" w:sz="8" w:space="0" w:color="605D5D"/>
            </w:tcBorders>
          </w:tcPr>
          <w:p w14:paraId="1002875D" w14:textId="77777777" w:rsidR="00EE3F5D" w:rsidRDefault="00000000">
            <w:pPr>
              <w:spacing w:before="60" w:after="60" w:line="240" w:lineRule="auto"/>
              <w:jc w:val="right"/>
            </w:pPr>
            <w:r>
              <w:rPr>
                <w:b/>
                <w:color w:val="605D5D"/>
                <w:sz w:val="18"/>
                <w:szCs w:val="18"/>
              </w:rPr>
              <w:t>Migrant (n=97)</w:t>
            </w:r>
          </w:p>
        </w:tc>
        <w:tc>
          <w:tcPr>
            <w:tcW w:w="1000" w:type="pct"/>
            <w:tcBorders>
              <w:bottom w:val="single" w:sz="8" w:space="0" w:color="605D5D"/>
            </w:tcBorders>
          </w:tcPr>
          <w:p w14:paraId="4C0FA951" w14:textId="77777777" w:rsidR="00EE3F5D" w:rsidRDefault="00000000">
            <w:pPr>
              <w:spacing w:before="60" w:after="60" w:line="240" w:lineRule="auto"/>
            </w:pPr>
            <w:r>
              <w:rPr>
                <w:b/>
                <w:color w:val="605D5D"/>
                <w:sz w:val="18"/>
                <w:szCs w:val="18"/>
              </w:rPr>
              <w:t>Test</w:t>
            </w:r>
          </w:p>
        </w:tc>
        <w:tc>
          <w:tcPr>
            <w:tcW w:w="600" w:type="pct"/>
            <w:tcBorders>
              <w:bottom w:val="single" w:sz="8" w:space="0" w:color="605D5D"/>
            </w:tcBorders>
          </w:tcPr>
          <w:p w14:paraId="0FDF5A8D" w14:textId="77777777" w:rsidR="00EE3F5D" w:rsidRDefault="00000000">
            <w:pPr>
              <w:spacing w:before="60" w:after="60" w:line="240" w:lineRule="auto"/>
              <w:jc w:val="right"/>
            </w:pPr>
            <w:r>
              <w:rPr>
                <w:b/>
                <w:color w:val="605D5D"/>
                <w:sz w:val="18"/>
                <w:szCs w:val="18"/>
              </w:rPr>
              <w:t>p</w:t>
            </w:r>
          </w:p>
        </w:tc>
      </w:tr>
      <w:tr w:rsidR="00EE3F5D" w14:paraId="6C93F61B" w14:textId="77777777">
        <w:tc>
          <w:tcPr>
            <w:tcW w:w="1700" w:type="pct"/>
            <w:tcBorders>
              <w:bottom w:val="single" w:sz="4" w:space="0" w:color="C9C4C4"/>
            </w:tcBorders>
          </w:tcPr>
          <w:p w14:paraId="7E2C4D86" w14:textId="77777777" w:rsidR="00EE3F5D" w:rsidRDefault="00000000">
            <w:pPr>
              <w:spacing w:before="60" w:after="60" w:line="240" w:lineRule="auto"/>
            </w:pPr>
            <w:r>
              <w:rPr>
                <w:sz w:val="20"/>
                <w:szCs w:val="20"/>
              </w:rPr>
              <w:t>Median monthly income, peak season (₹)</w:t>
            </w:r>
          </w:p>
        </w:tc>
        <w:tc>
          <w:tcPr>
            <w:tcW w:w="850" w:type="pct"/>
            <w:tcBorders>
              <w:bottom w:val="single" w:sz="4" w:space="0" w:color="C9C4C4"/>
            </w:tcBorders>
          </w:tcPr>
          <w:p w14:paraId="04A7020C" w14:textId="77777777" w:rsidR="00EE3F5D" w:rsidRDefault="00000000">
            <w:pPr>
              <w:spacing w:before="60" w:after="60" w:line="240" w:lineRule="auto"/>
              <w:jc w:val="right"/>
            </w:pPr>
            <w:r>
              <w:rPr>
                <w:sz w:val="20"/>
                <w:szCs w:val="20"/>
              </w:rPr>
              <w:t>23,000</w:t>
            </w:r>
          </w:p>
        </w:tc>
        <w:tc>
          <w:tcPr>
            <w:tcW w:w="850" w:type="pct"/>
            <w:tcBorders>
              <w:bottom w:val="single" w:sz="4" w:space="0" w:color="C9C4C4"/>
            </w:tcBorders>
          </w:tcPr>
          <w:p w14:paraId="16063D49" w14:textId="77777777" w:rsidR="00EE3F5D" w:rsidRDefault="00000000">
            <w:pPr>
              <w:spacing w:before="60" w:after="60" w:line="240" w:lineRule="auto"/>
              <w:jc w:val="right"/>
            </w:pPr>
            <w:r>
              <w:rPr>
                <w:sz w:val="20"/>
                <w:szCs w:val="20"/>
              </w:rPr>
              <w:t>16,500</w:t>
            </w:r>
          </w:p>
        </w:tc>
        <w:tc>
          <w:tcPr>
            <w:tcW w:w="1000" w:type="pct"/>
            <w:tcBorders>
              <w:bottom w:val="single" w:sz="4" w:space="0" w:color="C9C4C4"/>
            </w:tcBorders>
          </w:tcPr>
          <w:p w14:paraId="0869D278" w14:textId="77777777" w:rsidR="00EE3F5D" w:rsidRDefault="00000000">
            <w:pPr>
              <w:spacing w:before="60" w:after="60" w:line="240" w:lineRule="auto"/>
            </w:pPr>
            <w:r>
              <w:rPr>
                <w:sz w:val="20"/>
                <w:szCs w:val="20"/>
              </w:rPr>
              <w:t>Mann-Whitney U</w:t>
            </w:r>
          </w:p>
        </w:tc>
        <w:tc>
          <w:tcPr>
            <w:tcW w:w="600" w:type="pct"/>
            <w:tcBorders>
              <w:bottom w:val="single" w:sz="4" w:space="0" w:color="C9C4C4"/>
            </w:tcBorders>
          </w:tcPr>
          <w:p w14:paraId="5EBBFADE" w14:textId="77777777" w:rsidR="00EE3F5D" w:rsidRDefault="00000000">
            <w:pPr>
              <w:spacing w:before="60" w:after="60" w:line="240" w:lineRule="auto"/>
              <w:jc w:val="right"/>
            </w:pPr>
            <w:r>
              <w:rPr>
                <w:sz w:val="20"/>
                <w:szCs w:val="20"/>
              </w:rPr>
              <w:t>0.038</w:t>
            </w:r>
          </w:p>
        </w:tc>
      </w:tr>
      <w:tr w:rsidR="00EE3F5D" w14:paraId="49089DBB" w14:textId="77777777">
        <w:tc>
          <w:tcPr>
            <w:tcW w:w="1700" w:type="pct"/>
            <w:tcBorders>
              <w:bottom w:val="single" w:sz="4" w:space="0" w:color="C9C4C4"/>
            </w:tcBorders>
          </w:tcPr>
          <w:p w14:paraId="03555363" w14:textId="77777777" w:rsidR="00EE3F5D" w:rsidRDefault="00000000">
            <w:pPr>
              <w:spacing w:before="60" w:after="60" w:line="240" w:lineRule="auto"/>
            </w:pPr>
            <w:r>
              <w:rPr>
                <w:sz w:val="20"/>
                <w:szCs w:val="20"/>
              </w:rPr>
              <w:t>Median monthly income, off-season (₹)</w:t>
            </w:r>
          </w:p>
        </w:tc>
        <w:tc>
          <w:tcPr>
            <w:tcW w:w="850" w:type="pct"/>
            <w:tcBorders>
              <w:bottom w:val="single" w:sz="4" w:space="0" w:color="C9C4C4"/>
            </w:tcBorders>
          </w:tcPr>
          <w:p w14:paraId="7B6CADE4" w14:textId="77777777" w:rsidR="00EE3F5D" w:rsidRDefault="00000000">
            <w:pPr>
              <w:spacing w:before="60" w:after="60" w:line="240" w:lineRule="auto"/>
              <w:jc w:val="right"/>
            </w:pPr>
            <w:r>
              <w:rPr>
                <w:sz w:val="20"/>
                <w:szCs w:val="20"/>
              </w:rPr>
              <w:t>15,000</w:t>
            </w:r>
          </w:p>
        </w:tc>
        <w:tc>
          <w:tcPr>
            <w:tcW w:w="850" w:type="pct"/>
            <w:tcBorders>
              <w:bottom w:val="single" w:sz="4" w:space="0" w:color="C9C4C4"/>
            </w:tcBorders>
          </w:tcPr>
          <w:p w14:paraId="1357F520" w14:textId="77777777" w:rsidR="00EE3F5D" w:rsidRDefault="00000000">
            <w:pPr>
              <w:spacing w:before="60" w:after="60" w:line="240" w:lineRule="auto"/>
              <w:jc w:val="right"/>
            </w:pPr>
            <w:r>
              <w:rPr>
                <w:sz w:val="20"/>
                <w:szCs w:val="20"/>
              </w:rPr>
              <w:t>12,500</w:t>
            </w:r>
          </w:p>
        </w:tc>
        <w:tc>
          <w:tcPr>
            <w:tcW w:w="1000" w:type="pct"/>
            <w:tcBorders>
              <w:bottom w:val="single" w:sz="4" w:space="0" w:color="C9C4C4"/>
            </w:tcBorders>
          </w:tcPr>
          <w:p w14:paraId="30638965" w14:textId="77777777" w:rsidR="00EE3F5D" w:rsidRDefault="00000000">
            <w:pPr>
              <w:spacing w:before="60" w:after="60" w:line="240" w:lineRule="auto"/>
            </w:pPr>
            <w:r>
              <w:rPr>
                <w:sz w:val="20"/>
                <w:szCs w:val="20"/>
              </w:rPr>
              <w:t>Mann-Whitney U</w:t>
            </w:r>
          </w:p>
        </w:tc>
        <w:tc>
          <w:tcPr>
            <w:tcW w:w="600" w:type="pct"/>
            <w:tcBorders>
              <w:bottom w:val="single" w:sz="4" w:space="0" w:color="C9C4C4"/>
            </w:tcBorders>
          </w:tcPr>
          <w:p w14:paraId="759AA714" w14:textId="77777777" w:rsidR="00EE3F5D" w:rsidRDefault="00000000">
            <w:pPr>
              <w:spacing w:before="60" w:after="60" w:line="240" w:lineRule="auto"/>
              <w:jc w:val="right"/>
            </w:pPr>
            <w:r>
              <w:rPr>
                <w:sz w:val="20"/>
                <w:szCs w:val="20"/>
              </w:rPr>
              <w:t>0.394</w:t>
            </w:r>
          </w:p>
        </w:tc>
      </w:tr>
      <w:tr w:rsidR="00EE3F5D" w14:paraId="1523D69E" w14:textId="77777777">
        <w:tc>
          <w:tcPr>
            <w:tcW w:w="1700" w:type="pct"/>
            <w:tcBorders>
              <w:bottom w:val="single" w:sz="4" w:space="0" w:color="C9C4C4"/>
            </w:tcBorders>
          </w:tcPr>
          <w:p w14:paraId="6A97E553" w14:textId="77777777" w:rsidR="00EE3F5D" w:rsidRDefault="00000000">
            <w:pPr>
              <w:spacing w:before="60" w:after="60" w:line="240" w:lineRule="auto"/>
            </w:pPr>
            <w:r>
              <w:rPr>
                <w:sz w:val="20"/>
                <w:szCs w:val="20"/>
              </w:rPr>
              <w:t>No health/accident insurance (%)</w:t>
            </w:r>
          </w:p>
        </w:tc>
        <w:tc>
          <w:tcPr>
            <w:tcW w:w="850" w:type="pct"/>
            <w:tcBorders>
              <w:bottom w:val="single" w:sz="4" w:space="0" w:color="C9C4C4"/>
            </w:tcBorders>
          </w:tcPr>
          <w:p w14:paraId="60458B8D" w14:textId="77777777" w:rsidR="00EE3F5D" w:rsidRDefault="00000000">
            <w:pPr>
              <w:spacing w:before="60" w:after="60" w:line="240" w:lineRule="auto"/>
              <w:jc w:val="right"/>
            </w:pPr>
            <w:r>
              <w:rPr>
                <w:sz w:val="20"/>
                <w:szCs w:val="20"/>
              </w:rPr>
              <w:t>73.5</w:t>
            </w:r>
          </w:p>
        </w:tc>
        <w:tc>
          <w:tcPr>
            <w:tcW w:w="850" w:type="pct"/>
            <w:tcBorders>
              <w:bottom w:val="single" w:sz="4" w:space="0" w:color="C9C4C4"/>
            </w:tcBorders>
          </w:tcPr>
          <w:p w14:paraId="6707775D" w14:textId="77777777" w:rsidR="00EE3F5D" w:rsidRDefault="00000000">
            <w:pPr>
              <w:spacing w:before="60" w:after="60" w:line="240" w:lineRule="auto"/>
              <w:jc w:val="right"/>
            </w:pPr>
            <w:r>
              <w:rPr>
                <w:sz w:val="20"/>
                <w:szCs w:val="20"/>
              </w:rPr>
              <w:t>84.5</w:t>
            </w:r>
          </w:p>
        </w:tc>
        <w:tc>
          <w:tcPr>
            <w:tcW w:w="1000" w:type="pct"/>
            <w:tcBorders>
              <w:bottom w:val="single" w:sz="4" w:space="0" w:color="C9C4C4"/>
            </w:tcBorders>
          </w:tcPr>
          <w:p w14:paraId="247B0E24" w14:textId="77777777" w:rsidR="00EE3F5D" w:rsidRDefault="00000000">
            <w:pPr>
              <w:spacing w:before="60" w:after="60" w:line="240" w:lineRule="auto"/>
            </w:pPr>
            <w:r>
              <w:rPr>
                <w:sz w:val="20"/>
                <w:szCs w:val="20"/>
              </w:rPr>
              <w:t>Chi-square</w:t>
            </w:r>
          </w:p>
        </w:tc>
        <w:tc>
          <w:tcPr>
            <w:tcW w:w="600" w:type="pct"/>
            <w:tcBorders>
              <w:bottom w:val="single" w:sz="4" w:space="0" w:color="C9C4C4"/>
            </w:tcBorders>
          </w:tcPr>
          <w:p w14:paraId="1FDA4F60" w14:textId="77777777" w:rsidR="00EE3F5D" w:rsidRDefault="00000000">
            <w:pPr>
              <w:spacing w:before="60" w:after="60" w:line="240" w:lineRule="auto"/>
              <w:jc w:val="right"/>
            </w:pPr>
            <w:r>
              <w:rPr>
                <w:sz w:val="20"/>
                <w:szCs w:val="20"/>
              </w:rPr>
              <w:t>0.048</w:t>
            </w:r>
          </w:p>
        </w:tc>
      </w:tr>
      <w:tr w:rsidR="00EE3F5D" w14:paraId="3D05AD60" w14:textId="77777777">
        <w:tc>
          <w:tcPr>
            <w:tcW w:w="1700" w:type="pct"/>
            <w:tcBorders>
              <w:bottom w:val="single" w:sz="4" w:space="0" w:color="C9C4C4"/>
            </w:tcBorders>
          </w:tcPr>
          <w:p w14:paraId="1AED1C7B" w14:textId="77777777" w:rsidR="00EE3F5D" w:rsidRDefault="00000000">
            <w:pPr>
              <w:spacing w:before="60" w:after="60" w:line="240" w:lineRule="auto"/>
            </w:pPr>
            <w:r>
              <w:rPr>
                <w:sz w:val="20"/>
                <w:szCs w:val="20"/>
              </w:rPr>
              <w:t>100% of income from tourism (%)</w:t>
            </w:r>
          </w:p>
        </w:tc>
        <w:tc>
          <w:tcPr>
            <w:tcW w:w="850" w:type="pct"/>
            <w:tcBorders>
              <w:bottom w:val="single" w:sz="4" w:space="0" w:color="C9C4C4"/>
            </w:tcBorders>
          </w:tcPr>
          <w:p w14:paraId="156A4D30" w14:textId="77777777" w:rsidR="00EE3F5D" w:rsidRDefault="00000000">
            <w:pPr>
              <w:spacing w:before="60" w:after="60" w:line="240" w:lineRule="auto"/>
              <w:jc w:val="right"/>
            </w:pPr>
            <w:r>
              <w:rPr>
                <w:sz w:val="20"/>
                <w:szCs w:val="20"/>
              </w:rPr>
              <w:t>80.1</w:t>
            </w:r>
          </w:p>
        </w:tc>
        <w:tc>
          <w:tcPr>
            <w:tcW w:w="850" w:type="pct"/>
            <w:tcBorders>
              <w:bottom w:val="single" w:sz="4" w:space="0" w:color="C9C4C4"/>
            </w:tcBorders>
          </w:tcPr>
          <w:p w14:paraId="2A1FEE40" w14:textId="77777777" w:rsidR="00EE3F5D" w:rsidRDefault="00000000">
            <w:pPr>
              <w:spacing w:before="60" w:after="60" w:line="240" w:lineRule="auto"/>
              <w:jc w:val="right"/>
            </w:pPr>
            <w:r>
              <w:rPr>
                <w:sz w:val="20"/>
                <w:szCs w:val="20"/>
              </w:rPr>
              <w:t>76.7</w:t>
            </w:r>
          </w:p>
        </w:tc>
        <w:tc>
          <w:tcPr>
            <w:tcW w:w="1000" w:type="pct"/>
            <w:tcBorders>
              <w:bottom w:val="single" w:sz="4" w:space="0" w:color="C9C4C4"/>
            </w:tcBorders>
          </w:tcPr>
          <w:p w14:paraId="2603CF7D" w14:textId="77777777" w:rsidR="00EE3F5D" w:rsidRDefault="00000000">
            <w:pPr>
              <w:spacing w:before="60" w:after="60" w:line="240" w:lineRule="auto"/>
            </w:pPr>
            <w:r>
              <w:rPr>
                <w:sz w:val="20"/>
                <w:szCs w:val="20"/>
              </w:rPr>
              <w:t>Chi-square</w:t>
            </w:r>
          </w:p>
        </w:tc>
        <w:tc>
          <w:tcPr>
            <w:tcW w:w="600" w:type="pct"/>
            <w:tcBorders>
              <w:bottom w:val="single" w:sz="4" w:space="0" w:color="C9C4C4"/>
            </w:tcBorders>
          </w:tcPr>
          <w:p w14:paraId="7B3BB7C3" w14:textId="77777777" w:rsidR="00EE3F5D" w:rsidRDefault="00000000">
            <w:pPr>
              <w:spacing w:before="60" w:after="60" w:line="240" w:lineRule="auto"/>
              <w:jc w:val="right"/>
            </w:pPr>
            <w:r>
              <w:rPr>
                <w:sz w:val="20"/>
                <w:szCs w:val="20"/>
              </w:rPr>
              <w:t>0.636</w:t>
            </w:r>
          </w:p>
        </w:tc>
      </w:tr>
      <w:tr w:rsidR="00EE3F5D" w14:paraId="57F74563" w14:textId="77777777">
        <w:tc>
          <w:tcPr>
            <w:tcW w:w="1700" w:type="pct"/>
            <w:tcBorders>
              <w:bottom w:val="single" w:sz="8" w:space="0" w:color="605D5D"/>
            </w:tcBorders>
          </w:tcPr>
          <w:p w14:paraId="1DD90755" w14:textId="77777777" w:rsidR="00EE3F5D" w:rsidRDefault="00000000">
            <w:pPr>
              <w:spacing w:before="60" w:after="60" w:line="240" w:lineRule="auto"/>
            </w:pPr>
            <w:r>
              <w:rPr>
                <w:sz w:val="20"/>
                <w:szCs w:val="20"/>
              </w:rPr>
              <w:t>Has any other income source (%)</w:t>
            </w:r>
          </w:p>
        </w:tc>
        <w:tc>
          <w:tcPr>
            <w:tcW w:w="850" w:type="pct"/>
            <w:tcBorders>
              <w:bottom w:val="single" w:sz="8" w:space="0" w:color="605D5D"/>
            </w:tcBorders>
          </w:tcPr>
          <w:p w14:paraId="29FAF7FC" w14:textId="77777777" w:rsidR="00EE3F5D" w:rsidRDefault="00000000">
            <w:pPr>
              <w:spacing w:before="60" w:after="60" w:line="240" w:lineRule="auto"/>
              <w:jc w:val="right"/>
            </w:pPr>
            <w:r>
              <w:rPr>
                <w:sz w:val="20"/>
                <w:szCs w:val="20"/>
              </w:rPr>
              <w:t>13.8</w:t>
            </w:r>
          </w:p>
        </w:tc>
        <w:tc>
          <w:tcPr>
            <w:tcW w:w="850" w:type="pct"/>
            <w:tcBorders>
              <w:bottom w:val="single" w:sz="8" w:space="0" w:color="605D5D"/>
            </w:tcBorders>
          </w:tcPr>
          <w:p w14:paraId="1C08498D" w14:textId="77777777" w:rsidR="00EE3F5D" w:rsidRDefault="00000000">
            <w:pPr>
              <w:spacing w:before="60" w:after="60" w:line="240" w:lineRule="auto"/>
              <w:jc w:val="right"/>
            </w:pPr>
            <w:r>
              <w:rPr>
                <w:sz w:val="20"/>
                <w:szCs w:val="20"/>
              </w:rPr>
              <w:t>20.8</w:t>
            </w:r>
          </w:p>
        </w:tc>
        <w:tc>
          <w:tcPr>
            <w:tcW w:w="1000" w:type="pct"/>
            <w:tcBorders>
              <w:bottom w:val="single" w:sz="8" w:space="0" w:color="605D5D"/>
            </w:tcBorders>
          </w:tcPr>
          <w:p w14:paraId="04FA793F" w14:textId="77777777" w:rsidR="00EE3F5D" w:rsidRDefault="00000000">
            <w:pPr>
              <w:spacing w:before="60" w:after="60" w:line="240" w:lineRule="auto"/>
            </w:pPr>
            <w:r>
              <w:rPr>
                <w:sz w:val="20"/>
                <w:szCs w:val="20"/>
              </w:rPr>
              <w:t>Chi-square</w:t>
            </w:r>
          </w:p>
        </w:tc>
        <w:tc>
          <w:tcPr>
            <w:tcW w:w="600" w:type="pct"/>
            <w:tcBorders>
              <w:bottom w:val="single" w:sz="8" w:space="0" w:color="605D5D"/>
            </w:tcBorders>
          </w:tcPr>
          <w:p w14:paraId="180A2341" w14:textId="77777777" w:rsidR="00EE3F5D" w:rsidRDefault="00000000">
            <w:pPr>
              <w:spacing w:before="60" w:after="60" w:line="240" w:lineRule="auto"/>
              <w:jc w:val="right"/>
            </w:pPr>
            <w:r>
              <w:rPr>
                <w:sz w:val="20"/>
                <w:szCs w:val="20"/>
              </w:rPr>
              <w:t>0.176</w:t>
            </w:r>
          </w:p>
        </w:tc>
      </w:tr>
    </w:tbl>
    <w:p w14:paraId="442DB976" w14:textId="77777777" w:rsidR="00EE3F5D" w:rsidRDefault="00EE3F5D">
      <w:pPr>
        <w:pStyle w:val="BodyText"/>
        <w:spacing w:after="0"/>
      </w:pPr>
    </w:p>
    <w:p w14:paraId="2930BD2F" w14:textId="77777777" w:rsidR="00EE3F5D" w:rsidRDefault="00000000">
      <w:pPr>
        <w:pStyle w:val="BodyText"/>
      </w:pPr>
      <w:r>
        <w:t xml:space="preserve">One proviso to the section is that it does not go too far. 59% of residents who stated they were pro-tourism also indicated that they felt the environment was declining when their overall attitude toward tourism was </w:t>
      </w:r>
      <w:proofErr w:type="gramStart"/>
      <w:r>
        <w:t>cross-tabulated</w:t>
      </w:r>
      <w:proofErr w:type="gramEnd"/>
      <w:r>
        <w:t xml:space="preserve"> with their perception of the environment. 68% of residents who indicated that tourism has not been beneficial said it has. There is no significant difference between the two (χ2 = 0.269). It's not necessary to oppose the source to see the damage. The environment is perceived as worse by the majority in both camps. Those who want tourism don't see what it's costing residents; they live in the same conditions as everyone else. This is not something that has to be explained as an exception. It is the point.</w:t>
      </w:r>
    </w:p>
    <w:p w14:paraId="4DD67B55" w14:textId="77777777" w:rsidR="00EE3F5D" w:rsidRDefault="00000000">
      <w:pPr>
        <w:pStyle w:val="BodyText"/>
      </w:pPr>
      <w:r>
        <w:t xml:space="preserve">The insurance number makes an impact. </w:t>
      </w:r>
      <w:proofErr w:type="gramStart"/>
      <w:r>
        <w:t>The vast majority of</w:t>
      </w:r>
      <w:proofErr w:type="gramEnd"/>
      <w:r>
        <w:t xml:space="preserve"> workers (76.4%) lack health insurance coverage or an accident insurance policy, a proportion that is even higher among migrants (84.5%). Four out of five migrants are facing the events of workplaces where workplace accidents have no institutional buffer.</w:t>
      </w:r>
    </w:p>
    <w:p w14:paraId="38463BC1" w14:textId="77777777" w:rsidR="00EE3F5D" w:rsidRDefault="00000000">
      <w:pPr>
        <w:pStyle w:val="BodyText"/>
      </w:pPr>
      <w:r>
        <w:t>There is more to the income comparison than might seem from this 'migrants earn less' assertion. During peak seasons, locals earn around ₹23,000 per month, while migrants earn nearly ₹16,500 per month. Locals make nearly 40% more than the migrants. Both groups decline during the off-season, when the difference is very slight. There is no structural difference in the earnings of migrants in Nainital's tourism industry. They are not included in the premium for peak season. If there is a boom in demand, and if there are people who have been employed longer and have a longer history of local networking, then there will be people who have been migrants and won't get paid. If demand is low and everyone is struggling to make ends meet, then wage rates are the same in the labour market. Blanket precarity is a bargaining-power imbalance that comes into play when money is at stake.</w:t>
      </w:r>
    </w:p>
    <w:p w14:paraId="796F26B6" w14:textId="77777777" w:rsidR="00EE3F5D" w:rsidRDefault="00000000">
      <w:pPr>
        <w:pStyle w:val="BodyText"/>
      </w:pPr>
      <w:r>
        <w:t xml:space="preserve">This becomes a contradiction when compared with enterprise data. 84% of the business owners in the enterprise survey are Nainital residents. That is a high level of local ownership; it's not a town where </w:t>
      </w:r>
      <w:r>
        <w:lastRenderedPageBreak/>
        <w:t xml:space="preserve">investors from outside have acquired the enterprise base. The same local economy, however, provides an uninsured workforce: 77% of the population in both groups is uninsured, with each group being mono-dependent. The same local economy, though, provides an uninsured workforce: 77% of the population in both groups is uninsured, and each group is mono-dependent, concentrating risk on migrants. The local title to the shop does not give structural protection to the person behind the counter. There is no need for someone outside to take the assets </w:t>
      </w:r>
      <w:proofErr w:type="gramStart"/>
      <w:r>
        <w:t>as a consequence of</w:t>
      </w:r>
      <w:proofErr w:type="gramEnd"/>
      <w:r>
        <w:t xml:space="preserve"> the curse. Vulnerability is inherent in relying on a single industry, and it is hard to overcome it through local control.</w:t>
      </w:r>
    </w:p>
    <w:p w14:paraId="382D1EE3" w14:textId="77777777" w:rsidR="00EE3F5D" w:rsidRDefault="00000000">
      <w:pPr>
        <w:pStyle w:val="Heading2"/>
      </w:pPr>
      <w:bookmarkStart w:id="14" w:name="_Toc238413278"/>
      <w:proofErr w:type="gramStart"/>
      <w:r>
        <w:t>5.4  What</w:t>
      </w:r>
      <w:proofErr w:type="gramEnd"/>
      <w:r>
        <w:t xml:space="preserve"> the data does not show</w:t>
      </w:r>
      <w:bookmarkEnd w:id="14"/>
    </w:p>
    <w:p w14:paraId="3606AD3A" w14:textId="77777777" w:rsidR="00EE3F5D" w:rsidRDefault="00000000">
      <w:pPr>
        <w:pStyle w:val="BodyText"/>
      </w:pPr>
      <w:r>
        <w:t>However, both original plan cross-tabulations were null, and they are reported rather than omitted.</w:t>
      </w:r>
    </w:p>
    <w:p w14:paraId="39305DD7" w14:textId="77777777" w:rsidR="00EE3F5D" w:rsidRDefault="00000000">
      <w:pPr>
        <w:pStyle w:val="BodyText"/>
      </w:pPr>
      <w:r>
        <w:t>The first was the perception of equity in the provision of water among residents who depend on tourism versus those who do not. The first was to discern perceptions of equity in water provisioning among residents who depend on tourism and those who do not. 66.7% of households dependent on tourism reported supplying water to businesses before supplying water to their households. The same question was asked of the non-dependent households; their response was 59.0%. When compared with the direction indicated by a resentment-gradient model, this direction is opposite, and there is no significant difference (chi-square p=0.283).</w:t>
      </w:r>
    </w:p>
    <w:p w14:paraId="0F8CDDCC" w14:textId="77777777" w:rsidR="00EE3F5D" w:rsidRDefault="00000000">
      <w:pPr>
        <w:pStyle w:val="BodyText"/>
      </w:pPr>
      <w:r>
        <w:t>The t-test was used to determine if there was any difference in the amount of water provided to the two groups. They do not. Median amount of piped water per day was 4.0 hrs for both. The means are not significantly different (p=0.176), but the means differ: 6.52 for one and 7.97 for the other.</w:t>
      </w:r>
    </w:p>
    <w:p w14:paraId="2A2582AC" w14:textId="77777777" w:rsidR="00EE3F5D" w:rsidRDefault="00000000">
      <w:pPr>
        <w:pStyle w:val="BodyText"/>
      </w:pPr>
      <w:r>
        <w:t xml:space="preserve">In Nainital, water stress is not targeted at consumers who have subscribed to the alternative tourism economy. It's spread throughout the town, </w:t>
      </w:r>
      <w:proofErr w:type="gramStart"/>
      <w:r>
        <w:t>whether or not</w:t>
      </w:r>
      <w:proofErr w:type="gramEnd"/>
      <w:r>
        <w:t xml:space="preserve"> the household is a tourist. To solve the water shortage, you can't simply leave the sector area, since the sector is the town, and water passes through it.</w:t>
      </w:r>
    </w:p>
    <w:p w14:paraId="7C12D6B9" w14:textId="77777777" w:rsidR="00EE3F5D" w:rsidRDefault="00000000">
      <w:pPr>
        <w:pStyle w:val="Heading2"/>
      </w:pPr>
      <w:bookmarkStart w:id="15" w:name="_Toc238413279"/>
      <w:proofErr w:type="gramStart"/>
      <w:r>
        <w:t>5.5  The</w:t>
      </w:r>
      <w:proofErr w:type="gramEnd"/>
      <w:r>
        <w:t xml:space="preserve"> view from the other side</w:t>
      </w:r>
      <w:bookmarkEnd w:id="15"/>
    </w:p>
    <w:p w14:paraId="79C47A07" w14:textId="77777777" w:rsidR="00EE3F5D" w:rsidRDefault="00000000">
      <w:pPr>
        <w:pStyle w:val="BodyText"/>
      </w:pPr>
      <w:r>
        <w:t>The overall satisfaction of tourists with their experience in Nainital was 3.78 out of 5 across the tourist survey (n=311). Cleanliness averaged 3.46. Tourists scored 0.96 out of 3 points for the separately constructed responsible-tourism behaviour.</w:t>
      </w:r>
    </w:p>
    <w:p w14:paraId="018A6472" w14:textId="77777777" w:rsidR="00EE3F5D" w:rsidRDefault="00000000">
      <w:pPr>
        <w:pStyle w:val="BodyText"/>
      </w:pPr>
      <w:r>
        <w:t>Tourists are not acting badly, and their satisfaction is not due to any merit on their part. However, it's the town that has a 60% environmental decline rating among its residents, has three out of four workers without insurance... and a 2-to-1 water hierarchy in favour of the tourism business. From the visitors' point of view, it is a well-functioning economy they are returning to because they perceive it is hurting them.</w:t>
      </w:r>
    </w:p>
    <w:p w14:paraId="353C0D4E" w14:textId="77777777" w:rsidR="00EE3F5D" w:rsidRDefault="00000000">
      <w:pPr>
        <w:pStyle w:val="Heading1"/>
      </w:pPr>
      <w:bookmarkStart w:id="16" w:name="_Toc238413280"/>
      <w:r>
        <w:t>6.  Discussion</w:t>
      </w:r>
      <w:bookmarkEnd w:id="16"/>
    </w:p>
    <w:p w14:paraId="5BD74366" w14:textId="77777777" w:rsidR="00EE3F5D" w:rsidRDefault="00000000">
      <w:pPr>
        <w:pStyle w:val="BodyText"/>
      </w:pPr>
      <w:r>
        <w:t>The Analysis reveals a town where different populations reside within the same geography and lead different lives. Reported tourist satisfaction and residents' reduced descriptions do not conflict about Nainital; they are valid descriptions of the same Nainital from two opposite ends of its transaction. This part suggests that the pattern these facts paint is best described in terms of an adapted resource-</w:t>
      </w:r>
      <w:r>
        <w:lastRenderedPageBreak/>
        <w:t>curse approach, and that the vocabulary of ‘sustainable tourism’ is inadequate to capture what is at play here.</w:t>
      </w:r>
    </w:p>
    <w:p w14:paraId="6C419221" w14:textId="77777777" w:rsidR="00EE3F5D" w:rsidRDefault="00000000">
      <w:pPr>
        <w:pStyle w:val="BodyText"/>
      </w:pPr>
      <w:r>
        <w:t xml:space="preserve">Auty (1993) captured the mechanisms behind institutional distortion stemming from single-resource dependence, which Sachs and Warner (1995) termed the resource curse. The processes responsible for institutional distortion that develops from reliance on a single resource, as described by Sachs and Warner (1995) and formalised by Auty (1993), are referred to as the resource curse. Deng, Ma and Cao (2014) apply the theory to tourism and find that tourism-dependent provinces experienced slower long-run </w:t>
      </w:r>
      <w:proofErr w:type="gramStart"/>
      <w:r>
        <w:t>growth, but</w:t>
      </w:r>
      <w:proofErr w:type="gramEnd"/>
      <w:r>
        <w:t xml:space="preserve"> warn that the 'crowding out' channel is weaker in tourism than in the oil industry, as tourism revenues do not replace a currency like oil exports.</w:t>
      </w:r>
    </w:p>
    <w:p w14:paraId="2A8FFE11" w14:textId="77777777" w:rsidR="00EE3F5D" w:rsidRDefault="00000000">
      <w:pPr>
        <w:pStyle w:val="BodyText"/>
      </w:pPr>
      <w:r>
        <w:t xml:space="preserve">In Nainital, the Deng, Ma and Cao model does not fit neatly, and an indication thereof is crucial. This is not 'crowding out' in the money sense. While mass-produced tourist products have not made agriculture less viable, they have had no impact on manufacturing relocating to the outlands, because agriculture, on a large scale and alongside manufacturing, was never a viable activity in a town nestled into the lakebed of British colonial administrators. In her historical study of Himalayan hill stations, </w:t>
      </w:r>
      <w:proofErr w:type="spellStart"/>
      <w:r>
        <w:t>Sacareau</w:t>
      </w:r>
      <w:proofErr w:type="spellEnd"/>
      <w:r>
        <w:t xml:space="preserve"> (2007) chronicled the spatial planning and design of such areas as holiday destinations in the first place, and the physical structures put in place were never intended to support a diverse economy. It is not fiscal crowding out; it is geographic crowding out—there was nowhere else to put the dollars spent on tourism. This is an adaptation of the resource curse theory and not a version, and it does not assert the outcome of the theory as does the latter itself - the outcome predicted by the theory is predicted in Nainital. In contrast, one of the classical mechanisms is not.</w:t>
      </w:r>
    </w:p>
    <w:p w14:paraId="7112923D" w14:textId="77777777" w:rsidR="00EE3F5D" w:rsidRDefault="00000000">
      <w:pPr>
        <w:pStyle w:val="BodyText"/>
      </w:pPr>
      <w:r>
        <w:t>The three field conversations which follow speak for this outcome in the person of those who experience it.</w:t>
      </w:r>
    </w:p>
    <w:p w14:paraId="7081139C" w14:textId="77777777" w:rsidR="00EE3F5D" w:rsidRDefault="00000000">
      <w:pPr>
        <w:pStyle w:val="BodyText"/>
      </w:pPr>
      <w:r>
        <w:t xml:space="preserve">The man, owner of a small shop in the city, asking about the town's future, said, "Dus </w:t>
      </w:r>
      <w:proofErr w:type="spellStart"/>
      <w:r>
        <w:t>saal</w:t>
      </w:r>
      <w:proofErr w:type="spellEnd"/>
      <w:r>
        <w:t xml:space="preserve"> mein Nainital khatam" (We will dismiss the town after two years). The Nainital will be complete in 10 years. The prediction follows closely on the heels of the discovery that 62% of residents said the environment had been declining over the past five years, and both imply extrapolating the environment's future based on a visible trend of decline. According to Doxey's (1975) </w:t>
      </w:r>
      <w:proofErr w:type="spellStart"/>
      <w:r>
        <w:t>Irridex</w:t>
      </w:r>
      <w:proofErr w:type="spellEnd"/>
      <w:r>
        <w:t xml:space="preserve"> model, host communities go through four stages when dealing with the effects of tourism: euphoria, apathy, annoyance and antagonism. The model has been criticised as overly linear (Sharpley, 2014), but the terminal antagonism stage reflects a reality experienced by residents at some point amid unwanted change. If the utility shop owner said what they said, it was not an act of antagonism. He is not angry with tourists, nor </w:t>
      </w:r>
      <w:proofErr w:type="gramStart"/>
      <w:r>
        <w:t>protesting against</w:t>
      </w:r>
      <w:proofErr w:type="gramEnd"/>
      <w:r>
        <w:t xml:space="preserve"> tourism. He complacently predicts the destruction of his town. This falls within the remit of what environmental sociology has begun to refer to as anticipatory grief regarding an as-yet unexplored destination (Cunsolo &amp; Ellis, 2018), indicating that the typology of responses that mature tourism destinations can produce is not captured by the </w:t>
      </w:r>
      <w:proofErr w:type="spellStart"/>
      <w:r>
        <w:t>Irridex</w:t>
      </w:r>
      <w:proofErr w:type="spellEnd"/>
      <w:r>
        <w:t xml:space="preserve"> model.</w:t>
      </w:r>
    </w:p>
    <w:p w14:paraId="22DA45C7" w14:textId="77777777" w:rsidR="00EE3F5D" w:rsidRDefault="00000000">
      <w:pPr>
        <w:pStyle w:val="BodyText"/>
      </w:pPr>
      <w:r>
        <w:t xml:space="preserve">A crowded, rambunctious Mall Road, where people can get into car accidents and be injured, has forced a jalebi shop owner's family to avoid the street during the tourist season, she said. Water inequity in Bali's tourism sector has been a focus of my research since 2012 (Cole, 2012), and the analysis (through documentation) of tourist-resident clashes over access to shared resources is the starting point for more efficient responses. The Nainital data corroborates Cole's claim of inequity but complicates her framing of the problem. The man selling the jalebi makes it clear that this is not a water story, but rather the space, safety and daily geography of the jalebi seller's life. The residents never had a policy </w:t>
      </w:r>
      <w:r>
        <w:lastRenderedPageBreak/>
        <w:t>barring them from Mall Road; they were leaving it because its peak-season usage was becoming too expensive. The towns in which the visitors are playing have a satisfaction score of 3.78 this time; these are the places where lifetime residents have stepped aside.</w:t>
      </w:r>
    </w:p>
    <w:p w14:paraId="2AB3B1BF" w14:textId="77777777" w:rsidR="00EE3F5D" w:rsidRDefault="00000000">
      <w:pPr>
        <w:pStyle w:val="BodyText"/>
      </w:pPr>
      <w:r>
        <w:t>Speaking on the matter, the owner of a cloth shop, while responding to a question about the condition of the neighbourhood when compared with the tourist areas, said that there is not a single speck of attention directed towards them and the government does not bother about it whether it is water or cleanliness; which is why the difference between the tourist areas and the residential area is clearly visible. Institutional distortion, political and administrative systems playing a supporting role for the predominant sector, and the provision of public goods are cited by Deng, Ma and Cao (2014) as three main channels through which the tourism resource curse can be transmitted. The location audit revealed that there were almost four times as many hotel parking spaces as public parking spaces, and 6 out of 10 had no public toilets or only 1. Where he is not even claiming that his complaint is one that the data would have to prove; it is a diagnosis of a pattern that the data already indicates, as a complainant whose neighbourhood is on the other side of the allocation.</w:t>
      </w:r>
    </w:p>
    <w:p w14:paraId="4AB6A6AE" w14:textId="77777777" w:rsidR="00EE3F5D" w:rsidRDefault="00000000">
      <w:pPr>
        <w:pStyle w:val="BodyText"/>
      </w:pPr>
      <w:r>
        <w:t>The findings and field observations, taken together, support the claim that sustainable tourism is not easily defined. Nainital's problems have nothing to do with poorly conducted tourism; it can be done better. It is that tourism turns out to be the only sustainable livelihood available in a community where geography makes other livelihoods impossible; that it undermines the resources on which it and the town rely; and that residents of the community in this area can see it all and cannot evade it.</w:t>
      </w:r>
    </w:p>
    <w:p w14:paraId="5C254730" w14:textId="77777777" w:rsidR="00EE3F5D" w:rsidRDefault="00000000">
      <w:pPr>
        <w:pStyle w:val="BodyText"/>
      </w:pPr>
      <w:r>
        <w:t>The null results from the Analysis support these readings. The perception of water inequity and duration of water supply to households are similar for dependency groups of tourism-dependent and non-dependent households. There are no levels of grievance hierarchy to structure policy. It is not a distributional issue but a structural one, and not a redistribution issue but one about what the town, economically designed as a bedrock model-based economy, is meant to do now.</w:t>
      </w:r>
    </w:p>
    <w:p w14:paraId="1D28DE72" w14:textId="77777777" w:rsidR="00EE3F5D" w:rsidRDefault="00000000">
      <w:pPr>
        <w:pStyle w:val="BodyText"/>
      </w:pPr>
      <w:r>
        <w:t>That is a harder question than the sustainable tourism literature typically asks, and this paper does not resolve it. It does, however, allow the question to be posed accurately.</w:t>
      </w:r>
    </w:p>
    <w:p w14:paraId="43EA855E" w14:textId="77777777" w:rsidR="00EE3F5D" w:rsidRDefault="00000000">
      <w:pPr>
        <w:pStyle w:val="Heading1"/>
      </w:pPr>
      <w:bookmarkStart w:id="17" w:name="_Toc238413281"/>
      <w:r>
        <w:t>7.  Conclusion</w:t>
      </w:r>
      <w:bookmarkEnd w:id="17"/>
    </w:p>
    <w:p w14:paraId="170B4BB4" w14:textId="77777777" w:rsidR="00EE3F5D" w:rsidRDefault="00000000">
      <w:pPr>
        <w:pStyle w:val="BodyText"/>
      </w:pPr>
      <w:r>
        <w:t>The paper started with a question of whether Nainital can save itself from tourism, even as it is taking it to its grave. After sending five surveys and two non-responses, and having three field conversations, the answer is still no. Damage is visible to the citizens. It's an issue that's recognised under the state government's own policy. The employees understand that there is nothing else. The geography, which has made tourism the sole available option, has not altered since the British constructed the town around a lake 200 years ago.</w:t>
      </w:r>
    </w:p>
    <w:p w14:paraId="27640917" w14:textId="77777777" w:rsidR="00EE3F5D" w:rsidRDefault="00000000">
      <w:pPr>
        <w:pStyle w:val="BodyText"/>
      </w:pPr>
      <w:r>
        <w:t>This paper identified a condition enabled by the resource curse framework. The negative effects of tourism are considered management or distribution issues in the sustainable tourism literature and are therefore regarded as ones that can be addressed by better policy. In Nainital, none of those solutions penetrates to the cause—no other sector to send people to. No law authorises levelling a valley to make it a farm. It is not a failure to operate tourism; it is the residents who speak that way, saying that the businesses receive water first. They are talking about how a town normally works when it depends on tourism but exists for no other reason.</w:t>
      </w:r>
    </w:p>
    <w:p w14:paraId="43BD82E2" w14:textId="77777777" w:rsidR="00EE3F5D" w:rsidRDefault="00000000">
      <w:pPr>
        <w:pStyle w:val="BodyText"/>
      </w:pPr>
      <w:r>
        <w:lastRenderedPageBreak/>
        <w:t>This study does have definite limitations. The qualitative evidence is based on 3 of approximately 20 unrecorded conversations. The resignation pattern could be tested, but the sample size is small. The location audit includes 10 locations and does not provide statistics. The survey facts and figures represent only one survey period, and survey perceptions can change from one season to another and/or from one year to another.</w:t>
      </w:r>
    </w:p>
    <w:p w14:paraId="5852F589" w14:textId="77777777" w:rsidR="00EE3F5D" w:rsidRDefault="00000000">
      <w:pPr>
        <w:pStyle w:val="BodyText"/>
      </w:pPr>
      <w:r>
        <w:t xml:space="preserve">There are two questions which have not been answered and need to be addressed in future work. Firstly, is the pattern continued beyond Nainital? The feature of the tourism resource curse could result from the specific circumstances in Nainital, or it might be a phenomenon that such hill towns are prone to developing. This could be revealed by a comparative analysis of these towns with those that share similar colonial histories and geographic boundaries. Second, a steady, informed realisation among residents, like a sense of a town on the decline, and that it is not possible to live there any longer, is not unique to this paper. If so, our understanding of community response to tourism must </w:t>
      </w:r>
      <w:proofErr w:type="gramStart"/>
      <w:r>
        <w:t>take into account</w:t>
      </w:r>
      <w:proofErr w:type="gramEnd"/>
      <w:r>
        <w:t xml:space="preserve"> those who have moved beyond fighting and are now merely watching. Rather than opposition, it may be more difficult to tackle through policy, as there is no demand. There is just a situation that is being suffered.</w:t>
      </w:r>
    </w:p>
    <w:p w14:paraId="01A27605" w14:textId="77777777" w:rsidR="00EE3F5D" w:rsidRDefault="00000000">
      <w:pPr>
        <w:pStyle w:val="Heading1"/>
      </w:pPr>
      <w:bookmarkStart w:id="18" w:name="_Toc238413282"/>
      <w:r>
        <w:t>References</w:t>
      </w:r>
      <w:bookmarkEnd w:id="18"/>
    </w:p>
    <w:p w14:paraId="50964AD9" w14:textId="77777777" w:rsidR="00EE3F5D" w:rsidRDefault="00000000">
      <w:pPr>
        <w:pStyle w:val="BodyText"/>
      </w:pPr>
      <w:r>
        <w:t xml:space="preserve">Auty, R. M. (1993). </w:t>
      </w:r>
      <w:r>
        <w:rPr>
          <w:i/>
        </w:rPr>
        <w:t>Sustaining development in mineral economies: The resource curse thesis</w:t>
      </w:r>
      <w:r>
        <w:t>. Routledge.</w:t>
      </w:r>
    </w:p>
    <w:p w14:paraId="30C2470B" w14:textId="77777777" w:rsidR="00EE3F5D" w:rsidRDefault="00000000">
      <w:pPr>
        <w:pStyle w:val="BodyText"/>
      </w:pPr>
      <w:r>
        <w:t xml:space="preserve">Batta, R. N. (2000). </w:t>
      </w:r>
      <w:r>
        <w:rPr>
          <w:i/>
        </w:rPr>
        <w:t>Tourism and the environment: A quest for sustainability</w:t>
      </w:r>
      <w:r>
        <w:t>. Indus Publishing.</w:t>
      </w:r>
    </w:p>
    <w:p w14:paraId="282C38A1" w14:textId="5ED57A9A" w:rsidR="00EE3F5D" w:rsidRDefault="00000000">
      <w:pPr>
        <w:pStyle w:val="BodyText"/>
      </w:pPr>
      <w:r>
        <w:t xml:space="preserve">Butler, R. W. (1980). The concept of a tourist area cycle of evolution: Implications for </w:t>
      </w:r>
      <w:r w:rsidR="00AB6564">
        <w:t>resource management</w:t>
      </w:r>
      <w:r>
        <w:t xml:space="preserve">. </w:t>
      </w:r>
      <w:r>
        <w:rPr>
          <w:i/>
        </w:rPr>
        <w:t>Canadian Geographer</w:t>
      </w:r>
      <w:r>
        <w:t xml:space="preserve">, </w:t>
      </w:r>
      <w:r>
        <w:rPr>
          <w:i/>
        </w:rPr>
        <w:t>24</w:t>
      </w:r>
      <w:r>
        <w:t>(1), 5–12.</w:t>
      </w:r>
    </w:p>
    <w:p w14:paraId="438544D7" w14:textId="77777777" w:rsidR="00EE3F5D" w:rsidRDefault="00000000">
      <w:pPr>
        <w:pStyle w:val="BodyText"/>
      </w:pPr>
      <w:r>
        <w:t xml:space="preserve">Cole, S. (2012). A political ecology of water equity and tourism: A case study from Bali. </w:t>
      </w:r>
      <w:r>
        <w:rPr>
          <w:i/>
        </w:rPr>
        <w:t>Annals of Tourism Research</w:t>
      </w:r>
      <w:r>
        <w:t xml:space="preserve">, </w:t>
      </w:r>
      <w:r>
        <w:rPr>
          <w:i/>
        </w:rPr>
        <w:t>39</w:t>
      </w:r>
      <w:r>
        <w:t>(2), 1221–1241.</w:t>
      </w:r>
    </w:p>
    <w:p w14:paraId="6AAEC977" w14:textId="77777777" w:rsidR="00EE3F5D" w:rsidRDefault="00000000">
      <w:pPr>
        <w:pStyle w:val="BodyText"/>
      </w:pPr>
      <w:r>
        <w:t xml:space="preserve">Cunsolo, A., &amp; Ellis, N. R. (2018). Ecological grief as a mental health response to climate change-related loss. </w:t>
      </w:r>
      <w:r>
        <w:rPr>
          <w:i/>
        </w:rPr>
        <w:t>Nature Climate Change</w:t>
      </w:r>
      <w:r>
        <w:t xml:space="preserve">, </w:t>
      </w:r>
      <w:r>
        <w:rPr>
          <w:i/>
        </w:rPr>
        <w:t>8</w:t>
      </w:r>
      <w:r>
        <w:t>(4), 275–281.</w:t>
      </w:r>
    </w:p>
    <w:p w14:paraId="4E73C082" w14:textId="77777777" w:rsidR="00EE3F5D" w:rsidRDefault="00000000">
      <w:pPr>
        <w:pStyle w:val="BodyText"/>
      </w:pPr>
      <w:r>
        <w:t xml:space="preserve">Deng, T., Ma, M., &amp; Cao, J. (2014). Tourism resource development and long-term economic growth: A resource curse hypothesis approach. </w:t>
      </w:r>
      <w:r>
        <w:rPr>
          <w:i/>
        </w:rPr>
        <w:t>Tourism Economics</w:t>
      </w:r>
      <w:r>
        <w:t xml:space="preserve">, </w:t>
      </w:r>
      <w:r>
        <w:rPr>
          <w:i/>
        </w:rPr>
        <w:t>20</w:t>
      </w:r>
      <w:r>
        <w:t>(5), 923–938.</w:t>
      </w:r>
    </w:p>
    <w:p w14:paraId="49AD12BE" w14:textId="77777777" w:rsidR="00EE3F5D" w:rsidRDefault="00000000">
      <w:pPr>
        <w:pStyle w:val="BodyText"/>
      </w:pPr>
      <w:r>
        <w:t xml:space="preserve">Doxey, G. V. (1975). A causation theory of visitor-resident irritants: Methodology and research inferences. In </w:t>
      </w:r>
      <w:r>
        <w:rPr>
          <w:i/>
        </w:rPr>
        <w:t>The impact of tourism: Sixth annual conference proceedings of the Travel Research Association</w:t>
      </w:r>
      <w:r>
        <w:t xml:space="preserve"> (pp. 195–198). Travel Research Association.</w:t>
      </w:r>
    </w:p>
    <w:p w14:paraId="0FB4E2DC" w14:textId="3BF38605" w:rsidR="00EE3F5D" w:rsidRDefault="00AB6564">
      <w:pPr>
        <w:pStyle w:val="BodyText"/>
      </w:pPr>
      <w:r>
        <w:t xml:space="preserve">Eugenio-Martín, J. L., &amp; Morales, N. M. (2004). Tourism and economic growth in Latin American countries: A panel data approach. </w:t>
      </w:r>
      <w:r>
        <w:rPr>
          <w:i/>
        </w:rPr>
        <w:t>Nota di Lavoro 26.2004</w:t>
      </w:r>
      <w:r>
        <w:t>, Fondazione Eni Enrico Mattei.</w:t>
      </w:r>
    </w:p>
    <w:p w14:paraId="296FD19D" w14:textId="77777777" w:rsidR="00EE3F5D" w:rsidRDefault="00000000">
      <w:pPr>
        <w:pStyle w:val="BodyText"/>
      </w:pPr>
      <w:r>
        <w:t xml:space="preserve">Frankel, J. A. (2010). The natural resource curse: A survey. </w:t>
      </w:r>
      <w:r>
        <w:rPr>
          <w:i/>
        </w:rPr>
        <w:t>NBER Working Paper No. 15836</w:t>
      </w:r>
      <w:r>
        <w:t>. National Bureau of Economic Research.</w:t>
      </w:r>
    </w:p>
    <w:p w14:paraId="41C936A6" w14:textId="37E7DACA" w:rsidR="00EE3F5D" w:rsidRDefault="00000000">
      <w:pPr>
        <w:pStyle w:val="BodyText"/>
      </w:pPr>
      <w:r>
        <w:t xml:space="preserve">Government of Uttarakhand. (2023). </w:t>
      </w:r>
      <w:r>
        <w:rPr>
          <w:i/>
        </w:rPr>
        <w:t xml:space="preserve">Uttarakhand </w:t>
      </w:r>
      <w:r w:rsidR="00AB6564">
        <w:rPr>
          <w:i/>
        </w:rPr>
        <w:t>Tourism Policy</w:t>
      </w:r>
      <w:r>
        <w:rPr>
          <w:i/>
        </w:rPr>
        <w:t xml:space="preserve"> 2023</w:t>
      </w:r>
      <w:r>
        <w:t xml:space="preserve">. Department of Tourism, Government of Uttarakhand. </w:t>
      </w:r>
      <w:r>
        <w:lastRenderedPageBreak/>
        <w:t>https://uttarakhandtourism.gov.in/assets/media/UTDB_media_1738567470Uttarakhand_Tourism_Policy_2023.pdf</w:t>
      </w:r>
    </w:p>
    <w:p w14:paraId="5F424423" w14:textId="77777777" w:rsidR="00EE3F5D" w:rsidRDefault="00000000">
      <w:pPr>
        <w:pStyle w:val="BodyText"/>
      </w:pPr>
      <w:proofErr w:type="spellStart"/>
      <w:r>
        <w:t>Kuniyal</w:t>
      </w:r>
      <w:proofErr w:type="spellEnd"/>
      <w:r>
        <w:t xml:space="preserve">, J. C. (2002). Solid waste management in Indian Himalayan tourists' treks: A case study in and around the Valley of Flowers and </w:t>
      </w:r>
      <w:proofErr w:type="spellStart"/>
      <w:r>
        <w:t>Hemkund</w:t>
      </w:r>
      <w:proofErr w:type="spellEnd"/>
      <w:r>
        <w:t xml:space="preserve"> Sahib. </w:t>
      </w:r>
      <w:r>
        <w:rPr>
          <w:i/>
        </w:rPr>
        <w:t>Waste Management</w:t>
      </w:r>
      <w:r>
        <w:t xml:space="preserve">, </w:t>
      </w:r>
      <w:r>
        <w:rPr>
          <w:i/>
        </w:rPr>
        <w:t>22</w:t>
      </w:r>
      <w:r>
        <w:t>(4), 391–402.</w:t>
      </w:r>
    </w:p>
    <w:p w14:paraId="0C3CD7A6" w14:textId="77777777" w:rsidR="00EE3F5D" w:rsidRDefault="00000000">
      <w:pPr>
        <w:pStyle w:val="BodyText"/>
      </w:pPr>
      <w:r>
        <w:t xml:space="preserve">Nepal, S. K. (2000). Tourism in protected areas: The Nepalese Himalaya. </w:t>
      </w:r>
      <w:r>
        <w:rPr>
          <w:i/>
        </w:rPr>
        <w:t>Annals of Tourism Research</w:t>
      </w:r>
      <w:r>
        <w:t xml:space="preserve">, </w:t>
      </w:r>
      <w:r>
        <w:rPr>
          <w:i/>
        </w:rPr>
        <w:t>27</w:t>
      </w:r>
      <w:r>
        <w:t>(3), 661–681.</w:t>
      </w:r>
    </w:p>
    <w:p w14:paraId="1529A21F" w14:textId="77777777" w:rsidR="00EE3F5D" w:rsidRDefault="00000000">
      <w:pPr>
        <w:pStyle w:val="BodyText"/>
      </w:pPr>
      <w:r>
        <w:t xml:space="preserve">Nepal, S. K. (2002). Tourism as a key to sustainable mountain development: The Nepalese Himalayas in retrospect. </w:t>
      </w:r>
      <w:proofErr w:type="spellStart"/>
      <w:r>
        <w:rPr>
          <w:i/>
        </w:rPr>
        <w:t>Unasylva</w:t>
      </w:r>
      <w:proofErr w:type="spellEnd"/>
      <w:r>
        <w:t xml:space="preserve">, </w:t>
      </w:r>
      <w:r>
        <w:rPr>
          <w:i/>
        </w:rPr>
        <w:t>53</w:t>
      </w:r>
      <w:r>
        <w:t>(208), 38–46.</w:t>
      </w:r>
    </w:p>
    <w:p w14:paraId="793D362E" w14:textId="77777777" w:rsidR="00EE3F5D" w:rsidRDefault="00000000">
      <w:pPr>
        <w:pStyle w:val="BodyText"/>
      </w:pPr>
      <w:r>
        <w:t xml:space="preserve">Sachs, J. D., &amp; Warner, A. M. (1995). Natural resource abundance and economic growth. </w:t>
      </w:r>
      <w:r>
        <w:rPr>
          <w:i/>
        </w:rPr>
        <w:t>NBER Working Paper No. 5398</w:t>
      </w:r>
      <w:r>
        <w:t>. National Bureau of Economic Research.</w:t>
      </w:r>
    </w:p>
    <w:p w14:paraId="3C548862" w14:textId="247E5451" w:rsidR="00EE3F5D" w:rsidRDefault="00000000">
      <w:pPr>
        <w:pStyle w:val="BodyText"/>
      </w:pPr>
      <w:r>
        <w:t xml:space="preserve">Sacareau, I. (2007). </w:t>
      </w:r>
      <w:r>
        <w:rPr>
          <w:i/>
        </w:rPr>
        <w:t xml:space="preserve">Les </w:t>
      </w:r>
      <w:proofErr w:type="spellStart"/>
      <w:r>
        <w:rPr>
          <w:i/>
        </w:rPr>
        <w:t>montagnes</w:t>
      </w:r>
      <w:proofErr w:type="spellEnd"/>
      <w:r>
        <w:rPr>
          <w:i/>
        </w:rPr>
        <w:t xml:space="preserve">: </w:t>
      </w:r>
      <w:proofErr w:type="spellStart"/>
      <w:r w:rsidR="00AB6564">
        <w:rPr>
          <w:i/>
        </w:rPr>
        <w:t>une</w:t>
      </w:r>
      <w:proofErr w:type="spellEnd"/>
      <w:r>
        <w:rPr>
          <w:i/>
        </w:rPr>
        <w:t xml:space="preserve"> </w:t>
      </w:r>
      <w:proofErr w:type="spellStart"/>
      <w:r>
        <w:rPr>
          <w:i/>
        </w:rPr>
        <w:t>approche</w:t>
      </w:r>
      <w:proofErr w:type="spellEnd"/>
      <w:r>
        <w:rPr>
          <w:i/>
        </w:rPr>
        <w:t xml:space="preserve"> </w:t>
      </w:r>
      <w:proofErr w:type="spellStart"/>
      <w:r>
        <w:rPr>
          <w:i/>
        </w:rPr>
        <w:t>géographique</w:t>
      </w:r>
      <w:proofErr w:type="spellEnd"/>
      <w:r>
        <w:t>. Belin.</w:t>
      </w:r>
    </w:p>
    <w:p w14:paraId="1200F33E" w14:textId="77777777" w:rsidR="00EE3F5D" w:rsidRDefault="00000000">
      <w:pPr>
        <w:pStyle w:val="BodyText"/>
      </w:pPr>
      <w:r>
        <w:t xml:space="preserve">Sequeira, T. N., &amp; Nunes, P. M. (2008). Does tourism influence economic growth? A dynamic panel data approach. </w:t>
      </w:r>
      <w:r>
        <w:rPr>
          <w:i/>
        </w:rPr>
        <w:t>Applied Economics</w:t>
      </w:r>
      <w:r>
        <w:t xml:space="preserve">, </w:t>
      </w:r>
      <w:r>
        <w:rPr>
          <w:i/>
        </w:rPr>
        <w:t>40</w:t>
      </w:r>
      <w:r>
        <w:t>(18), 2431–2441. https://doi.org/10.1080/00036840600949520</w:t>
      </w:r>
    </w:p>
    <w:p w14:paraId="49804A9E" w14:textId="77777777" w:rsidR="00EE3F5D" w:rsidRDefault="00000000">
      <w:pPr>
        <w:pStyle w:val="BodyText"/>
      </w:pPr>
      <w:r>
        <w:t xml:space="preserve">Sharpley, R. (2014). Host perceptions of tourism: A review of the research. </w:t>
      </w:r>
      <w:r>
        <w:rPr>
          <w:i/>
        </w:rPr>
        <w:t>Tourism Management</w:t>
      </w:r>
      <w:r>
        <w:t xml:space="preserve">, </w:t>
      </w:r>
      <w:r>
        <w:rPr>
          <w:i/>
        </w:rPr>
        <w:t>42</w:t>
      </w:r>
      <w:r>
        <w:t>, 37–49.</w:t>
      </w:r>
    </w:p>
    <w:p w14:paraId="59BB78F9" w14:textId="77777777" w:rsidR="00EE3F5D" w:rsidRDefault="00000000">
      <w:pPr>
        <w:pStyle w:val="BodyText"/>
      </w:pPr>
      <w:r>
        <w:t xml:space="preserve">Uttarakhand Tourism Department. (2024). </w:t>
      </w:r>
      <w:r>
        <w:rPr>
          <w:i/>
        </w:rPr>
        <w:t>2000-2023 yearly statistics: Tourist statistics of major tourist destinations</w:t>
      </w:r>
      <w:r>
        <w:t>. Government of Uttarakhand. https://uttarakhandtourism.gov.in/assets/media/UTDB_media_1743665047Yearly_Report_Statistics_2024.pdf</w:t>
      </w:r>
    </w:p>
    <w:p w14:paraId="081CBFAD" w14:textId="77777777" w:rsidR="00EE3F5D" w:rsidRDefault="00000000">
      <w:pPr>
        <w:pStyle w:val="BodyText"/>
      </w:pPr>
      <w:r>
        <w:t xml:space="preserve">Office of the Registrar General and Census Commissioner. (2011). </w:t>
      </w:r>
      <w:r>
        <w:rPr>
          <w:i/>
        </w:rPr>
        <w:t>District census handbook: Nainital</w:t>
      </w:r>
      <w:r>
        <w:t>. Census of India, Government of India</w:t>
      </w:r>
    </w:p>
    <w:sectPr w:rsidR="00EE3F5D">
      <w:headerReference w:type="default" r:id="rId8"/>
      <w:footerReference w:type="default" r:id="rId9"/>
      <w:pgSz w:w="11906" w:h="16838"/>
      <w:pgMar w:top="1080" w:right="1080" w:bottom="1080" w:left="1080" w:header="620" w:footer="620" w:gutter="0"/>
      <w:pgBorders w:offsetFrom="page">
        <w:top w:val="single" w:sz="4" w:space="24" w:color="8A8686"/>
        <w:left w:val="single" w:sz="4" w:space="24" w:color="8A8686"/>
        <w:bottom w:val="single" w:sz="4" w:space="24" w:color="8A8686"/>
        <w:right w:val="single" w:sz="4" w:space="24" w:color="8A8686"/>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6597" w14:textId="77777777" w:rsidR="007160A6" w:rsidRDefault="007160A6">
      <w:pPr>
        <w:spacing w:after="0" w:line="240" w:lineRule="auto"/>
      </w:pPr>
      <w:r>
        <w:separator/>
      </w:r>
    </w:p>
  </w:endnote>
  <w:endnote w:type="continuationSeparator" w:id="0">
    <w:p w14:paraId="2E865480" w14:textId="77777777" w:rsidR="007160A6" w:rsidRDefault="00716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AAA9" w14:textId="77777777" w:rsidR="00EE3F5D" w:rsidRDefault="00000000">
    <w:pPr>
      <w:pStyle w:val="Footer"/>
      <w:pBdr>
        <w:top w:val="single" w:sz="4" w:space="4" w:color="D7D3D3"/>
      </w:pBd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C2DF" w14:textId="77777777" w:rsidR="00EE3F5D" w:rsidRDefault="00000000">
    <w:pPr>
      <w:pStyle w:val="Footer"/>
      <w:pBdr>
        <w:top w:val="single" w:sz="4" w:space="4" w:color="D7D3D3"/>
      </w:pBd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5834" w14:textId="77777777" w:rsidR="007160A6" w:rsidRDefault="007160A6">
      <w:pPr>
        <w:spacing w:after="0" w:line="240" w:lineRule="auto"/>
      </w:pPr>
      <w:r>
        <w:separator/>
      </w:r>
    </w:p>
  </w:footnote>
  <w:footnote w:type="continuationSeparator" w:id="0">
    <w:p w14:paraId="51609523" w14:textId="77777777" w:rsidR="007160A6" w:rsidRDefault="00716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7488" w14:textId="145AF479" w:rsidR="00EE3F5D" w:rsidRDefault="00000000">
    <w:pPr>
      <w:pStyle w:val="Header"/>
    </w:pPr>
    <w:r>
      <w:t>THE TOURISM RESOURCE CURSE</w:t>
    </w:r>
    <w:r>
      <w:tab/>
    </w:r>
    <w:fldSimple w:instr=" STYLEREF &quot;Heading 1&quot; \* MERGEFORMAT ">
      <w:r w:rsidR="00A96393">
        <w:rPr>
          <w:noProof/>
        </w:rPr>
        <w:t>Contents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7A02" w14:textId="1557E034" w:rsidR="00EE3F5D" w:rsidRDefault="00000000">
    <w:pPr>
      <w:pStyle w:val="Header"/>
    </w:pPr>
    <w:r>
      <w:t>THE TOURISM RESOURCE CURSE</w:t>
    </w:r>
    <w:r>
      <w:tab/>
    </w:r>
    <w:fldSimple w:instr=" STYLEREF &quot;Heading 1&quot; \* MERGEFORMAT ">
      <w:r w:rsidR="00A96393">
        <w:rPr>
          <w:noProof/>
        </w:rPr>
        <w:t>5.  Analysis</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F5D"/>
    <w:rsid w:val="006E7577"/>
    <w:rsid w:val="007160A6"/>
    <w:rsid w:val="00A96393"/>
    <w:rsid w:val="00AB6564"/>
    <w:rsid w:val="00B122B7"/>
    <w:rsid w:val="00EE3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5F0B"/>
  <w15:docId w15:val="{7CE747A4-12F9-4852-85E3-E027F2DB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01F1D"/>
        <w:sz w:val="24"/>
        <w:szCs w:val="24"/>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pBdr>
        <w:bottom w:val="single" w:sz="4" w:space="4" w:color="C9C4C4"/>
      </w:pBdr>
      <w:spacing w:before="320" w:after="200" w:line="276" w:lineRule="auto"/>
      <w:outlineLvl w:val="0"/>
    </w:pPr>
    <w:rPr>
      <w:b/>
      <w:sz w:val="26"/>
      <w:szCs w:val="26"/>
    </w:rPr>
  </w:style>
  <w:style w:type="paragraph" w:styleId="Heading2">
    <w:name w:val="heading 2"/>
    <w:basedOn w:val="Normal"/>
    <w:next w:val="BodyText"/>
    <w:uiPriority w:val="9"/>
    <w:unhideWhenUsed/>
    <w:qFormat/>
    <w:pPr>
      <w:keepNext/>
      <w:spacing w:before="280" w:after="120" w:line="276" w:lineRule="auto"/>
      <w:outlineLvl w:val="1"/>
    </w:pPr>
    <w:rPr>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styleId="Caption">
    <w:name w:val="caption"/>
    <w:basedOn w:val="Normal"/>
    <w:next w:val="BodyText"/>
    <w:qFormat/>
    <w:pPr>
      <w:keepNext/>
      <w:spacing w:before="240" w:after="120" w:line="276" w:lineRule="auto"/>
    </w:pPr>
    <w:rPr>
      <w:b/>
      <w:sz w:val="22"/>
      <w:szCs w:val="22"/>
    </w:rPr>
  </w:style>
  <w:style w:type="paragraph" w:styleId="Header">
    <w:name w:val="header"/>
    <w:basedOn w:val="Normal"/>
    <w:pPr>
      <w:pBdr>
        <w:bottom w:val="single" w:sz="4" w:space="4" w:color="B68235"/>
      </w:pBdr>
      <w:tabs>
        <w:tab w:val="right" w:pos="9746"/>
      </w:tabs>
      <w:spacing w:after="0" w:line="240" w:lineRule="auto"/>
    </w:pPr>
    <w:rPr>
      <w:color w:val="605D5D"/>
      <w:spacing w:val="30"/>
      <w:sz w:val="18"/>
      <w:szCs w:val="18"/>
    </w:rPr>
  </w:style>
  <w:style w:type="paragraph" w:styleId="Footer">
    <w:name w:val="footer"/>
    <w:basedOn w:val="Normal"/>
    <w:pPr>
      <w:spacing w:after="0" w:line="240" w:lineRule="auto"/>
      <w:jc w:val="center"/>
    </w:pPr>
    <w:rPr>
      <w:color w:val="605D5D"/>
      <w:sz w:val="20"/>
      <w:szCs w:val="20"/>
    </w:rPr>
  </w:style>
  <w:style w:type="paragraph" w:styleId="TOC1">
    <w:name w:val="toc 1"/>
    <w:basedOn w:val="Normal"/>
    <w:uiPriority w:val="39"/>
    <w:pPr>
      <w:tabs>
        <w:tab w:val="right" w:leader="dot" w:pos="9746"/>
      </w:tabs>
      <w:spacing w:before="120" w:after="60" w:line="276" w:lineRule="auto"/>
    </w:pPr>
    <w:rPr>
      <w:b/>
    </w:rPr>
  </w:style>
  <w:style w:type="paragraph" w:styleId="TOC2">
    <w:name w:val="toc 2"/>
    <w:basedOn w:val="Normal"/>
    <w:uiPriority w:val="39"/>
    <w:pPr>
      <w:tabs>
        <w:tab w:val="right" w:leader="dot" w:pos="9746"/>
      </w:tabs>
      <w:spacing w:after="40" w:line="276" w:lineRule="auto"/>
      <w:ind w:left="360"/>
    </w:pPr>
    <w:rPr>
      <w:sz w:val="22"/>
      <w:szCs w:val="22"/>
    </w:rPr>
  </w:style>
  <w:style w:type="character" w:styleId="Hyperlink">
    <w:name w:val="Hyperlink"/>
    <w:basedOn w:val="DefaultParagraphFont"/>
    <w:uiPriority w:val="99"/>
    <w:unhideWhenUsed/>
    <w:rsid w:val="00AB65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6767</Words>
  <Characters>38576</Characters>
  <Application>Microsoft Office Word</Application>
  <DocSecurity>0</DocSecurity>
  <Lines>321</Lines>
  <Paragraphs>90</Paragraphs>
  <ScaleCrop>false</ScaleCrop>
  <Company/>
  <LinksUpToDate>false</LinksUpToDate>
  <CharactersWithSpaces>45253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Tourism Resource Curse</dc:title>
  <dc:creator>Yug Bhogi</dc:creator>
  <cp:lastModifiedBy>Yug Bhogi</cp:lastModifiedBy>
  <cp:revision>3</cp:revision>
  <dcterms:created xsi:type="dcterms:W3CDTF">2026-08-23T16:04:00Z</dcterms:created>
  <dcterms:modified xsi:type="dcterms:W3CDTF">2026-08-23T17:09:00Z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ca5739b9-fc07-4043-9053-a26a8ac8f2b3</vt:lpwstr>
  </property>
</Properties>
</file>