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eastAsia="Georgia"/>
        </w:rPr>
        <w:t>Lost Cause Historiography: Myth, Memory, and Power</w:t>
      </w:r>
    </w:p>
    <w:p>
      <w:r>
        <w:rPr>
          <w:rFonts w:ascii="Georgia" w:hAnsi="Georgia" w:eastAsia="Georgia"/>
          <w:b w:val="0"/>
          <w:i/>
          <w:sz w:val="22"/>
        </w:rPr>
        <w:t>A revised lecture outline integrating foundational origins, textbook campaigns, religious ritual, monument waves, and modern myths—all anchored in primary-source analysis and historiography.</w:t>
      </w:r>
    </w:p>
    <w:p>
      <w:pPr>
        <w:pStyle w:val="Heading1"/>
      </w:pPr>
      <w:r>
        <w:rPr>
          <w:rFonts w:ascii="Georgia" w:hAnsi="Georgia" w:eastAsia="Georgia"/>
        </w:rPr>
        <w:t>I. Introduction to the Lost Cause Myth (10–15 minutes)</w:t>
      </w:r>
    </w:p>
    <w:p>
      <w:r>
        <w:rPr>
          <w:rFonts w:ascii="Georgia" w:hAnsi="Georgia" w:eastAsia="Georgia"/>
          <w:b w:val="0"/>
          <w:i w:val="0"/>
          <w:sz w:val="22"/>
        </w:rPr>
        <w:t>Hook: Ask students: “Have you seen a Confederate flag on a truck or in a concert crowd? Watched a movie like *Gone with the Wind* that idealizes the Old South? Those are echoes of a powerful historical myth called the ‘Lost Cause.’” Connect to how myths shape public understanding—akin to viral misinformation.</w:t>
      </w:r>
    </w:p>
    <w:p>
      <w:r>
        <w:rPr>
          <w:rFonts w:ascii="Georgia" w:hAnsi="Georgia" w:eastAsia="Georgia"/>
          <w:b w:val="0"/>
          <w:i w:val="0"/>
          <w:sz w:val="22"/>
        </w:rPr>
        <w:t>Define historiography simply: the study of how history is written and interpreted over time—who tells the story, for whom, and why.</w:t>
      </w:r>
    </w:p>
    <w:p>
      <w:r>
        <w:rPr>
          <w:rFonts w:ascii="Georgia" w:hAnsi="Georgia" w:eastAsia="Georgia"/>
          <w:b w:val="0"/>
          <w:i w:val="0"/>
          <w:sz w:val="22"/>
        </w:rPr>
        <w:t>Overview: The ‘Lost Cause’ was a post‑Civil War ideology that rationalized Confederate defeat, preserved Southern honor, and rewrote the war’s causes and outcomes. It emerged in the late 1860s and 1870s in memoirs, newspapers, and organizational activity.</w:t>
      </w:r>
    </w:p>
    <w:p>
      <w:r>
        <w:rPr>
          <w:rFonts w:ascii="Georgia" w:hAnsi="Georgia" w:eastAsia="Georgia"/>
          <w:b w:val="0"/>
          <w:i w:val="0"/>
          <w:sz w:val="22"/>
        </w:rPr>
        <w:t>Purpose: Elites and veterans sought to justify the war’s staggering costs and salvage honor. As Alan T. Nolan argued, the project fostered a ‘heroic’ image of secession and war to redeem defeat.</w:t>
      </w:r>
    </w:p>
    <w:p>
      <w:r>
        <w:rPr>
          <w:rFonts w:ascii="Georgia" w:hAnsi="Georgia" w:eastAsia="Georgia"/>
          <w:b w:val="0"/>
          <w:i w:val="0"/>
          <w:sz w:val="22"/>
        </w:rPr>
        <w:t>Historical context: Southern losses were severe—industrial/financial capacity shattered and a very high share of military‑age white men killed (on the order of one in five). The scope of destruction created demand for a comforting narrative. Emphasize careful sourcing and proportional phrasing.</w:t>
      </w:r>
    </w:p>
    <w:p>
      <w:r>
        <w:rPr>
          <w:rFonts w:ascii="Georgia" w:hAnsi="Georgia" w:eastAsia="Georgia"/>
          <w:b w:val="0"/>
          <w:i w:val="0"/>
          <w:sz w:val="22"/>
        </w:rPr>
        <w:t>Transition: This myth didn’t stay regional; it became part of a national memory. We’ll trace how it formed, what it claimed, how evidence refutes it, and why it still matters.</w:t>
      </w:r>
    </w:p>
    <w:p>
      <w:pPr>
        <w:pStyle w:val="Heading1"/>
      </w:pPr>
      <w:r>
        <w:rPr>
          <w:rFonts w:ascii="Georgia" w:hAnsi="Georgia" w:eastAsia="Georgia"/>
        </w:rPr>
        <w:t>II. Origins and Advocacy of the Lost Cause (10 minutes)</w:t>
      </w:r>
    </w:p>
    <w:p>
      <w:r>
        <w:rPr>
          <w:rFonts w:ascii="Georgia" w:hAnsi="Georgia" w:eastAsia="Georgia"/>
          <w:b/>
          <w:i w:val="0"/>
          <w:sz w:val="22"/>
        </w:rPr>
        <w:t>Earliest textual architects:</w:t>
      </w:r>
    </w:p>
    <w:p>
      <w:pPr>
        <w:pStyle w:val="ListBullet"/>
        <w:ind w:left="0"/>
      </w:pPr>
      <w:r>
        <w:rPr>
          <w:rFonts w:ascii="Georgia" w:hAnsi="Georgia" w:eastAsia="Georgia"/>
          <w:sz w:val="22"/>
        </w:rPr>
        <w:t>Edward A. Pollard, *The Lost Cause* (1866) and *The Lost Cause Regained* (1868): early branding of the frame.</w:t>
      </w:r>
    </w:p>
    <w:p>
      <w:pPr>
        <w:pStyle w:val="ListBullet"/>
        <w:ind w:left="0"/>
      </w:pPr>
      <w:r>
        <w:rPr>
          <w:rFonts w:ascii="Georgia" w:hAnsi="Georgia" w:eastAsia="Georgia"/>
          <w:sz w:val="22"/>
        </w:rPr>
        <w:t>Jubal Early and the Southern Historical Society Papers (from 1876): Lee‑centered narratives; scapegoating Longstreet; standardization of talking points.</w:t>
      </w:r>
    </w:p>
    <w:p>
      <w:r>
        <w:rPr>
          <w:rFonts w:ascii="Georgia" w:hAnsi="Georgia" w:eastAsia="Georgia"/>
          <w:b/>
          <w:i w:val="0"/>
          <w:sz w:val="22"/>
        </w:rPr>
        <w:t>Women’s memorial work → UDC:</w:t>
      </w:r>
    </w:p>
    <w:p>
      <w:pPr>
        <w:pStyle w:val="ListBullet"/>
        <w:ind w:left="0"/>
      </w:pPr>
      <w:r>
        <w:rPr>
          <w:rFonts w:ascii="Georgia" w:hAnsi="Georgia" w:eastAsia="Georgia"/>
          <w:sz w:val="22"/>
        </w:rPr>
        <w:t>Ladies’ Memorial Associations (late 1860s): cemeteries, rituals, Memorial Day observances; professionalized mourning into public memory.</w:t>
      </w:r>
    </w:p>
    <w:p>
      <w:pPr>
        <w:pStyle w:val="ListBullet"/>
        <w:ind w:left="0"/>
      </w:pPr>
      <w:r>
        <w:rPr>
          <w:rFonts w:ascii="Georgia" w:hAnsi="Georgia" w:eastAsia="Georgia"/>
          <w:sz w:val="22"/>
        </w:rPr>
        <w:t>United Daughters of the Confederacy (UDC, founded 1894): monument building, school programs, textbook pressure, catechisms for children.</w:t>
      </w:r>
    </w:p>
    <w:p>
      <w:r>
        <w:rPr>
          <w:rFonts w:ascii="Georgia" w:hAnsi="Georgia" w:eastAsia="Georgia"/>
          <w:b/>
          <w:i w:val="0"/>
          <w:sz w:val="22"/>
        </w:rPr>
        <w:t>Textbook wars and the Dunning School:</w:t>
      </w:r>
    </w:p>
    <w:p>
      <w:pPr>
        <w:pStyle w:val="ListBullet"/>
        <w:ind w:left="0"/>
      </w:pPr>
      <w:r>
        <w:rPr>
          <w:rFonts w:ascii="Georgia" w:hAnsi="Georgia" w:eastAsia="Georgia"/>
          <w:sz w:val="22"/>
        </w:rPr>
        <w:t>Mildred Lewis Rutherford (UDC ‘Historian‑General’) issued textbook ‘standards’ and led campaigns to police narratives.</w:t>
      </w:r>
    </w:p>
    <w:p>
      <w:pPr>
        <w:pStyle w:val="ListBullet"/>
        <w:ind w:left="0"/>
      </w:pPr>
      <w:r>
        <w:rPr>
          <w:rFonts w:ascii="Georgia" w:hAnsi="Georgia" w:eastAsia="Georgia"/>
          <w:sz w:val="22"/>
        </w:rPr>
        <w:t>The Dunning School (c. 1890–1920) framed Reconstruction as ‘corrupt Black misrule’; shaped curricula for decades.</w:t>
      </w:r>
    </w:p>
    <w:p>
      <w:pPr>
        <w:pStyle w:val="ListBullet"/>
        <w:ind w:left="0"/>
      </w:pPr>
      <w:r>
        <w:rPr>
          <w:rFonts w:ascii="Georgia" w:hAnsi="Georgia" w:eastAsia="Georgia"/>
          <w:sz w:val="22"/>
        </w:rPr>
        <w:t>Ulrich B. Phillips’s ‘benign’ plantation thesis later overturned by Kenneth Stampp (*The Peculiar Institution*, 1956) and subsequent scholarship.</w:t>
      </w:r>
    </w:p>
    <w:p>
      <w:r>
        <w:rPr>
          <w:rFonts w:ascii="Georgia" w:hAnsi="Georgia" w:eastAsia="Georgia"/>
          <w:b/>
          <w:i w:val="0"/>
          <w:sz w:val="22"/>
        </w:rPr>
        <w:t>Nationalization of the myth:</w:t>
      </w:r>
    </w:p>
    <w:p>
      <w:pPr>
        <w:pStyle w:val="ListBullet"/>
        <w:ind w:left="0"/>
      </w:pPr>
      <w:r>
        <w:rPr>
          <w:rFonts w:ascii="Georgia" w:hAnsi="Georgia" w:eastAsia="Georgia"/>
          <w:sz w:val="22"/>
        </w:rPr>
        <w:t>Reconciliation politics after Reconstruction; Blue‑Gray reunions; northern racism and business interests facilitated spread.</w:t>
      </w:r>
    </w:p>
    <w:p>
      <w:pPr>
        <w:pStyle w:val="ListBullet"/>
        <w:ind w:left="0"/>
      </w:pPr>
      <w:r>
        <w:rPr>
          <w:rFonts w:ascii="Georgia" w:hAnsi="Georgia" w:eastAsia="Georgia"/>
          <w:sz w:val="22"/>
        </w:rPr>
        <w:t>Media amplification: *The Birth of a Nation* (1915), plantation literature (Thomas Nelson Page), *Gone with the Wind* (1939), later *Song of the South* (1946).</w:t>
      </w:r>
    </w:p>
    <w:p>
      <w:pPr>
        <w:pStyle w:val="Heading1"/>
      </w:pPr>
      <w:r>
        <w:rPr>
          <w:rFonts w:ascii="Georgia" w:hAnsi="Georgia" w:eastAsia="Georgia"/>
        </w:rPr>
        <w:t>III. Key Claims of the Lost Cause Myth (15–20 minutes)</w:t>
      </w:r>
    </w:p>
    <w:p>
      <w:r>
        <w:rPr>
          <w:rFonts w:ascii="Georgia" w:hAnsi="Georgia" w:eastAsia="Georgia"/>
          <w:b/>
          <w:i w:val="0"/>
          <w:sz w:val="22"/>
        </w:rPr>
        <w:t>A. Downplaying Slavery as the War’s Cause</w:t>
      </w:r>
    </w:p>
    <w:p>
      <w:pPr>
        <w:pStyle w:val="ListBullet"/>
        <w:ind w:left="0"/>
      </w:pPr>
      <w:r>
        <w:rPr>
          <w:rFonts w:ascii="Georgia" w:hAnsi="Georgia" w:eastAsia="Georgia"/>
          <w:sz w:val="22"/>
        </w:rPr>
        <w:t>States’ rights, tariffs, or cultural clashes substituted for slavery as the key cause; secession framed as ‘liberty and independence.’</w:t>
      </w:r>
    </w:p>
    <w:p>
      <w:pPr>
        <w:pStyle w:val="ListBullet"/>
        <w:ind w:left="0"/>
      </w:pPr>
      <w:r>
        <w:rPr>
          <w:rFonts w:ascii="Georgia" w:hAnsi="Georgia" w:eastAsia="Georgia"/>
          <w:sz w:val="22"/>
        </w:rPr>
        <w:t>Abolitionists painted as reckless provocateurs.</w:t>
      </w:r>
    </w:p>
    <w:p>
      <w:pPr>
        <w:pStyle w:val="ListBullet"/>
        <w:ind w:left="0"/>
      </w:pPr>
      <w:r>
        <w:rPr>
          <w:rFonts w:ascii="Georgia" w:hAnsi="Georgia" w:eastAsia="Georgia"/>
          <w:sz w:val="22"/>
        </w:rPr>
        <w:t>Counterfactual comfort: ‘slavery would have ended anyway.’</w:t>
      </w:r>
    </w:p>
    <w:p>
      <w:r>
        <w:rPr>
          <w:rFonts w:ascii="Georgia" w:hAnsi="Georgia" w:eastAsia="Georgia"/>
          <w:b/>
          <w:i w:val="0"/>
          <w:sz w:val="22"/>
        </w:rPr>
        <w:t>B. Stereotypes of Enslaved People and Southern Society</w:t>
      </w:r>
    </w:p>
    <w:p>
      <w:pPr>
        <w:pStyle w:val="ListBullet"/>
        <w:ind w:left="0"/>
      </w:pPr>
      <w:r>
        <w:rPr>
          <w:rFonts w:ascii="Georgia" w:hAnsi="Georgia" w:eastAsia="Georgia"/>
          <w:sz w:val="22"/>
        </w:rPr>
        <w:t>‘Happy/faithful enslaved’ trope; paternalist plantation ideal (‘moonlight and magnolias’).</w:t>
      </w:r>
    </w:p>
    <w:p>
      <w:pPr>
        <w:pStyle w:val="ListBullet"/>
        <w:ind w:left="0"/>
      </w:pPr>
      <w:r>
        <w:rPr>
          <w:rFonts w:ascii="Georgia" w:hAnsi="Georgia" w:eastAsia="Georgia"/>
          <w:sz w:val="22"/>
        </w:rPr>
        <w:t>Mythic ‘Norman cavalier’ Southerners vs. crude, grasping Northerners.</w:t>
      </w:r>
    </w:p>
    <w:p>
      <w:r>
        <w:rPr>
          <w:rFonts w:ascii="Georgia" w:hAnsi="Georgia" w:eastAsia="Georgia"/>
          <w:b/>
          <w:i w:val="0"/>
          <w:sz w:val="22"/>
        </w:rPr>
        <w:t>C. Military and Leadership Myths</w:t>
      </w:r>
    </w:p>
    <w:p>
      <w:pPr>
        <w:pStyle w:val="ListBullet"/>
        <w:ind w:left="0"/>
      </w:pPr>
      <w:r>
        <w:rPr>
          <w:rFonts w:ascii="Georgia" w:hAnsi="Georgia" w:eastAsia="Georgia"/>
          <w:sz w:val="22"/>
        </w:rPr>
        <w:t>Confederates were not defeated by strategy or cause but overwhelmed by resources; defeat as inevitable fate that preserves honor.</w:t>
      </w:r>
    </w:p>
    <w:p>
      <w:pPr>
        <w:pStyle w:val="ListBullet"/>
        <w:ind w:left="0"/>
      </w:pPr>
      <w:r>
        <w:rPr>
          <w:rFonts w:ascii="Georgia" w:hAnsi="Georgia" w:eastAsia="Georgia"/>
          <w:sz w:val="22"/>
        </w:rPr>
        <w:t>Confederate soldiers depicted as uniformly heroic and law‑abiding; Lee and Jackson canonized.</w:t>
      </w:r>
    </w:p>
    <w:p>
      <w:pPr>
        <w:pStyle w:val="ListBullet"/>
        <w:ind w:left="0"/>
      </w:pPr>
      <w:r>
        <w:rPr>
          <w:rFonts w:ascii="Georgia" w:hAnsi="Georgia" w:eastAsia="Georgia"/>
          <w:sz w:val="22"/>
        </w:rPr>
        <w:t>Secession framed as a constitutional right—thus Confederates ‘not traitors.’</w:t>
      </w:r>
    </w:p>
    <w:p>
      <w:r>
        <w:rPr>
          <w:rFonts w:ascii="Georgia" w:hAnsi="Georgia" w:eastAsia="Georgia"/>
          <w:b/>
          <w:i w:val="0"/>
          <w:sz w:val="22"/>
        </w:rPr>
        <w:t>D. Idealized Home Front</w:t>
      </w:r>
    </w:p>
    <w:p>
      <w:pPr>
        <w:pStyle w:val="ListBullet"/>
        <w:ind w:left="0"/>
      </w:pPr>
      <w:r>
        <w:rPr>
          <w:rFonts w:ascii="Georgia" w:hAnsi="Georgia" w:eastAsia="Georgia"/>
          <w:sz w:val="22"/>
        </w:rPr>
        <w:t>Harmonious, unified society; elides class conflict, dissent, and hardship.</w:t>
      </w:r>
    </w:p>
    <w:p>
      <w:r>
        <w:rPr>
          <w:rFonts w:ascii="Georgia" w:hAnsi="Georgia" w:eastAsia="Georgia"/>
          <w:b/>
          <w:i w:val="0"/>
          <w:sz w:val="22"/>
        </w:rPr>
        <w:t>E. Addendum: ‘Black Confederates’ Talking Point</w:t>
      </w:r>
    </w:p>
    <w:p>
      <w:pPr>
        <w:pStyle w:val="ListBullet"/>
        <w:ind w:left="0"/>
      </w:pPr>
      <w:r>
        <w:rPr>
          <w:rFonts w:ascii="Georgia" w:hAnsi="Georgia" w:eastAsia="Georgia"/>
          <w:sz w:val="22"/>
        </w:rPr>
        <w:t>Claims of large numbers of Black Confederate soldiers are ahistorical. The Confederacy relied on enslaved laborers and body servants; limited formal enlistment only in March 1865.</w:t>
      </w:r>
    </w:p>
    <w:p>
      <w:pPr>
        <w:pStyle w:val="Heading1"/>
      </w:pPr>
      <w:r>
        <w:rPr>
          <w:rFonts w:ascii="Georgia" w:hAnsi="Georgia" w:eastAsia="Georgia"/>
        </w:rPr>
        <w:t>IV. Refuting the Lost Cause with Evidence (20–25 minutes)</w:t>
      </w:r>
    </w:p>
    <w:p>
      <w:r>
        <w:rPr>
          <w:rFonts w:ascii="Georgia" w:hAnsi="Georgia" w:eastAsia="Georgia"/>
          <w:b w:val="0"/>
          <w:i/>
          <w:sz w:val="22"/>
        </w:rPr>
        <w:t>Emphasize a methods-first approach: primary sources, constitutional text, demographic data, and contemporaneous speeches.</w:t>
      </w:r>
    </w:p>
    <w:p>
      <w:r>
        <w:rPr>
          <w:rFonts w:ascii="Georgia" w:hAnsi="Georgia" w:eastAsia="Georgia"/>
          <w:b/>
          <w:i w:val="0"/>
          <w:sz w:val="22"/>
        </w:rPr>
        <w:t>A. Slavery as the Central Cause</w:t>
      </w:r>
    </w:p>
    <w:p>
      <w:pPr>
        <w:pStyle w:val="ListBullet"/>
        <w:ind w:left="0"/>
      </w:pPr>
      <w:r>
        <w:rPr>
          <w:rFonts w:ascii="Georgia" w:hAnsi="Georgia" w:eastAsia="Georgia"/>
          <w:sz w:val="22"/>
        </w:rPr>
        <w:t>Secession declarations (SC, MS, GA, TX) repeatedly foreground the protection of slavery.</w:t>
      </w:r>
    </w:p>
    <w:p>
      <w:pPr>
        <w:pStyle w:val="ListBullet"/>
        <w:ind w:left="0"/>
      </w:pPr>
      <w:r>
        <w:rPr>
          <w:rFonts w:ascii="Georgia" w:hAnsi="Georgia" w:eastAsia="Georgia"/>
          <w:sz w:val="22"/>
        </w:rPr>
        <w:t>Alexander H. Stephens’s Cornerstone Speech explicitly grounds the Confederacy on racial inequality and slavery.</w:t>
      </w:r>
    </w:p>
    <w:p>
      <w:pPr>
        <w:pStyle w:val="ListBullet"/>
        <w:ind w:left="0"/>
      </w:pPr>
      <w:r>
        <w:rPr>
          <w:rFonts w:ascii="Georgia" w:hAnsi="Georgia" w:eastAsia="Georgia"/>
          <w:sz w:val="22"/>
        </w:rPr>
        <w:t>Crisis milestones—Missouri Compromise, Kansas–Nebraska Act, Dred Scott—track slavery’s expansion, not tariffs.</w:t>
      </w:r>
    </w:p>
    <w:p>
      <w:r>
        <w:rPr>
          <w:rFonts w:ascii="Georgia" w:hAnsi="Georgia" w:eastAsia="Georgia"/>
          <w:b/>
          <w:i w:val="0"/>
          <w:sz w:val="22"/>
        </w:rPr>
        <w:t>B. ‘States’ Rights’ Contradiction &amp; the Confederate Constitution</w:t>
      </w:r>
    </w:p>
    <w:p>
      <w:pPr>
        <w:pStyle w:val="ListBullet"/>
        <w:ind w:left="0"/>
      </w:pPr>
      <w:r>
        <w:rPr>
          <w:rFonts w:ascii="Georgia" w:hAnsi="Georgia" w:eastAsia="Georgia"/>
          <w:sz w:val="22"/>
        </w:rPr>
        <w:t>Demand for strong **federal** enforcement of the Fugitive Slave Act shows ‘states’ rights’ was instrumental, not principled.</w:t>
      </w:r>
    </w:p>
    <w:p>
      <w:pPr>
        <w:pStyle w:val="ListBullet"/>
        <w:ind w:left="0"/>
      </w:pPr>
      <w:r>
        <w:rPr>
          <w:rFonts w:ascii="Georgia" w:hAnsi="Georgia" w:eastAsia="Georgia"/>
          <w:sz w:val="22"/>
        </w:rPr>
        <w:t>Confederate Constitution explicitly protects slavery and constrains manumission—liberty for some depended on bondage for others.</w:t>
      </w:r>
    </w:p>
    <w:p>
      <w:pPr>
        <w:pStyle w:val="ListBullet"/>
        <w:ind w:left="0"/>
      </w:pPr>
      <w:r>
        <w:rPr>
          <w:rFonts w:ascii="Georgia" w:hAnsi="Georgia" w:eastAsia="Georgia"/>
          <w:sz w:val="22"/>
        </w:rPr>
        <w:t>Comparative reading exercise: highlight clauses versus the U.S. Constitution.</w:t>
      </w:r>
    </w:p>
    <w:p>
      <w:r>
        <w:rPr>
          <w:rFonts w:ascii="Georgia" w:hAnsi="Georgia" w:eastAsia="Georgia"/>
          <w:b/>
          <w:i w:val="0"/>
          <w:sz w:val="22"/>
        </w:rPr>
        <w:t>C. Abolitionists and Slavery’s Future</w:t>
      </w:r>
    </w:p>
    <w:p>
      <w:pPr>
        <w:pStyle w:val="ListBullet"/>
        <w:ind w:left="0"/>
      </w:pPr>
      <w:r>
        <w:rPr>
          <w:rFonts w:ascii="Georgia" w:hAnsi="Georgia" w:eastAsia="Georgia"/>
          <w:sz w:val="22"/>
        </w:rPr>
        <w:t>Abolitionists as moral reformers; Lincoln’s moral language underscores centrality of slavery.</w:t>
      </w:r>
    </w:p>
    <w:p>
      <w:pPr>
        <w:pStyle w:val="ListBullet"/>
        <w:ind w:left="0"/>
      </w:pPr>
      <w:r>
        <w:rPr>
          <w:rFonts w:ascii="Georgia" w:hAnsi="Georgia" w:eastAsia="Georgia"/>
          <w:sz w:val="22"/>
        </w:rPr>
        <w:t>Profitability of cotton and expansionist designs (e.g., Cuba) indicate entrenchment, not voluntary manumission.</w:t>
      </w:r>
    </w:p>
    <w:p>
      <w:pPr>
        <w:pStyle w:val="ListBullet"/>
        <w:ind w:left="0"/>
      </w:pPr>
      <w:r>
        <w:rPr>
          <w:rFonts w:ascii="Georgia" w:hAnsi="Georgia" w:eastAsia="Georgia"/>
          <w:sz w:val="22"/>
        </w:rPr>
        <w:t>Speech suppression (gag rules) and surveillance in the South to protect slavery.</w:t>
      </w:r>
    </w:p>
    <w:p>
      <w:r>
        <w:rPr>
          <w:rFonts w:ascii="Georgia" w:hAnsi="Georgia" w:eastAsia="Georgia"/>
          <w:b/>
          <w:i w:val="0"/>
          <w:sz w:val="22"/>
        </w:rPr>
        <w:t>D. Agency of Enslaved People</w:t>
      </w:r>
    </w:p>
    <w:p>
      <w:pPr>
        <w:pStyle w:val="ListBullet"/>
        <w:ind w:left="0"/>
      </w:pPr>
      <w:r>
        <w:rPr>
          <w:rFonts w:ascii="Georgia" w:hAnsi="Georgia" w:eastAsia="Georgia"/>
          <w:sz w:val="22"/>
        </w:rPr>
        <w:t>Mass self‑emancipation to Union lines; intelligence networks; labor withdrawal undermined the Confederacy.</w:t>
      </w:r>
    </w:p>
    <w:p>
      <w:pPr>
        <w:pStyle w:val="ListBullet"/>
        <w:ind w:left="0"/>
      </w:pPr>
      <w:r>
        <w:rPr>
          <w:rFonts w:ascii="Georgia" w:hAnsi="Georgia" w:eastAsia="Georgia"/>
          <w:sz w:val="22"/>
        </w:rPr>
        <w:t>~180,000 Black soldiers served in the Union Army (with additional naval service); visibility and sacrifice contradict ‘contented enslaved’ tropes.</w:t>
      </w:r>
    </w:p>
    <w:p>
      <w:pPr>
        <w:pStyle w:val="ListBullet"/>
        <w:ind w:left="0"/>
      </w:pPr>
      <w:r>
        <w:rPr>
          <w:rFonts w:ascii="Georgia" w:hAnsi="Georgia" w:eastAsia="Georgia"/>
          <w:sz w:val="22"/>
        </w:rPr>
        <w:t>Figures like Harriet Tubman and Frederick Douglass exemplify organized resistance.</w:t>
      </w:r>
    </w:p>
    <w:p>
      <w:r>
        <w:rPr>
          <w:rFonts w:ascii="Georgia" w:hAnsi="Georgia" w:eastAsia="Georgia"/>
          <w:b/>
          <w:i w:val="0"/>
          <w:sz w:val="22"/>
        </w:rPr>
        <w:t>E. Cultural and Military Realities</w:t>
      </w:r>
    </w:p>
    <w:p>
      <w:pPr>
        <w:pStyle w:val="ListBullet"/>
        <w:ind w:left="0"/>
      </w:pPr>
      <w:r>
        <w:rPr>
          <w:rFonts w:ascii="Georgia" w:hAnsi="Georgia" w:eastAsia="Georgia"/>
          <w:sz w:val="22"/>
        </w:rPr>
        <w:t>Beyond slavery—the keystone difference—sectional political culture and denominational splits reinforced pro‑slavery commitments.</w:t>
      </w:r>
    </w:p>
    <w:p>
      <w:pPr>
        <w:pStyle w:val="ListBullet"/>
        <w:ind w:left="0"/>
      </w:pPr>
      <w:r>
        <w:rPr>
          <w:rFonts w:ascii="Georgia" w:hAnsi="Georgia" w:eastAsia="Georgia"/>
          <w:sz w:val="22"/>
        </w:rPr>
        <w:t>Confederate defeat owed to resource asymmetry, Union adaptation, and internal dissent (high desertion by 1865).</w:t>
      </w:r>
    </w:p>
    <w:p>
      <w:pPr>
        <w:pStyle w:val="ListBullet"/>
        <w:ind w:left="0"/>
      </w:pPr>
      <w:r>
        <w:rPr>
          <w:rFonts w:ascii="Georgia" w:hAnsi="Georgia" w:eastAsia="Georgia"/>
          <w:sz w:val="22"/>
        </w:rPr>
        <w:t>Contingency matters, but post‑war ‘inevitability’ talk sanctified honor while dodging slavery’s centrality.</w:t>
      </w:r>
    </w:p>
    <w:p>
      <w:pPr>
        <w:pStyle w:val="Heading1"/>
      </w:pPr>
      <w:r>
        <w:rPr>
          <w:rFonts w:ascii="Georgia" w:hAnsi="Georgia" w:eastAsia="Georgia"/>
        </w:rPr>
        <w:t>V. The Legacy of the Lost Cause (10–15 minutes)</w:t>
      </w:r>
    </w:p>
    <w:p>
      <w:r>
        <w:rPr>
          <w:rFonts w:ascii="Georgia" w:hAnsi="Georgia" w:eastAsia="Georgia"/>
          <w:b/>
          <w:i w:val="0"/>
          <w:sz w:val="22"/>
        </w:rPr>
        <w:t>Memory triad and nationalization:</w:t>
      </w:r>
    </w:p>
    <w:p>
      <w:pPr>
        <w:pStyle w:val="ListBullet"/>
        <w:ind w:left="0"/>
      </w:pPr>
      <w:r>
        <w:rPr>
          <w:rFonts w:ascii="Georgia" w:hAnsi="Georgia" w:eastAsia="Georgia"/>
          <w:sz w:val="22"/>
        </w:rPr>
        <w:t>David Blight’s triad: reconciliationist vs. white supremacist vs. emancipationist memories; reconciliation eclipsed emancipation for decades.</w:t>
      </w:r>
    </w:p>
    <w:p>
      <w:pPr>
        <w:pStyle w:val="ListBullet"/>
        <w:ind w:left="0"/>
      </w:pPr>
      <w:r>
        <w:rPr>
          <w:rFonts w:ascii="Georgia" w:hAnsi="Georgia" w:eastAsia="Georgia"/>
          <w:sz w:val="22"/>
        </w:rPr>
        <w:t>Northern complicity: veterans’ reconciliation, business priorities, and racist politics nationalized the myth.</w:t>
      </w:r>
    </w:p>
    <w:p>
      <w:r>
        <w:rPr>
          <w:rFonts w:ascii="Georgia" w:hAnsi="Georgia" w:eastAsia="Georgia"/>
          <w:b/>
          <w:i w:val="0"/>
          <w:sz w:val="22"/>
        </w:rPr>
        <w:t>Ritual and civil religion:</w:t>
      </w:r>
    </w:p>
    <w:p>
      <w:pPr>
        <w:pStyle w:val="ListBullet"/>
        <w:ind w:left="0"/>
      </w:pPr>
      <w:r>
        <w:rPr>
          <w:rFonts w:ascii="Georgia" w:hAnsi="Georgia" w:eastAsia="Georgia"/>
          <w:sz w:val="22"/>
        </w:rPr>
        <w:t>Confederate Memorial Days, cemetery rites, sermons, catechisms; sacralized Lee and Jackson; taught children a sacred narrative.</w:t>
      </w:r>
    </w:p>
    <w:p>
      <w:r>
        <w:rPr>
          <w:rFonts w:ascii="Georgia" w:hAnsi="Georgia" w:eastAsia="Georgia"/>
          <w:b/>
          <w:i w:val="0"/>
          <w:sz w:val="22"/>
        </w:rPr>
        <w:t>Monuments and timing:</w:t>
      </w:r>
    </w:p>
    <w:p>
      <w:pPr>
        <w:pStyle w:val="ListBullet"/>
        <w:ind w:left="0"/>
      </w:pPr>
      <w:r>
        <w:rPr>
          <w:rFonts w:ascii="Georgia" w:hAnsi="Georgia" w:eastAsia="Georgia"/>
          <w:sz w:val="22"/>
        </w:rPr>
        <w:t>Two major waves: c. 1890–1920 (Jim Crow consolidation) and c. 1950s–1960s (Civil Rights backlash). Timing, not proximity to 1865, explains proliferation.</w:t>
      </w:r>
    </w:p>
    <w:p>
      <w:r>
        <w:rPr>
          <w:rFonts w:ascii="Georgia" w:hAnsi="Georgia" w:eastAsia="Georgia"/>
          <w:b/>
          <w:i w:val="0"/>
          <w:sz w:val="22"/>
        </w:rPr>
        <w:t>Textbooks and schooling:</w:t>
      </w:r>
    </w:p>
    <w:p>
      <w:pPr>
        <w:pStyle w:val="ListBullet"/>
        <w:ind w:left="0"/>
      </w:pPr>
      <w:r>
        <w:rPr>
          <w:rFonts w:ascii="Georgia" w:hAnsi="Georgia" w:eastAsia="Georgia"/>
          <w:sz w:val="22"/>
        </w:rPr>
        <w:t>UDC guidelines and pressure campaigns; Dunning‑inflected textbooks normalized myths in classrooms nationwide.</w:t>
      </w:r>
    </w:p>
    <w:p>
      <w:r>
        <w:rPr>
          <w:rFonts w:ascii="Georgia" w:hAnsi="Georgia" w:eastAsia="Georgia"/>
          <w:b/>
          <w:i w:val="0"/>
          <w:sz w:val="22"/>
        </w:rPr>
        <w:t>Media ecosystems:</w:t>
      </w:r>
    </w:p>
    <w:p>
      <w:pPr>
        <w:pStyle w:val="ListBullet"/>
        <w:ind w:left="0"/>
      </w:pPr>
      <w:r>
        <w:rPr>
          <w:rFonts w:ascii="Georgia" w:hAnsi="Georgia" w:eastAsia="Georgia"/>
          <w:sz w:val="22"/>
        </w:rPr>
        <w:t>*Birth of a Nation*, plantation novels, *Gone with the Wind*; mid‑century Disneyfied plantation nostalgia (*Song of the South*).</w:t>
      </w:r>
    </w:p>
    <w:p>
      <w:r>
        <w:rPr>
          <w:rFonts w:ascii="Georgia" w:hAnsi="Georgia" w:eastAsia="Georgia"/>
          <w:b/>
          <w:i w:val="0"/>
          <w:sz w:val="22"/>
        </w:rPr>
        <w:t>Modern implications:</w:t>
      </w:r>
    </w:p>
    <w:p>
      <w:pPr>
        <w:pStyle w:val="ListBullet"/>
        <w:ind w:left="0"/>
      </w:pPr>
      <w:r>
        <w:rPr>
          <w:rFonts w:ascii="Georgia" w:hAnsi="Georgia" w:eastAsia="Georgia"/>
          <w:sz w:val="22"/>
        </w:rPr>
        <w:t>Debates over base/building renamings and monument removals; curricular battles; recycled ‘heritage’ frames.</w:t>
      </w:r>
    </w:p>
    <w:p>
      <w:pPr>
        <w:pStyle w:val="ListBullet"/>
        <w:ind w:left="0"/>
      </w:pPr>
      <w:r>
        <w:rPr>
          <w:rFonts w:ascii="Georgia" w:hAnsi="Georgia" w:eastAsia="Georgia"/>
          <w:sz w:val="22"/>
        </w:rPr>
        <w:t>Broader lesson: myths operationalize power—ask which memories get institutional support and why.</w:t>
      </w:r>
    </w:p>
    <w:p>
      <w:pPr>
        <w:pStyle w:val="Heading1"/>
      </w:pPr>
      <w:r>
        <w:rPr>
          <w:rFonts w:ascii="Georgia" w:hAnsi="Georgia" w:eastAsia="Georgia"/>
        </w:rPr>
        <w:t>VI. Teach‑and‑Test Assets (Activities &amp; Slides)</w:t>
      </w:r>
    </w:p>
    <w:p>
      <w:r>
        <w:rPr>
          <w:rFonts w:ascii="Georgia" w:hAnsi="Georgia" w:eastAsia="Georgia"/>
          <w:b/>
          <w:i w:val="0"/>
          <w:sz w:val="22"/>
        </w:rPr>
        <w:t>A. ‘Myths vs. Receipts’ Slide (rapid rebuttal)</w:t>
      </w:r>
    </w:p>
    <w:p>
      <w:pPr>
        <w:pStyle w:val="ListBullet"/>
        <w:ind w:left="0"/>
      </w:pPr>
      <w:r>
        <w:rPr>
          <w:rFonts w:ascii="Georgia" w:hAnsi="Georgia" w:eastAsia="Georgia"/>
          <w:sz w:val="22"/>
        </w:rPr>
        <w:t>Myth: War wasn’t about slavery → Receipts: Secession declarations + Cornerstone Speech center slavery.</w:t>
      </w:r>
    </w:p>
    <w:p>
      <w:pPr>
        <w:pStyle w:val="ListBullet"/>
        <w:ind w:left="0"/>
      </w:pPr>
      <w:r>
        <w:rPr>
          <w:rFonts w:ascii="Georgia" w:hAnsi="Georgia" w:eastAsia="Georgia"/>
          <w:sz w:val="22"/>
        </w:rPr>
        <w:t>Myth: States’ rights → Receipts: Fugitive Slave Act demands; CSA constitution embeds slavery.</w:t>
      </w:r>
    </w:p>
    <w:p>
      <w:pPr>
        <w:pStyle w:val="ListBullet"/>
        <w:ind w:left="0"/>
      </w:pPr>
      <w:r>
        <w:rPr>
          <w:rFonts w:ascii="Georgia" w:hAnsi="Georgia" w:eastAsia="Georgia"/>
          <w:sz w:val="22"/>
        </w:rPr>
        <w:t>Myth: Faithful enslaved → Receipts: Self‑emancipation; USCT service; contraband camps; intelligence.</w:t>
      </w:r>
    </w:p>
    <w:p>
      <w:pPr>
        <w:pStyle w:val="ListBullet"/>
        <w:ind w:left="0"/>
      </w:pPr>
      <w:r>
        <w:rPr>
          <w:rFonts w:ascii="Georgia" w:hAnsi="Georgia" w:eastAsia="Georgia"/>
          <w:sz w:val="22"/>
        </w:rPr>
        <w:t>Myth: Lee/Jackson as apolitical saints → Receipts: They served a polity founded to secure slavery.</w:t>
      </w:r>
    </w:p>
    <w:p>
      <w:pPr>
        <w:pStyle w:val="ListBullet"/>
        <w:ind w:left="0"/>
      </w:pPr>
      <w:r>
        <w:rPr>
          <w:rFonts w:ascii="Georgia" w:hAnsi="Georgia" w:eastAsia="Georgia"/>
          <w:sz w:val="22"/>
        </w:rPr>
        <w:t>Myth: Defeat was purely material → Receipts: Strategy, dissent, and adaptation mattered; ‘inevitability’ is post‑hoc.</w:t>
      </w:r>
    </w:p>
    <w:p>
      <w:r>
        <w:rPr>
          <w:rFonts w:ascii="Georgia" w:hAnsi="Georgia" w:eastAsia="Georgia"/>
          <w:b/>
          <w:i w:val="0"/>
          <w:sz w:val="22"/>
        </w:rPr>
        <w:t>B. Five quick evidence labs (5–10 minutes each)</w:t>
      </w:r>
    </w:p>
    <w:p>
      <w:pPr>
        <w:pStyle w:val="ListNumber"/>
        <w:ind w:left="0"/>
      </w:pPr>
      <w:r>
        <w:rPr>
          <w:rFonts w:ascii="Georgia" w:hAnsi="Georgia" w:eastAsia="Georgia"/>
          <w:sz w:val="22"/>
        </w:rPr>
        <w:t>Close‑read a secession declaration and tally slavery references; compare across states.</w:t>
      </w:r>
    </w:p>
    <w:p>
      <w:pPr>
        <w:pStyle w:val="ListNumber"/>
        <w:ind w:left="0"/>
      </w:pPr>
      <w:r>
        <w:rPr>
          <w:rFonts w:ascii="Georgia" w:hAnsi="Georgia" w:eastAsia="Georgia"/>
          <w:sz w:val="22"/>
        </w:rPr>
        <w:t>Side‑by‑side U.S. vs. Confederate constitutions; highlight slavery clauses.</w:t>
      </w:r>
    </w:p>
    <w:p>
      <w:pPr>
        <w:pStyle w:val="ListNumber"/>
        <w:ind w:left="0"/>
      </w:pPr>
      <w:r>
        <w:rPr>
          <w:rFonts w:ascii="Georgia" w:hAnsi="Georgia" w:eastAsia="Georgia"/>
          <w:sz w:val="22"/>
        </w:rPr>
        <w:t>Plot monument dedications on a timeline; overlay Jim Crow and Civil Rights milestones.</w:t>
      </w:r>
    </w:p>
    <w:p>
      <w:pPr>
        <w:pStyle w:val="ListNumber"/>
        <w:ind w:left="0"/>
      </w:pPr>
      <w:r>
        <w:rPr>
          <w:rFonts w:ascii="Georgia" w:hAnsi="Georgia" w:eastAsia="Georgia"/>
          <w:sz w:val="22"/>
        </w:rPr>
        <w:t>Sample pre‑1950 vs. post‑1970 textbook passages on Reconstruction; identify Dunning language.</w:t>
      </w:r>
    </w:p>
    <w:p>
      <w:pPr>
        <w:pStyle w:val="ListNumber"/>
        <w:ind w:left="0"/>
      </w:pPr>
      <w:r>
        <w:rPr>
          <w:rFonts w:ascii="Georgia" w:hAnsi="Georgia" w:eastAsia="Georgia"/>
          <w:sz w:val="22"/>
        </w:rPr>
        <w:t>Analyze a UDC textbook circular (Rutherford): list demands and why they matter for classrooms.</w:t>
      </w:r>
    </w:p>
    <w:p>
      <w:pPr>
        <w:pStyle w:val="Heading1"/>
      </w:pPr>
      <w:r>
        <w:rPr>
          <w:rFonts w:ascii="Georgia" w:hAnsi="Georgia" w:eastAsia="Georgia"/>
        </w:rPr>
        <w:t>VII. Conclusion and Wrap‑Up (5–10 minutes)</w:t>
      </w:r>
    </w:p>
    <w:p>
      <w:pPr>
        <w:pStyle w:val="ListBullet"/>
        <w:ind w:left="0"/>
      </w:pPr>
      <w:r>
        <w:rPr>
          <w:rFonts w:ascii="Georgia" w:hAnsi="Georgia" w:eastAsia="Georgia"/>
          <w:sz w:val="22"/>
        </w:rPr>
        <w:t>Summary: The Lost Cause deliberately recast causes, conduct, and consequences of the war; evidence contradicts its core claims.</w:t>
      </w:r>
    </w:p>
    <w:p>
      <w:pPr>
        <w:pStyle w:val="ListBullet"/>
        <w:ind w:left="0"/>
      </w:pPr>
      <w:r>
        <w:rPr>
          <w:rFonts w:ascii="Georgia" w:hAnsi="Georgia" w:eastAsia="Georgia"/>
          <w:sz w:val="22"/>
        </w:rPr>
        <w:t>Skill takeaway: Historiography is not opinion—it is argument + evidence; myths flourish where method recedes.</w:t>
      </w:r>
    </w:p>
    <w:p>
      <w:pPr>
        <w:pStyle w:val="ListBullet"/>
        <w:ind w:left="0"/>
      </w:pPr>
      <w:r>
        <w:rPr>
          <w:rFonts w:ascii="Georgia" w:hAnsi="Georgia" w:eastAsia="Georgia"/>
          <w:sz w:val="22"/>
        </w:rPr>
        <w:t>Assessment: Exit ticket—‘One myth I learned and why it’s harmful.’</w:t>
      </w:r>
    </w:p>
    <w:p>
      <w:pPr>
        <w:pStyle w:val="Heading1"/>
      </w:pPr>
      <w:r>
        <w:rPr>
          <w:rFonts w:ascii="Georgia" w:hAnsi="Georgia" w:eastAsia="Georgia"/>
        </w:rPr>
        <w:t>Select Historiography &amp; Further Reading</w:t>
      </w:r>
    </w:p>
    <w:p>
      <w:pPr>
        <w:pStyle w:val="ListBullet"/>
        <w:ind w:left="0"/>
      </w:pPr>
      <w:r>
        <w:rPr>
          <w:rFonts w:ascii="Georgia" w:hAnsi="Georgia" w:eastAsia="Georgia"/>
          <w:sz w:val="22"/>
        </w:rPr>
        <w:t>David W. Blight, *Race and Reunion: The Civil War in American Memory* (2001).</w:t>
      </w:r>
    </w:p>
    <w:p>
      <w:pPr>
        <w:pStyle w:val="ListBullet"/>
        <w:ind w:left="0"/>
      </w:pPr>
      <w:r>
        <w:rPr>
          <w:rFonts w:ascii="Georgia" w:hAnsi="Georgia" w:eastAsia="Georgia"/>
          <w:sz w:val="22"/>
        </w:rPr>
        <w:t>Caroline E. Janney, *Remembering the Civil War: Reunion and the Limits of Reconciliation* (2013).</w:t>
      </w:r>
    </w:p>
    <w:p>
      <w:pPr>
        <w:pStyle w:val="ListBullet"/>
        <w:ind w:left="0"/>
      </w:pPr>
      <w:r>
        <w:rPr>
          <w:rFonts w:ascii="Georgia" w:hAnsi="Georgia" w:eastAsia="Georgia"/>
          <w:sz w:val="22"/>
        </w:rPr>
        <w:t>Alan T. Nolan, *The Anatomy of the Myth* (in *The Myth of the Lost Cause and Civil War History*, 2000).</w:t>
      </w:r>
    </w:p>
    <w:p>
      <w:pPr>
        <w:pStyle w:val="ListBullet"/>
        <w:ind w:left="0"/>
      </w:pPr>
      <w:r>
        <w:rPr>
          <w:rFonts w:ascii="Georgia" w:hAnsi="Georgia" w:eastAsia="Georgia"/>
          <w:sz w:val="22"/>
        </w:rPr>
        <w:t>Ty Seidule, *Robert E. Lee and Me: A Southerner’s Reckoning with the Myth of the Lost Cause* (2021).</w:t>
      </w:r>
    </w:p>
    <w:p>
      <w:pPr>
        <w:pStyle w:val="ListBullet"/>
        <w:ind w:left="0"/>
      </w:pPr>
      <w:r>
        <w:rPr>
          <w:rFonts w:ascii="Georgia" w:hAnsi="Georgia" w:eastAsia="Georgia"/>
          <w:sz w:val="22"/>
        </w:rPr>
        <w:t>Eric Foner, *Reconstruction: America’s Unfinished Revolution, 1863–1877* (1988; updated eds.).</w:t>
      </w:r>
    </w:p>
    <w:p>
      <w:pPr>
        <w:pStyle w:val="ListBullet"/>
        <w:ind w:left="0"/>
      </w:pPr>
      <w:r>
        <w:rPr>
          <w:rFonts w:ascii="Georgia" w:hAnsi="Georgia" w:eastAsia="Georgia"/>
          <w:sz w:val="22"/>
        </w:rPr>
        <w:t>Kenneth M. Stampp, *The Peculiar Institution: Slavery in the Ante-Bellum South* (1956).</w:t>
      </w:r>
    </w:p>
    <w:p>
      <w:pPr>
        <w:pStyle w:val="ListBullet"/>
        <w:ind w:left="0"/>
      </w:pPr>
      <w:r>
        <w:rPr>
          <w:rFonts w:ascii="Georgia" w:hAnsi="Georgia" w:eastAsia="Georgia"/>
          <w:sz w:val="22"/>
        </w:rPr>
        <w:t>Kirt von Daacke &amp; colleagues, essays on public memory and monuments (various).</w:t>
      </w:r>
    </w:p>
    <w:p>
      <w:pPr>
        <w:pStyle w:val="ListBullet"/>
        <w:ind w:left="0"/>
      </w:pPr>
      <w:r>
        <w:rPr>
          <w:rFonts w:ascii="Georgia" w:hAnsi="Georgia" w:eastAsia="Georgia"/>
          <w:sz w:val="22"/>
        </w:rPr>
        <w:t>Ethan J. Kytle &amp; Blain Roberts, *Denmark Vesey’s Garden: Slavery and Memory in the Cradle of the Confederacy* (2018).</w:t>
      </w:r>
    </w:p>
    <w:p>
      <w:pPr>
        <w:pStyle w:val="ListBullet"/>
        <w:ind w:left="0"/>
      </w:pPr>
      <w:r>
        <w:rPr>
          <w:rFonts w:ascii="Georgia" w:hAnsi="Georgia" w:eastAsia="Georgia"/>
          <w:sz w:val="22"/>
        </w:rPr>
        <w:t>Primary sources: Secession declarations (SC, MS, GA, TX); Alexander H. Stephens, Cornerstone Speech (1861); Confederate Constitution (1861).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