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●3Dデータ利用に関する注意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このSenStick2用のメガネケースのメガネの元の3Dデータは</w:t>
      </w: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9f9f9" w:val="clear"/>
          <w:rtl w:val="0"/>
        </w:rPr>
        <w:t xml:space="preserve">i.Design Studio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が提供して　いるものです。使用する(対外的に公開(学会や論文誌等))際は</w:t>
      </w: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9f9f9" w:val="clear"/>
          <w:rtl w:val="0"/>
        </w:rPr>
        <w:t xml:space="preserve">i.Design Studio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のクレジット　を表記してください。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利用に関する詳細は下記サイトを参照してください。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hyperlink r:id="rId5">
        <w:r w:rsidDel="00000000" w:rsidR="00000000" w:rsidRPr="00000000">
          <w:rPr>
            <w:rFonts w:ascii="MS PGothic" w:cs="MS PGothic" w:eastAsia="MS PGothic" w:hAnsi="MS PGothic"/>
            <w:color w:val="1155cc"/>
            <w:u w:val="single"/>
            <w:rtl w:val="0"/>
          </w:rPr>
          <w:t xml:space="preserve">http://www.idesign-s.com/info/eyewear-3d-data/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作成者：金平卓也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作成日：2016/08/09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バージョン：1.00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iryo"/>
  <w:font w:name="MS PGothic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design-s.com/info/eyewear-3d-data/" TargetMode="External"/></Relationships>
</file>