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Hipótesis del problema y supuestos</w:t>
      </w:r>
    </w:p>
    <w:p>
      <w:pPr>
        <w:pStyle w:val="Subtitle"/>
      </w:pPr>
      <w:r>
        <w:t>Contexto · Preparación previa a la entrevista</w:t>
      </w:r>
    </w:p>
    <w:p>
      <w:r>
        <w:rPr>
          <w:b/>
        </w:rPr>
        <w:t xml:space="preserve">Asignatura: </w:t>
      </w:r>
      <w:r>
        <w:t xml:space="preserve">Ingeniería de Software I  </w:t>
      </w:r>
      <w:r>
        <w:rPr>
          <w:b/>
        </w:rPr>
        <w:t xml:space="preserve">·  Docente: </w:t>
      </w:r>
      <w:r>
        <w:t>Olga Lucero Vega Márquez</w:t>
      </w:r>
    </w:p>
    <w:p>
      <w:pPr>
        <w:pStyle w:val="Caption"/>
      </w:pPr>
      <w:r>
        <w:t>Equipo: Johan Santiago Marín Obando · Franky Jhoel Camargo Silva · Juan David Vergaño López</w:t>
      </w:r>
    </w:p>
    <w:p>
      <w:r>
        <w:rPr>
          <w:i/>
        </w:rPr>
        <w:t>Caso de estudio y conversación con cliente SIMULADOS; no representan una entrevista real.</w:t>
      </w:r>
    </w:p>
    <w:p>
      <w:pPr>
        <w:pStyle w:val="Heading1"/>
      </w:pPr>
      <w:r>
        <w:t>1. Problema principal presumido</w:t>
      </w:r>
    </w:p>
    <w:p>
      <w:r>
        <w:t>FitLife Barrio no dispone de un registro digital consolidado de clientes, membresías y movimientos de caja. La libreta manual vuelve lentas las consultas, dificulta reconocer quién tiene vigencia y expone el cierre de caja a errores de transcripción o conciliación. Esta hipótesis se deriva del caso base y debe contrastarse durante la entrevista.</w:t>
      </w:r>
    </w:p>
    <w:p>
      <w:pPr>
        <w:pStyle w:val="Heading1"/>
      </w:pPr>
      <w:r>
        <w:t>2. Necesidades que se presumen del cliente</w:t>
      </w:r>
    </w:p>
    <w:p>
      <w:pPr>
        <w:pStyle w:val="ListBullet"/>
      </w:pPr>
      <w:r>
        <w:t>H-01 — Identificar al cliente en segundos sin depender exclusivamente de la cédula.</w:t>
      </w:r>
    </w:p>
    <w:p>
      <w:pPr>
        <w:pStyle w:val="ListBullet"/>
      </w:pPr>
      <w:r>
        <w:t>H-02 — Consultar vigencia por semáforo verde, amarillo o rojo.</w:t>
      </w:r>
    </w:p>
    <w:p>
      <w:pPr>
        <w:pStyle w:val="ListBullet"/>
      </w:pPr>
      <w:r>
        <w:t>H-03 — Gestionar cuatro modalidades, incluido un pase que vincula dos usuarios.</w:t>
      </w:r>
    </w:p>
    <w:p>
      <w:pPr>
        <w:pStyle w:val="ListBullet"/>
      </w:pPr>
      <w:r>
        <w:t>H-04 — Renovar sin volver a digitar datos ya registrados.</w:t>
      </w:r>
    </w:p>
    <w:p>
      <w:pPr>
        <w:pStyle w:val="ListBullet"/>
      </w:pPr>
      <w:r>
        <w:t>H-05 — Tener evidencia de cobros y visualizar el efectivo esperado al cerrar la jornada.</w:t>
      </w:r>
    </w:p>
    <w:p>
      <w:pPr>
        <w:pStyle w:val="ListBullet"/>
      </w:pPr>
      <w:r>
        <w:t>H-06 — Compartir una constancia de pago digital sin incorporar un módulo contable complejo.</w:t>
      </w:r>
    </w:p>
    <w:p>
      <w:pPr>
        <w:pStyle w:val="Heading1"/>
      </w:pPr>
      <w:r>
        <w:t>3. Riesgos anticipados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Código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Riesgo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Validación prevista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R-01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Definiciones ambiguas de vigencia y semáforo.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Pedir umbral amarillo y reglas de renovación.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R-02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Duplicidad de personas o del Pase de Pareja.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Revisar identificador único y vínculo de dos integrantes.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R-03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Diferencias entre ventas y saldo efectivo.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Confirmar medios de pago y forma de cierre.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R-04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Exposición de cédula y celular.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Consultar permisos y autorización del titular.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R-05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Alcance excesivo para el semestre.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Priorizar una entrega funcional sin hardware.</w:t>
            </w:r>
          </w:p>
        </w:tc>
      </w:tr>
    </w:tbl>
    <w:p/>
    <w:p>
      <w:pPr>
        <w:pStyle w:val="Heading1"/>
      </w:pPr>
      <w:r>
        <w:t>4. Diferencia entre hechos, hipótesis y decisiones simuladas</w:t>
      </w:r>
    </w:p>
    <w:p>
      <w:r>
        <w:t>Hechos según el documento original: modalidades Día, Quincena, Mensualidad y Pase de Pareja; consulta por tres campos; colores del semáforo; movimientos y comprobantes; exclusión de accesos automáticos. Hipótesis sin confirmación previa: número de días que activa amarillo, precios, duración del pase compartido, saldo inicial y tratamiento de transferencias. Las decisiones atribuidas al cliente ficticio están señaladas expresamente en el acta simulada.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4"/>
        <w:sz w:val="15"/>
      </w:rPr>
      <w:t xml:space="preserve">Simulación académica  ·  25 de octubre de 2026  |  </w:t>
    </w:r>
    <w:r>
      <w:rPr>
        <w:color w:val="5B6974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7870"/>
        <w:sz w:val="16"/>
      </w:rPr>
      <w:t>FITLIFE BARRIO  /  CONTROL GYM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3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