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Actores validados — resultado SIMULADO</w:t>
      </w:r>
    </w:p>
    <w:p>
      <w:pPr>
        <w:pStyle w:val="Subtitle"/>
      </w:pPr>
      <w:r>
        <w:t>Contexto · Actualización posterior al acta académica</w:t>
      </w:r>
    </w:p>
    <w:p>
      <w:r>
        <w:rPr>
          <w:b/>
        </w:rPr>
        <w:t xml:space="preserve">Asignatura: </w:t>
      </w:r>
      <w:r>
        <w:t xml:space="preserve">Ingeniería de Software I  </w:t>
      </w:r>
      <w:r>
        <w:rPr>
          <w:b/>
        </w:rPr>
        <w:t xml:space="preserve">·  Docente: </w:t>
      </w:r>
      <w:r>
        <w:t>Olga Lucero Vega Márquez</w:t>
      </w:r>
    </w:p>
    <w:p>
      <w:pPr>
        <w:pStyle w:val="Caption"/>
      </w:pPr>
      <w:r>
        <w:t>Equipo: Johan Santiago Marín Obando · Franky Jhoel Camargo Silva · Juan David Vergaño López</w:t>
      </w:r>
    </w:p>
    <w:p>
      <w:r>
        <w:rPr>
          <w:i/>
        </w:rPr>
        <w:t>Caso de estudio y conversación con cliente SIMULADOS; no representan una entrevista real.</w:t>
      </w:r>
    </w:p>
    <w:p>
      <w:pPr>
        <w:pStyle w:val="Heading1"/>
      </w:pPr>
      <w:r>
        <w:t>Matriz de actores tras la entrevista ficticia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D9EDF0"/>
            <w:vAlign w:val="center"/>
          </w:tcPr>
          <w:p>
            <w:pPr>
              <w:spacing w:after="40"/>
            </w:pPr>
            <w:r>
              <w:rPr>
                <w:sz w:val="17"/>
              </w:rPr>
              <w:t>Actor</w:t>
            </w:r>
          </w:p>
        </w:tc>
        <w:tc>
          <w:tcPr>
            <w:tcW w:type="dxa" w:w="3264"/>
            <w:shd w:fill="D9EDF0"/>
            <w:vAlign w:val="center"/>
          </w:tcPr>
          <w:p>
            <w:pPr>
              <w:spacing w:after="40"/>
            </w:pPr>
            <w:r>
              <w:rPr>
                <w:sz w:val="17"/>
              </w:rPr>
              <w:t>Confirmación simulada</w:t>
            </w:r>
          </w:p>
        </w:tc>
        <w:tc>
          <w:tcPr>
            <w:tcW w:type="dxa" w:w="3264"/>
            <w:shd w:fill="D9EDF0"/>
            <w:vAlign w:val="center"/>
          </w:tcPr>
          <w:p>
            <w:pPr>
              <w:spacing w:after="40"/>
            </w:pPr>
            <w:r>
              <w:rPr>
                <w:sz w:val="17"/>
              </w:rPr>
              <w:t>Responsabilidades / límites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Propietario / administrador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Validado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Define precios; supervisa movimiento de caja, planes y cierres.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Recepcionista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Validado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Registra clientes y renovaciones; busca vigencia; cobra, registra gastos y genera constancia.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Cliente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Validado como actor del negocio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Entrega información y recibe constancia; NO maneja la interfaz inicialmente.</w:t>
            </w:r>
          </w:p>
        </w:tc>
      </w:tr>
      <w:tr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Servicio de mensajería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Potencial / no integrado</w:t>
            </w:r>
          </w:p>
        </w:tc>
        <w:tc>
          <w:tcPr>
            <w:tcW w:type="dxa" w:w="3264"/>
            <w:vAlign w:val="center"/>
          </w:tcPr>
          <w:p>
            <w:pPr>
              <w:spacing w:after="40"/>
            </w:pPr>
            <w:r>
              <w:rPr>
                <w:sz w:val="17"/>
              </w:rPr>
              <w:t>Solo referencia futura. En la maqueta se prepara texto; no se envían mensajes.</w:t>
            </w:r>
          </w:p>
        </w:tc>
      </w:tr>
    </w:tbl>
    <w:p/>
    <w:p>
      <w:pPr>
        <w:pStyle w:val="Heading1"/>
      </w:pPr>
      <w:r>
        <w:t>Cambios respecto al documento previo</w:t>
      </w:r>
    </w:p>
    <w:p>
      <w:r>
        <w:t>Se precisó quién gestiona precios y cierre, se descartó por ahora el envío automático y se confirmó que el cliente no requiere cuenta propia. Estas conclusiones se atribuyen solo a la entrevista simulada.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B6974"/>
        <w:sz w:val="15"/>
      </w:rPr>
      <w:t xml:space="preserve">Simulación académica  ·  25 de octubre de 2026  |  </w:t>
    </w:r>
    <w:r>
      <w:rPr>
        <w:color w:val="5B6974"/>
        <w:sz w:val="15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rPr>
        <w:color w:val="007870"/>
        <w:sz w:val="16"/>
      </w:rPr>
      <w:t>FITLIFE BARRIO  /  CONTROL GYM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color w:val="2A334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4E7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87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4E7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Aptos Display" w:hAnsi="Aptos Display"/>
      <w:b/>
      <w:color w:val="0F2338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