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Matriz de cambios posteriores a la entrevista</w:t>
      </w:r>
    </w:p>
    <w:p>
      <w:pPr>
        <w:pStyle w:val="Subtitle"/>
      </w:pPr>
      <w:r>
        <w:t>Entrevistas / entrevista1 · Trazabilidad de hallazgos simulados</w:t>
      </w:r>
    </w:p>
    <w:p>
      <w:r>
        <w:rPr>
          <w:b/>
        </w:rPr>
        <w:t xml:space="preserve">Asignatura: </w:t>
      </w:r>
      <w:r>
        <w:t xml:space="preserve">Ingeniería de Software I  </w:t>
      </w:r>
      <w:r>
        <w:rPr>
          <w:b/>
        </w:rPr>
        <w:t xml:space="preserve">·  Docente: </w:t>
      </w:r>
      <w:r>
        <w:t>Olga Lucero Vega Márquez</w:t>
      </w:r>
    </w:p>
    <w:p>
      <w:pPr>
        <w:pStyle w:val="Caption"/>
      </w:pPr>
      <w:r>
        <w:t>Equipo: Johan Santiago Marín Obando · Franky Jhoel Camargo Silva · Juan David Vergaño López</w:t>
      </w:r>
    </w:p>
    <w:p>
      <w:r>
        <w:rPr>
          <w:i/>
        </w:rPr>
        <w:t>Caso de estudio y conversación con cliente SIMULADOS; no representan una entrevista real.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Elemento</w:t>
            </w:r>
          </w:p>
        </w:tc>
        <w:tc>
          <w:tcPr>
            <w:tcW w:type="dxa" w:w="3264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Antes de la cita (fuente original)</w:t>
            </w:r>
          </w:p>
        </w:tc>
        <w:tc>
          <w:tcPr>
            <w:tcW w:type="dxa" w:w="3264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Después de la simulación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RP-01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Color amarillo sin número de días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0 a 3 días para vencer, decisión simulada AS-01.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RP-02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Cuatro planes; duraciones pareja y Día ambiguas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Día calendario, Pareja 30 días; precios ficticios.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RP-03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Renovar sin duplicar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Renovación anticipada consecutiva al vencimiento.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RP-04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Cierre de caja sin fórmula pormenorizada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Efectivo esperado calculado separando medios.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RP-05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Enviar digital o imprimir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Demo prepara texto, permite imprimir; no envía.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Actores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Servicio de mensajería externo conceptual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No conectado en MVP; validado solo como potencial.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Riesgos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Seguridad, duplicados, alcance, caja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Añadido pérdida local de información (R-06).</w:t>
            </w:r>
          </w:p>
        </w:tc>
      </w:tr>
    </w:tbl>
    <w:p/>
    <w:p>
      <w:r>
        <w:t>Esta matriz distingue el contenido original del documento «Control Gym» de las decisiones inventadas y aceptadas dentro del escenario académico de entrevista. Una reunión real podría producir acuerdos distintos.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974"/>
        <w:sz w:val="15"/>
      </w:rPr>
      <w:t xml:space="preserve">Simulación académica  ·  25 de octubre de 2026  |  </w:t>
    </w:r>
    <w:r>
      <w:rPr>
        <w:color w:val="5B6974"/>
        <w:sz w:val="15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7870"/>
        <w:sz w:val="16"/>
      </w:rPr>
      <w:t>FITLIFE BARRIO  /  CONTROL GYM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A33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87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/>
      <w:b/>
      <w:color w:val="0F233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