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Índice de diagramas y casos de uso</w:t>
      </w:r>
    </w:p>
    <w:p>
      <w:pPr>
        <w:pStyle w:val="Subtitle"/>
      </w:pPr>
      <w:r>
        <w:t>Modelos · Inventario de anexos PNG + Draw.io</w:t>
      </w:r>
    </w:p>
    <w:p>
      <w:r>
        <w:rPr>
          <w:b/>
        </w:rPr>
        <w:t xml:space="preserve">Asignatura: </w:t>
      </w:r>
      <w:r>
        <w:t xml:space="preserve">Ingeniería de Software I  </w:t>
      </w:r>
      <w:r>
        <w:rPr>
          <w:b/>
        </w:rPr>
        <w:t xml:space="preserve">·  Docente: </w:t>
      </w:r>
      <w:r>
        <w:t>Olga Lucero Vega Márquez</w:t>
      </w:r>
    </w:p>
    <w:p>
      <w:pPr>
        <w:pStyle w:val="Caption"/>
      </w:pPr>
      <w:r>
        <w:t>Equipo: Johan Santiago Marín Obando · Franky Jhoel Camargo Silva · Juan David Vergaño López</w:t>
      </w:r>
    </w:p>
    <w:p>
      <w:r>
        <w:rPr>
          <w:i/>
        </w:rPr>
        <w:t>Caso de estudio y conversación con cliente SIMULADOS; no representan una entrevista real.</w:t>
      </w:r>
    </w:p>
    <w:p>
      <w:pPr>
        <w:pStyle w:val="Heading1"/>
      </w:pPr>
      <w:r>
        <w:t>Casos de uso del negocio</w:t>
      </w:r>
    </w:p>
    <w:p>
      <w:r>
        <w:t>CN-01. Registrar cliente: El personal recibe datos mínimos y da de alta al nuevo usuario.</w:t>
      </w:r>
    </w:p>
    <w:p>
      <w:r>
        <w:t>CN-02. Verificar membresía: Se busca por cédula, nombre o teléfono y se comprueba si puede ingresar.</w:t>
      </w:r>
    </w:p>
    <w:p>
      <w:r>
        <w:t>CN-03. Contratar y renovar planes: El cliente escoge Día, Quincena, Mensualidad o Pase de Pareja; el personal aplica la vigencia.</w:t>
      </w:r>
    </w:p>
    <w:p>
      <w:r>
        <w:t>CN-04. Recibir y registrar pagos: Se confirma el cobro, se registra el método de pago y se genera la constancia.</w:t>
      </w:r>
    </w:p>
    <w:p>
      <w:r>
        <w:t>CN-05. Registrar gastos: Los egresos operativos quedan identificados para el cierre.</w:t>
      </w:r>
    </w:p>
    <w:p>
      <w:r>
        <w:t>CN-06. Cerrar jornada: Se concilian ingresos y gastos del día, con saldo de caja esperado.</w:t>
      </w:r>
    </w:p>
    <w:p>
      <w:r>
        <w:t>CN-07. Entregar comprobante: El cliente recibe soporte digital y, opcionalmente, impreso.</w:t>
      </w:r>
    </w:p>
    <w:p>
      <w:pPr>
        <w:pStyle w:val="Heading1"/>
      </w:pPr>
      <w:r>
        <w:t>Casos de uso de requerimientos</w:t>
      </w:r>
    </w:p>
    <w:p>
      <w:r>
        <w:t>RP-01. Semáforo de entrada y consulta: Búsqueda por cédula, nombre o celular; se visualiza estado y fecha de vencimiento.</w:t>
      </w:r>
    </w:p>
    <w:p>
      <w:r>
        <w:t>RP-02. Administración de planes: Día, Quincena, Mensualidad y Pase de Pareja; este último vincula dos personas.</w:t>
      </w:r>
    </w:p>
    <w:p>
      <w:r>
        <w:t>RP-03. Registro rápido y renovación: Alta con cédula, nombre y celular; renovación reutilizando datos existentes.</w:t>
      </w:r>
    </w:p>
    <w:p>
      <w:r>
        <w:t>RP-04. Ingresos, gastos y cierre: Registrar entradas y salidas, medio de pago y resumen de la jornada.</w:t>
      </w:r>
    </w:p>
    <w:p>
      <w:r>
        <w:t>RP-05. Comprobante digital: Emitir constancia tras el pago; compartir o imprimir de forma opcional.</w:t>
      </w:r>
    </w:p>
    <w:p>
      <w:r>
        <w:t>Se adjuntan dos diagramas generales, siete individuales de negocio y cinco individuales de requerimientos. Todos están tanto en PNG (visualización) como en Draw.io (edición).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974"/>
        <w:sz w:val="15"/>
      </w:rPr>
      <w:t xml:space="preserve">Simulación académica  ·  25 de octubre de 2026  |  </w:t>
    </w:r>
    <w:r>
      <w:rPr>
        <w:color w:val="5B6974"/>
        <w:sz w:val="15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870"/>
        <w:sz w:val="16"/>
      </w:rPr>
      <w:t>FITLIFE BARRIO  /  CONTROL GYM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87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0F233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