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negocio</w:t>
      </w:r>
    </w:p>
    <w:p>
      <w:pPr>
        <w:pStyle w:val="Subtitle"/>
      </w:pPr>
      <w:r>
        <w:t>Modelos / Negocio · Procesos operativos de FitLife Barrio | Versión 1.1</w:t>
      </w:r>
    </w:p>
    <w:p>
      <w:r>
        <w:rPr>
          <w:b/>
        </w:rPr>
        <w:t xml:space="preserve">Asignatura: </w:t>
      </w:r>
      <w:r>
        <w:t xml:space="preserve">Ingeniería de Software I  </w:t>
      </w:r>
      <w:r>
        <w:rPr>
          <w:b/>
        </w:rPr>
        <w:t xml:space="preserve">·  Docente: </w:t>
      </w:r>
      <w:r>
        <w:t>Olga Lucero Vega Márquez</w:t>
      </w:r>
    </w:p>
    <w:p>
      <w:pPr>
        <w:pStyle w:val="Caption"/>
      </w:pPr>
      <w:r>
        <w:t>Equipo: Johan Santiago Marín Obando · Franky Jhoel Camargo Silva · Juan David Vergaño López</w:t>
      </w:r>
    </w:p>
    <w:p>
      <w:r>
        <w:rPr>
          <w:i/>
        </w:rPr>
        <w:t>Caso de estudio y conversación con cliente SIMULADOS; no representan una entrevista real.</w:t>
      </w:r>
    </w:p>
    <w:p>
      <w:pPr>
        <w:pStyle w:val="Heading1"/>
      </w:pPr>
      <w:r>
        <w:t>1. Delimitación del negocio</w:t>
      </w:r>
    </w:p>
    <w:p>
      <w:r>
        <w:t>FitLife Barrio es un gimnasio de barrio cuyo servicio principal es permitir el acceso mediante modalidades de membresía. El flujo operativo comprende la inscripción, contratación/renovación, consulta de vigencia, cobro, registro de gastos, cierre de jornada y comprobantes. La atención y supervisión las realizan el propietario y el personal de recepción.</w:t>
      </w:r>
    </w:p>
    <w:p>
      <w:pPr>
        <w:pStyle w:val="Heading1"/>
      </w:pPr>
      <w:r>
        <w:t>2. Modelo general de casos de uso de negocio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547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_Negocio_Gen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547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N-01. Vista general de los siete procesos de negocio.</w:t>
      </w:r>
    </w:p>
    <w:p>
      <w:pPr>
        <w:pStyle w:val="Heading1"/>
      </w:pPr>
      <w:r>
        <w:t>3. Casos de uso del negocio: ficha breve por proceso</w:t>
      </w:r>
    </w:p>
    <w:p>
      <w:pPr>
        <w:pStyle w:val="Heading2"/>
      </w:pPr>
      <w:r>
        <w:t>CN-01 · Registrar cliente</w:t>
      </w:r>
    </w:p>
    <w:p>
      <w:r>
        <w:t>El personal recibe datos mínimos y da de alta al nuevo usuario.</w:t>
      </w:r>
    </w:p>
    <w:p>
      <w:r>
        <w:rPr>
          <w:b/>
        </w:rPr>
        <w:t xml:space="preserve">Participantes: </w:t>
      </w:r>
      <w:r>
        <w:t xml:space="preserve">Recepción, propietario o cliente según el flujo.  </w:t>
      </w:r>
      <w:r>
        <w:rPr>
          <w:b/>
        </w:rPr>
        <w:t xml:space="preserve">Resultado: </w:t>
      </w:r>
      <w:r>
        <w:t>Alta en el registro.</w:t>
      </w:r>
    </w:p>
    <w:p>
      <w:pPr>
        <w:pStyle w:val="Heading2"/>
      </w:pPr>
      <w:r>
        <w:t>CN-02 · Verificar membresía</w:t>
      </w:r>
    </w:p>
    <w:p>
      <w:r>
        <w:t>Se busca por cédula, nombre o teléfono y se comprueba si puede ingresar.</w:t>
      </w:r>
    </w:p>
    <w:p>
      <w:r>
        <w:rPr>
          <w:b/>
        </w:rPr>
        <w:t xml:space="preserve">Participantes: </w:t>
      </w:r>
      <w:r>
        <w:t xml:space="preserve">Recepción, propietario o cliente según el flujo.  </w:t>
      </w:r>
      <w:r>
        <w:rPr>
          <w:b/>
        </w:rPr>
        <w:t xml:space="preserve">Resultado: </w:t>
      </w:r>
      <w:r>
        <w:t>Validación de acceso.</w:t>
      </w:r>
    </w:p>
    <w:p>
      <w:pPr>
        <w:pStyle w:val="Heading2"/>
      </w:pPr>
      <w:r>
        <w:t>CN-03 · Contratar y renovar planes</w:t>
      </w:r>
    </w:p>
    <w:p>
      <w:r>
        <w:t>El cliente escoge Día, Quincena, Mensualidad o Pase de Pareja; el personal aplica la vigencia.</w:t>
      </w:r>
    </w:p>
    <w:p>
      <w:r>
        <w:rPr>
          <w:b/>
        </w:rPr>
        <w:t xml:space="preserve">Participantes: </w:t>
      </w:r>
      <w:r>
        <w:t xml:space="preserve">Recepción, propietario o cliente según el flujo.  </w:t>
      </w:r>
      <w:r>
        <w:rPr>
          <w:b/>
        </w:rPr>
        <w:t xml:space="preserve">Resultado: </w:t>
      </w:r>
      <w:r>
        <w:t>Plan/vigencia acordados.</w:t>
      </w:r>
    </w:p>
    <w:p>
      <w:pPr>
        <w:pStyle w:val="Heading2"/>
      </w:pPr>
      <w:r>
        <w:t>CN-04 · Recibir y registrar pagos</w:t>
      </w:r>
    </w:p>
    <w:p>
      <w:r>
        <w:t>Se confirma el cobro, se registra el método de pago y se genera la constancia.</w:t>
      </w:r>
    </w:p>
    <w:p>
      <w:r>
        <w:rPr>
          <w:b/>
        </w:rPr>
        <w:t xml:space="preserve">Participantes: </w:t>
      </w:r>
      <w:r>
        <w:t xml:space="preserve">Recepción, propietario o cliente según el flujo.  </w:t>
      </w:r>
      <w:r>
        <w:rPr>
          <w:b/>
        </w:rPr>
        <w:t xml:space="preserve">Resultado: </w:t>
      </w:r>
      <w:r>
        <w:t>Pago confirmado.</w:t>
      </w:r>
    </w:p>
    <w:p>
      <w:pPr>
        <w:pStyle w:val="Heading2"/>
      </w:pPr>
      <w:r>
        <w:t>CN-05 · Registrar gastos</w:t>
      </w:r>
    </w:p>
    <w:p>
      <w:r>
        <w:t>Los egresos operativos quedan identificados para el cierre.</w:t>
      </w:r>
    </w:p>
    <w:p>
      <w:r>
        <w:rPr>
          <w:b/>
        </w:rPr>
        <w:t xml:space="preserve">Participantes: </w:t>
      </w:r>
      <w:r>
        <w:t xml:space="preserve">Recepción, propietario o cliente según el flujo.  </w:t>
      </w:r>
      <w:r>
        <w:rPr>
          <w:b/>
        </w:rPr>
        <w:t xml:space="preserve">Resultado: </w:t>
      </w:r>
      <w:r>
        <w:t>Gasto declarado.</w:t>
      </w:r>
    </w:p>
    <w:p>
      <w:pPr>
        <w:pStyle w:val="Heading2"/>
      </w:pPr>
      <w:r>
        <w:t>CN-06 · Cerrar jornada</w:t>
      </w:r>
    </w:p>
    <w:p>
      <w:r>
        <w:t>Se concilian ingresos y gastos del día, con saldo de caja esperado.</w:t>
      </w:r>
    </w:p>
    <w:p>
      <w:r>
        <w:rPr>
          <w:b/>
        </w:rPr>
        <w:t xml:space="preserve">Participantes: </w:t>
      </w:r>
      <w:r>
        <w:t xml:space="preserve">Recepción, propietario o cliente según el flujo.  </w:t>
      </w:r>
      <w:r>
        <w:rPr>
          <w:b/>
        </w:rPr>
        <w:t xml:space="preserve">Resultado: </w:t>
      </w:r>
      <w:r>
        <w:t>Cierre revisado.</w:t>
      </w:r>
    </w:p>
    <w:p>
      <w:pPr>
        <w:pStyle w:val="Heading2"/>
      </w:pPr>
      <w:r>
        <w:t>CN-07 · Entregar comprobante</w:t>
      </w:r>
    </w:p>
    <w:p>
      <w:r>
        <w:t>El cliente recibe soporte digital y, opcionalmente, impreso.</w:t>
      </w:r>
    </w:p>
    <w:p>
      <w:r>
        <w:rPr>
          <w:b/>
        </w:rPr>
        <w:t xml:space="preserve">Participantes: </w:t>
      </w:r>
      <w:r>
        <w:t xml:space="preserve">Recepción, propietario o cliente según el flujo.  </w:t>
      </w:r>
      <w:r>
        <w:rPr>
          <w:b/>
        </w:rPr>
        <w:t xml:space="preserve">Resultado: </w:t>
      </w:r>
      <w:r>
        <w:t>Constancia recibida.</w:t>
      </w:r>
    </w:p>
    <w:p>
      <w:pPr>
        <w:pStyle w:val="Heading1"/>
      </w:pPr>
      <w:r>
        <w:t>4. Diagramas individuales y trazabilidad</w:t>
      </w:r>
    </w:p>
    <w:p>
      <w:r>
        <w:t>Los siete diagramas individuales CN-01 a CN-07 están disponibles en diagramas/individuales, en formatos PNG y Draw.io editable. Se diseñaron a partir de los procesos y NO se consideran funcionalidades ya implementadas.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4"/>
        <w:sz w:val="15"/>
      </w:rPr>
      <w:t xml:space="preserve">Simulación académica  ·  25 de octubre de 2026  |  </w:t>
    </w:r>
    <w:r>
      <w:rPr>
        <w:color w:val="5B6974"/>
        <w:sz w:val="15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007870"/>
        <w:sz w:val="16"/>
      </w:rPr>
      <w:t>FITLIFE BARRIO  /  CONTROL GYM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3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F23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