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BB6FF" w14:textId="77777777" w:rsidR="00892438" w:rsidRPr="002B0483" w:rsidRDefault="00840E65" w:rsidP="00840E65">
      <w:pPr>
        <w:pStyle w:val="Ttulo"/>
        <w:jc w:val="center"/>
        <w:rPr>
          <w:rFonts w:ascii="Arial" w:hAnsi="Arial" w:cs="Arial"/>
          <w:color w:val="000000" w:themeColor="text1"/>
          <w:lang w:val="es-419"/>
        </w:rPr>
      </w:pPr>
      <w:r w:rsidRPr="002B0483">
        <w:rPr>
          <w:rFonts w:ascii="Arial" w:hAnsi="Arial" w:cs="Arial"/>
          <w:color w:val="000000" w:themeColor="text1"/>
          <w:lang w:val="es-419"/>
        </w:rPr>
        <w:t>Investigación preliminar del dominio</w:t>
      </w:r>
    </w:p>
    <w:p w14:paraId="10F83154" w14:textId="745D51FD" w:rsidR="00892438" w:rsidRPr="002B0483" w:rsidRDefault="00840E65" w:rsidP="00840E65">
      <w:pPr>
        <w:pStyle w:val="Subttulo"/>
        <w:jc w:val="both"/>
        <w:rPr>
          <w:rFonts w:ascii="Arial" w:hAnsi="Arial" w:cs="Arial"/>
          <w:color w:val="000000" w:themeColor="text1"/>
          <w:lang w:val="es-419"/>
        </w:rPr>
      </w:pPr>
      <w:r w:rsidRPr="002B0483">
        <w:rPr>
          <w:rFonts w:ascii="Arial" w:hAnsi="Arial" w:cs="Arial"/>
          <w:color w:val="000000" w:themeColor="text1"/>
          <w:lang w:val="es-419"/>
        </w:rPr>
        <w:t>Contexto · Fase de inicio del Proceso Unificado</w:t>
      </w:r>
    </w:p>
    <w:p w14:paraId="1896CE1F" w14:textId="77777777" w:rsidR="002E77A8" w:rsidRDefault="00840E65" w:rsidP="00840E65">
      <w:pPr>
        <w:jc w:val="both"/>
        <w:rPr>
          <w:rFonts w:ascii="Arial" w:hAnsi="Arial" w:cs="Arial"/>
          <w:color w:val="000000" w:themeColor="text1"/>
          <w:lang w:val="es-419"/>
        </w:rPr>
      </w:pPr>
      <w:r w:rsidRPr="002B0483">
        <w:rPr>
          <w:rFonts w:ascii="Arial" w:hAnsi="Arial" w:cs="Arial"/>
          <w:b/>
          <w:color w:val="000000" w:themeColor="text1"/>
          <w:lang w:val="es-419"/>
        </w:rPr>
        <w:t xml:space="preserve">Asignatura: </w:t>
      </w:r>
      <w:r w:rsidRPr="002B0483">
        <w:rPr>
          <w:rFonts w:ascii="Arial" w:hAnsi="Arial" w:cs="Arial"/>
          <w:color w:val="000000" w:themeColor="text1"/>
          <w:lang w:val="es-419"/>
        </w:rPr>
        <w:t>Ingeniería de Software I</w:t>
      </w:r>
    </w:p>
    <w:p w14:paraId="1C890B15" w14:textId="5D4E1470" w:rsidR="00892438" w:rsidRPr="002B0483" w:rsidRDefault="00840E65" w:rsidP="00840E65">
      <w:pPr>
        <w:jc w:val="both"/>
        <w:rPr>
          <w:rFonts w:ascii="Arial" w:hAnsi="Arial" w:cs="Arial"/>
          <w:color w:val="000000" w:themeColor="text1"/>
          <w:lang w:val="es-419"/>
        </w:rPr>
      </w:pPr>
      <w:r w:rsidRPr="002B0483">
        <w:rPr>
          <w:rFonts w:ascii="Arial" w:hAnsi="Arial" w:cs="Arial"/>
          <w:b/>
          <w:color w:val="000000" w:themeColor="text1"/>
          <w:lang w:val="es-419"/>
        </w:rPr>
        <w:t xml:space="preserve">Docente: </w:t>
      </w:r>
      <w:r w:rsidRPr="002B0483">
        <w:rPr>
          <w:rFonts w:ascii="Arial" w:hAnsi="Arial" w:cs="Arial"/>
          <w:color w:val="000000" w:themeColor="text1"/>
          <w:lang w:val="es-419"/>
        </w:rPr>
        <w:t>Olga Lucero Vega Márquez</w:t>
      </w:r>
    </w:p>
    <w:p w14:paraId="507AD482" w14:textId="77777777" w:rsidR="00892438" w:rsidRPr="00023E2D" w:rsidRDefault="00840E65" w:rsidP="00840E65">
      <w:pPr>
        <w:pStyle w:val="Descripcin"/>
        <w:jc w:val="both"/>
        <w:rPr>
          <w:rFonts w:ascii="Arial" w:hAnsi="Arial" w:cs="Arial"/>
          <w:b w:val="0"/>
          <w:bCs w:val="0"/>
          <w:color w:val="000000" w:themeColor="text1"/>
          <w:lang w:val="es-419"/>
        </w:rPr>
      </w:pPr>
      <w:r w:rsidRPr="002B0483">
        <w:rPr>
          <w:rFonts w:ascii="Arial" w:hAnsi="Arial" w:cs="Arial"/>
          <w:color w:val="000000" w:themeColor="text1"/>
          <w:lang w:val="es-419"/>
        </w:rPr>
        <w:t xml:space="preserve">Equipo: </w:t>
      </w:r>
      <w:r w:rsidRPr="00023E2D">
        <w:rPr>
          <w:rFonts w:ascii="Arial" w:hAnsi="Arial" w:cs="Arial"/>
          <w:b w:val="0"/>
          <w:bCs w:val="0"/>
          <w:color w:val="000000" w:themeColor="text1"/>
          <w:lang w:val="es-419"/>
        </w:rPr>
        <w:t>Johan Santiago Marín Obando · Franky Jhoel Camargo Silva · Juan David Vergaño López</w:t>
      </w:r>
    </w:p>
    <w:p w14:paraId="13375BB1" w14:textId="2EA043C5" w:rsidR="00892438" w:rsidRPr="002B0483" w:rsidRDefault="00840E65" w:rsidP="00840E65">
      <w:pPr>
        <w:jc w:val="both"/>
        <w:rPr>
          <w:rFonts w:ascii="Arial" w:hAnsi="Arial" w:cs="Arial"/>
          <w:color w:val="000000" w:themeColor="text1"/>
          <w:lang w:val="es-419"/>
        </w:rPr>
      </w:pPr>
      <w:r w:rsidRPr="002B0483">
        <w:rPr>
          <w:rFonts w:ascii="Arial" w:hAnsi="Arial" w:cs="Arial"/>
          <w:i/>
          <w:color w:val="000000" w:themeColor="text1"/>
          <w:lang w:val="es-419"/>
        </w:rPr>
        <w:t xml:space="preserve">Caso de estudio y conversación con cliente </w:t>
      </w:r>
      <w:r w:rsidR="00245265">
        <w:rPr>
          <w:rFonts w:ascii="Arial" w:hAnsi="Arial" w:cs="Arial"/>
          <w:i/>
          <w:color w:val="000000" w:themeColor="text1"/>
          <w:lang w:val="es-419"/>
        </w:rPr>
        <w:t>simulado.</w:t>
      </w:r>
    </w:p>
    <w:p w14:paraId="4DC54E52" w14:textId="77777777" w:rsidR="00892438" w:rsidRPr="002B0483" w:rsidRDefault="00840E65" w:rsidP="00840E65">
      <w:pPr>
        <w:pStyle w:val="Ttulo1"/>
        <w:jc w:val="both"/>
        <w:rPr>
          <w:rFonts w:ascii="Arial" w:hAnsi="Arial" w:cs="Arial"/>
          <w:color w:val="000000" w:themeColor="text1"/>
          <w:lang w:val="es-419"/>
        </w:rPr>
      </w:pPr>
      <w:r w:rsidRPr="002B0483">
        <w:rPr>
          <w:rFonts w:ascii="Arial" w:hAnsi="Arial" w:cs="Arial"/>
          <w:color w:val="000000" w:themeColor="text1"/>
          <w:lang w:val="es-419"/>
        </w:rPr>
        <w:t>1. Dominio y alcance de la investigación</w:t>
      </w:r>
    </w:p>
    <w:p w14:paraId="255A8266" w14:textId="68D3DF28" w:rsidR="00892438" w:rsidRPr="002B0483" w:rsidRDefault="00840E65" w:rsidP="00840E65">
      <w:pPr>
        <w:jc w:val="both"/>
        <w:rPr>
          <w:rFonts w:ascii="Arial" w:hAnsi="Arial" w:cs="Arial"/>
          <w:color w:val="000000" w:themeColor="text1"/>
          <w:lang w:val="es-419"/>
        </w:rPr>
      </w:pPr>
      <w:r w:rsidRPr="002B0483">
        <w:rPr>
          <w:rFonts w:ascii="Arial" w:hAnsi="Arial" w:cs="Arial"/>
          <w:color w:val="000000" w:themeColor="text1"/>
          <w:lang w:val="es-419"/>
        </w:rPr>
        <w:t>El dominio corresponde a la operación de un gimnasio de barrio con venta de accesos por Día, Quincena, Mensualidad y Pase de Pareja. A partir del documento «Control Gym», FitLife Barrio registra manualmente usuarios, vencimientos y dinero en una libreta. Por ello, el dominio que debe comprender el equipo no es el entrenamiento personalizado, sino la atención en la recepción, la gestión de membresías y la conciliación diaria de caja (Equipo del proyecto, 2026).</w:t>
      </w:r>
    </w:p>
    <w:p w14:paraId="1C493808" w14:textId="77777777" w:rsidR="00892438" w:rsidRPr="002B0483" w:rsidRDefault="00840E65" w:rsidP="00840E65">
      <w:pPr>
        <w:jc w:val="both"/>
        <w:rPr>
          <w:rFonts w:ascii="Arial" w:hAnsi="Arial" w:cs="Arial"/>
          <w:color w:val="000000" w:themeColor="text1"/>
          <w:lang w:val="es-419"/>
        </w:rPr>
      </w:pPr>
      <w:r w:rsidRPr="002B0483">
        <w:rPr>
          <w:rFonts w:ascii="Arial" w:hAnsi="Arial" w:cs="Arial"/>
          <w:color w:val="000000" w:themeColor="text1"/>
          <w:lang w:val="es-419"/>
        </w:rPr>
        <w:t>En el sector, el software de gestión suele integrar ficha de miembro, vencimientos, cobros, control de ingreso y reportes. La Organización Mundial de la Salud (2024) explica la importancia social de la actividad física, pero ese panorama sanitario no justifica agregar módulos clínicos ni seguimiento fisiológico al presente proyecto. La funcionalidad ha de responder primero al trabajo concreto que hace el personal de recepción.</w:t>
      </w:r>
    </w:p>
    <w:p w14:paraId="3FF74E7E" w14:textId="77777777" w:rsidR="00892438" w:rsidRPr="002B0483" w:rsidRDefault="00840E65" w:rsidP="00840E65">
      <w:pPr>
        <w:pStyle w:val="Ttulo2"/>
        <w:jc w:val="both"/>
        <w:rPr>
          <w:rFonts w:ascii="Arial" w:hAnsi="Arial" w:cs="Arial"/>
          <w:color w:val="000000" w:themeColor="text1"/>
        </w:rPr>
      </w:pPr>
      <w:r w:rsidRPr="002B0483">
        <w:rPr>
          <w:rFonts w:ascii="Arial" w:hAnsi="Arial" w:cs="Arial"/>
          <w:color w:val="000000" w:themeColor="text1"/>
        </w:rPr>
        <w:t>Procesos operativos identificados</w:t>
      </w:r>
    </w:p>
    <w:p w14:paraId="0D8B0B79" w14:textId="77777777" w:rsidR="00892438" w:rsidRPr="002B0483" w:rsidRDefault="00840E65" w:rsidP="00840E65">
      <w:pPr>
        <w:pStyle w:val="Listaconvietas"/>
        <w:jc w:val="both"/>
        <w:rPr>
          <w:rFonts w:ascii="Arial" w:hAnsi="Arial" w:cs="Arial"/>
          <w:color w:val="000000" w:themeColor="text1"/>
          <w:lang w:val="es-419"/>
        </w:rPr>
      </w:pPr>
      <w:r w:rsidRPr="002B0483">
        <w:rPr>
          <w:rFonts w:ascii="Arial" w:hAnsi="Arial" w:cs="Arial"/>
          <w:color w:val="000000" w:themeColor="text1"/>
          <w:lang w:val="es-419"/>
        </w:rPr>
        <w:t>Inscribir al cliente con cédula, nombre completo y número celular; generar fecha de inscripción.</w:t>
      </w:r>
    </w:p>
    <w:p w14:paraId="2A43D050" w14:textId="77777777" w:rsidR="00892438" w:rsidRPr="002B0483" w:rsidRDefault="00840E65" w:rsidP="00840E65">
      <w:pPr>
        <w:pStyle w:val="Listaconvietas"/>
        <w:jc w:val="both"/>
        <w:rPr>
          <w:rFonts w:ascii="Arial" w:hAnsi="Arial" w:cs="Arial"/>
          <w:color w:val="000000" w:themeColor="text1"/>
          <w:lang w:val="es-419"/>
        </w:rPr>
      </w:pPr>
      <w:r w:rsidRPr="002B0483">
        <w:rPr>
          <w:rFonts w:ascii="Arial" w:hAnsi="Arial" w:cs="Arial"/>
          <w:color w:val="000000" w:themeColor="text1"/>
          <w:lang w:val="es-419"/>
        </w:rPr>
        <w:t>Asignar una modalidad de membresía y, en el Pase de Pareja, relacionar dos clientes.</w:t>
      </w:r>
    </w:p>
    <w:p w14:paraId="069B5F1D" w14:textId="77777777" w:rsidR="00892438" w:rsidRPr="002B0483" w:rsidRDefault="00840E65" w:rsidP="00840E65">
      <w:pPr>
        <w:pStyle w:val="Listaconvietas"/>
        <w:jc w:val="both"/>
        <w:rPr>
          <w:rFonts w:ascii="Arial" w:hAnsi="Arial" w:cs="Arial"/>
          <w:color w:val="000000" w:themeColor="text1"/>
          <w:lang w:val="es-419"/>
        </w:rPr>
      </w:pPr>
      <w:r w:rsidRPr="002B0483">
        <w:rPr>
          <w:rFonts w:ascii="Arial" w:hAnsi="Arial" w:cs="Arial"/>
          <w:color w:val="000000" w:themeColor="text1"/>
          <w:lang w:val="es-419"/>
        </w:rPr>
        <w:t>Consultar por cédula, nombre o teléfono y obtener el semáforo de estado.</w:t>
      </w:r>
    </w:p>
    <w:p w14:paraId="119C8B0B" w14:textId="77777777" w:rsidR="00892438" w:rsidRPr="002B0483" w:rsidRDefault="00840E65" w:rsidP="00840E65">
      <w:pPr>
        <w:pStyle w:val="Listaconvietas"/>
        <w:jc w:val="both"/>
        <w:rPr>
          <w:rFonts w:ascii="Arial" w:hAnsi="Arial" w:cs="Arial"/>
          <w:color w:val="000000" w:themeColor="text1"/>
          <w:lang w:val="es-419"/>
        </w:rPr>
      </w:pPr>
      <w:r w:rsidRPr="002B0483">
        <w:rPr>
          <w:rFonts w:ascii="Arial" w:hAnsi="Arial" w:cs="Arial"/>
          <w:color w:val="000000" w:themeColor="text1"/>
          <w:lang w:val="es-419"/>
        </w:rPr>
        <w:t>Registrar pagos por medio utilizado y gastos del día.</w:t>
      </w:r>
    </w:p>
    <w:p w14:paraId="3D8EDE9E" w14:textId="77777777" w:rsidR="00892438" w:rsidRPr="002B0483" w:rsidRDefault="00840E65" w:rsidP="00840E65">
      <w:pPr>
        <w:pStyle w:val="Listaconvietas"/>
        <w:jc w:val="both"/>
        <w:rPr>
          <w:rFonts w:ascii="Arial" w:hAnsi="Arial" w:cs="Arial"/>
          <w:color w:val="000000" w:themeColor="text1"/>
          <w:lang w:val="es-419"/>
        </w:rPr>
      </w:pPr>
      <w:r w:rsidRPr="002B0483">
        <w:rPr>
          <w:rFonts w:ascii="Arial" w:hAnsi="Arial" w:cs="Arial"/>
          <w:color w:val="000000" w:themeColor="text1"/>
          <w:lang w:val="es-419"/>
        </w:rPr>
        <w:t>Realizar el cierre de caja y ofrecer comprobante digital o impresión opcional.</w:t>
      </w:r>
    </w:p>
    <w:p w14:paraId="2CFF2107" w14:textId="77777777" w:rsidR="00892438" w:rsidRPr="002B0483" w:rsidRDefault="00840E65" w:rsidP="00840E65">
      <w:pPr>
        <w:pStyle w:val="Ttulo1"/>
        <w:jc w:val="both"/>
        <w:rPr>
          <w:rFonts w:ascii="Arial" w:hAnsi="Arial" w:cs="Arial"/>
          <w:color w:val="000000" w:themeColor="text1"/>
        </w:rPr>
      </w:pPr>
      <w:r w:rsidRPr="002B0483">
        <w:rPr>
          <w:rFonts w:ascii="Arial" w:hAnsi="Arial" w:cs="Arial"/>
          <w:color w:val="000000" w:themeColor="text1"/>
        </w:rPr>
        <w:t>2. Soluciones similares existentes</w:t>
      </w:r>
    </w:p>
    <w:tbl>
      <w:tblPr>
        <w:tblStyle w:val="Tablaconcuadrcula4-nfasis3"/>
        <w:tblW w:w="0" w:type="auto"/>
        <w:tblLook w:val="04A0" w:firstRow="1" w:lastRow="0" w:firstColumn="1" w:lastColumn="0" w:noHBand="0" w:noVBand="1"/>
      </w:tblPr>
      <w:tblGrid>
        <w:gridCol w:w="3264"/>
        <w:gridCol w:w="3264"/>
        <w:gridCol w:w="3264"/>
      </w:tblGrid>
      <w:tr w:rsidR="00892438" w:rsidRPr="002B0483" w14:paraId="4D92A75A" w14:textId="77777777" w:rsidTr="004C2E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2A2C3E9" w14:textId="77777777" w:rsidR="00892438" w:rsidRPr="004913BA" w:rsidRDefault="00840E65" w:rsidP="00840E65">
            <w:pPr>
              <w:spacing w:after="40"/>
              <w:jc w:val="both"/>
              <w:rPr>
                <w:rFonts w:ascii="Arial" w:hAnsi="Arial" w:cs="Arial"/>
                <w:color w:val="000000" w:themeColor="text1"/>
              </w:rPr>
            </w:pPr>
            <w:proofErr w:type="spellStart"/>
            <w:r w:rsidRPr="004913BA">
              <w:rPr>
                <w:rFonts w:ascii="Arial" w:hAnsi="Arial" w:cs="Arial"/>
                <w:color w:val="000000" w:themeColor="text1"/>
                <w:sz w:val="17"/>
              </w:rPr>
              <w:t>Solución</w:t>
            </w:r>
            <w:proofErr w:type="spellEnd"/>
          </w:p>
        </w:tc>
        <w:tc>
          <w:tcPr>
            <w:tcW w:w="3264" w:type="dxa"/>
          </w:tcPr>
          <w:p w14:paraId="4942AE97" w14:textId="77777777" w:rsidR="00892438" w:rsidRPr="002B0483" w:rsidRDefault="00840E65" w:rsidP="00840E65">
            <w:pPr>
              <w:spacing w:after="4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Funcionalidades descritas por el proveedor</w:t>
            </w:r>
          </w:p>
        </w:tc>
        <w:tc>
          <w:tcPr>
            <w:tcW w:w="3264" w:type="dxa"/>
          </w:tcPr>
          <w:p w14:paraId="1E30B4BE" w14:textId="77777777" w:rsidR="00892438" w:rsidRPr="002B0483" w:rsidRDefault="00840E65" w:rsidP="00840E65">
            <w:pPr>
              <w:spacing w:after="4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2B0483">
              <w:rPr>
                <w:rFonts w:ascii="Arial" w:hAnsi="Arial" w:cs="Arial"/>
                <w:color w:val="000000" w:themeColor="text1"/>
                <w:sz w:val="17"/>
              </w:rPr>
              <w:t>Lectura crítica para FitLife</w:t>
            </w:r>
          </w:p>
        </w:tc>
      </w:tr>
      <w:tr w:rsidR="00892438" w:rsidRPr="002B0483" w14:paraId="22C05EBE" w14:textId="77777777" w:rsidTr="004C2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E2B08BB" w14:textId="77777777" w:rsidR="00892438" w:rsidRPr="002B0483" w:rsidRDefault="00840E65" w:rsidP="00840E65">
            <w:pPr>
              <w:spacing w:after="40"/>
              <w:jc w:val="both"/>
              <w:rPr>
                <w:rFonts w:ascii="Arial" w:hAnsi="Arial" w:cs="Arial"/>
                <w:color w:val="000000" w:themeColor="text1"/>
              </w:rPr>
            </w:pPr>
            <w:r w:rsidRPr="002B0483">
              <w:rPr>
                <w:rFonts w:ascii="Arial" w:hAnsi="Arial" w:cs="Arial"/>
                <w:color w:val="000000" w:themeColor="text1"/>
                <w:sz w:val="17"/>
              </w:rPr>
              <w:t>GymMaster</w:t>
            </w:r>
          </w:p>
        </w:tc>
        <w:tc>
          <w:tcPr>
            <w:tcW w:w="3264" w:type="dxa"/>
          </w:tcPr>
          <w:p w14:paraId="23FAAA07" w14:textId="77777777" w:rsidR="00892438" w:rsidRPr="002B0483" w:rsidRDefault="00840E65" w:rsidP="00840E65">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Perfiles de miembros, cobro automatizado, reservas y acceso 24/7 (GymMaster, s. f.).</w:t>
            </w:r>
          </w:p>
        </w:tc>
        <w:tc>
          <w:tcPr>
            <w:tcW w:w="3264" w:type="dxa"/>
          </w:tcPr>
          <w:p w14:paraId="62599BF1" w14:textId="77777777" w:rsidR="00892438" w:rsidRPr="002B0483" w:rsidRDefault="00840E65" w:rsidP="00840E65">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Confirma la utilidad de centralizar las membresías; el control físico de puertas no es necesario en esta fase.</w:t>
            </w:r>
          </w:p>
        </w:tc>
      </w:tr>
      <w:tr w:rsidR="00892438" w:rsidRPr="002B0483" w14:paraId="24516D44" w14:textId="77777777" w:rsidTr="004C2EFE">
        <w:tc>
          <w:tcPr>
            <w:cnfStyle w:val="001000000000" w:firstRow="0" w:lastRow="0" w:firstColumn="1" w:lastColumn="0" w:oddVBand="0" w:evenVBand="0" w:oddHBand="0" w:evenHBand="0" w:firstRowFirstColumn="0" w:firstRowLastColumn="0" w:lastRowFirstColumn="0" w:lastRowLastColumn="0"/>
            <w:tcW w:w="3264" w:type="dxa"/>
          </w:tcPr>
          <w:p w14:paraId="48FF71F8" w14:textId="77777777" w:rsidR="00892438" w:rsidRPr="002B0483" w:rsidRDefault="00840E65" w:rsidP="00840E65">
            <w:pPr>
              <w:spacing w:after="40"/>
              <w:jc w:val="both"/>
              <w:rPr>
                <w:rFonts w:ascii="Arial" w:hAnsi="Arial" w:cs="Arial"/>
                <w:color w:val="000000" w:themeColor="text1"/>
              </w:rPr>
            </w:pPr>
            <w:r w:rsidRPr="002B0483">
              <w:rPr>
                <w:rFonts w:ascii="Arial" w:hAnsi="Arial" w:cs="Arial"/>
                <w:color w:val="000000" w:themeColor="text1"/>
                <w:sz w:val="17"/>
              </w:rPr>
              <w:t xml:space="preserve">ABC </w:t>
            </w:r>
            <w:proofErr w:type="spellStart"/>
            <w:r w:rsidRPr="002B0483">
              <w:rPr>
                <w:rFonts w:ascii="Arial" w:hAnsi="Arial" w:cs="Arial"/>
                <w:color w:val="000000" w:themeColor="text1"/>
                <w:sz w:val="17"/>
              </w:rPr>
              <w:t>Glofox</w:t>
            </w:r>
            <w:proofErr w:type="spellEnd"/>
          </w:p>
        </w:tc>
        <w:tc>
          <w:tcPr>
            <w:tcW w:w="3264" w:type="dxa"/>
          </w:tcPr>
          <w:p w14:paraId="0AC413DC" w14:textId="77777777" w:rsidR="00892438" w:rsidRPr="002B0483" w:rsidRDefault="00840E65" w:rsidP="00840E65">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Membresías, facturación, check-in, reservas y reportes (Glofox, s. f.).</w:t>
            </w:r>
          </w:p>
        </w:tc>
        <w:tc>
          <w:tcPr>
            <w:tcW w:w="3264" w:type="dxa"/>
          </w:tcPr>
          <w:p w14:paraId="1F3A8D74" w14:textId="77777777" w:rsidR="00892438" w:rsidRPr="002B0483" w:rsidRDefault="00840E65" w:rsidP="00840E65">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Su amplitud funcional sirve como referencia, no como lista de funciones que haya que copiar.</w:t>
            </w:r>
          </w:p>
        </w:tc>
      </w:tr>
      <w:tr w:rsidR="00892438" w:rsidRPr="002B0483" w14:paraId="070F259D" w14:textId="77777777" w:rsidTr="004C2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2D9802D" w14:textId="77777777" w:rsidR="00892438" w:rsidRPr="002B0483" w:rsidRDefault="00840E65" w:rsidP="00840E65">
            <w:pPr>
              <w:spacing w:after="40"/>
              <w:jc w:val="both"/>
              <w:rPr>
                <w:rFonts w:ascii="Arial" w:hAnsi="Arial" w:cs="Arial"/>
                <w:color w:val="000000" w:themeColor="text1"/>
              </w:rPr>
            </w:pPr>
            <w:r w:rsidRPr="002B0483">
              <w:rPr>
                <w:rFonts w:ascii="Arial" w:hAnsi="Arial" w:cs="Arial"/>
                <w:color w:val="000000" w:themeColor="text1"/>
                <w:sz w:val="17"/>
              </w:rPr>
              <w:t>Mindbody</w:t>
            </w:r>
          </w:p>
        </w:tc>
        <w:tc>
          <w:tcPr>
            <w:tcW w:w="3264" w:type="dxa"/>
          </w:tcPr>
          <w:p w14:paraId="4D171A36" w14:textId="77777777" w:rsidR="00892438" w:rsidRPr="002B0483" w:rsidRDefault="00840E65" w:rsidP="00840E65">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Pagos, reservas, agenda, marketing y reportes (Mindbody, s. f.).</w:t>
            </w:r>
          </w:p>
        </w:tc>
        <w:tc>
          <w:tcPr>
            <w:tcW w:w="3264" w:type="dxa"/>
          </w:tcPr>
          <w:p w14:paraId="0A55579F" w14:textId="77777777" w:rsidR="00892438" w:rsidRPr="002B0483" w:rsidRDefault="00840E65" w:rsidP="00840E65">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El modelo de estudio no requiere agenda de clases ni marketing; incorporarlos aumentaría el alcance.</w:t>
            </w:r>
          </w:p>
        </w:tc>
      </w:tr>
    </w:tbl>
    <w:p w14:paraId="6B22AA03" w14:textId="77777777" w:rsidR="00892438" w:rsidRPr="002B0483" w:rsidRDefault="00892438" w:rsidP="00840E65">
      <w:pPr>
        <w:jc w:val="both"/>
        <w:rPr>
          <w:rFonts w:ascii="Arial" w:hAnsi="Arial" w:cs="Arial"/>
          <w:color w:val="000000" w:themeColor="text1"/>
          <w:lang w:val="es-419"/>
        </w:rPr>
      </w:pPr>
    </w:p>
    <w:p w14:paraId="2BE114DA" w14:textId="77777777" w:rsidR="00892438" w:rsidRDefault="00840E65" w:rsidP="00840E65">
      <w:pPr>
        <w:jc w:val="both"/>
        <w:rPr>
          <w:rFonts w:ascii="Arial" w:hAnsi="Arial" w:cs="Arial"/>
          <w:color w:val="000000" w:themeColor="text1"/>
          <w:lang w:val="es-419"/>
        </w:rPr>
      </w:pPr>
      <w:r w:rsidRPr="00D46DD5">
        <w:rPr>
          <w:rFonts w:ascii="Arial" w:hAnsi="Arial" w:cs="Arial"/>
          <w:b/>
          <w:bCs/>
          <w:color w:val="000000" w:themeColor="text1"/>
          <w:lang w:val="es-419"/>
        </w:rPr>
        <w:t>Conclusión comparativa</w:t>
      </w:r>
      <w:r w:rsidRPr="002B0483">
        <w:rPr>
          <w:rFonts w:ascii="Arial" w:hAnsi="Arial" w:cs="Arial"/>
          <w:color w:val="000000" w:themeColor="text1"/>
          <w:lang w:val="es-419"/>
        </w:rPr>
        <w:t>: las tres soluciones operan sobre procesos afines, pero no se realizó una evaluación de precios, implementación o desempeño. Son referencias funcionales, no recomendaciones comerciales. La solución académica debe priorizar simplicidad, trazabilidad del cobro y consulta de la vigencia.</w:t>
      </w:r>
    </w:p>
    <w:p w14:paraId="4C3B5268" w14:textId="77777777" w:rsidR="002B0483" w:rsidRDefault="002B0483" w:rsidP="00840E65">
      <w:pPr>
        <w:jc w:val="both"/>
        <w:rPr>
          <w:rFonts w:ascii="Arial" w:hAnsi="Arial" w:cs="Arial"/>
          <w:color w:val="000000" w:themeColor="text1"/>
          <w:lang w:val="es-419"/>
        </w:rPr>
      </w:pPr>
    </w:p>
    <w:p w14:paraId="7F6CAD50" w14:textId="77777777" w:rsidR="002B0483" w:rsidRDefault="002B0483" w:rsidP="00840E65">
      <w:pPr>
        <w:jc w:val="both"/>
        <w:rPr>
          <w:rFonts w:ascii="Arial" w:hAnsi="Arial" w:cs="Arial"/>
          <w:color w:val="000000" w:themeColor="text1"/>
          <w:lang w:val="es-419"/>
        </w:rPr>
      </w:pPr>
    </w:p>
    <w:p w14:paraId="01E2D62E" w14:textId="77777777" w:rsidR="002B0483" w:rsidRDefault="002B0483" w:rsidP="00840E65">
      <w:pPr>
        <w:jc w:val="both"/>
        <w:rPr>
          <w:rFonts w:ascii="Arial" w:hAnsi="Arial" w:cs="Arial"/>
          <w:color w:val="000000" w:themeColor="text1"/>
          <w:lang w:val="es-419"/>
        </w:rPr>
      </w:pPr>
    </w:p>
    <w:p w14:paraId="781952C1" w14:textId="77777777" w:rsidR="002B0483" w:rsidRDefault="002B0483" w:rsidP="00840E65">
      <w:pPr>
        <w:jc w:val="both"/>
        <w:rPr>
          <w:rFonts w:ascii="Arial" w:hAnsi="Arial" w:cs="Arial"/>
          <w:color w:val="000000" w:themeColor="text1"/>
          <w:lang w:val="es-419"/>
        </w:rPr>
      </w:pPr>
    </w:p>
    <w:p w14:paraId="5BD8A96A" w14:textId="77777777" w:rsidR="002B0483" w:rsidRPr="002B0483" w:rsidRDefault="002B0483" w:rsidP="00840E65">
      <w:pPr>
        <w:jc w:val="both"/>
        <w:rPr>
          <w:rFonts w:ascii="Arial" w:hAnsi="Arial" w:cs="Arial"/>
          <w:color w:val="000000" w:themeColor="text1"/>
          <w:lang w:val="es-419"/>
        </w:rPr>
      </w:pPr>
    </w:p>
    <w:p w14:paraId="74E9A810" w14:textId="77777777" w:rsidR="00892438" w:rsidRPr="002B0483" w:rsidRDefault="00840E65" w:rsidP="00840E65">
      <w:pPr>
        <w:pStyle w:val="Ttulo1"/>
        <w:jc w:val="both"/>
        <w:rPr>
          <w:rFonts w:ascii="Arial" w:hAnsi="Arial" w:cs="Arial"/>
          <w:color w:val="000000" w:themeColor="text1"/>
          <w:lang w:val="es-419"/>
        </w:rPr>
      </w:pPr>
      <w:r w:rsidRPr="002B0483">
        <w:rPr>
          <w:rFonts w:ascii="Arial" w:hAnsi="Arial" w:cs="Arial"/>
          <w:color w:val="000000" w:themeColor="text1"/>
          <w:lang w:val="es-419"/>
        </w:rPr>
        <w:lastRenderedPageBreak/>
        <w:t>3. Problemas comunes y evidencia del caso</w:t>
      </w:r>
    </w:p>
    <w:tbl>
      <w:tblPr>
        <w:tblStyle w:val="Tablaconcuadrcula4-nfasis3"/>
        <w:tblW w:w="0" w:type="auto"/>
        <w:tblLook w:val="04A0" w:firstRow="1" w:lastRow="0" w:firstColumn="1" w:lastColumn="0" w:noHBand="0" w:noVBand="1"/>
      </w:tblPr>
      <w:tblGrid>
        <w:gridCol w:w="3264"/>
        <w:gridCol w:w="3264"/>
        <w:gridCol w:w="3264"/>
      </w:tblGrid>
      <w:tr w:rsidR="00892438" w:rsidRPr="002B0483" w14:paraId="18CEB779" w14:textId="77777777" w:rsidTr="004C2E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2E168D8" w14:textId="77777777" w:rsidR="00892438" w:rsidRPr="002B0483" w:rsidRDefault="00840E65" w:rsidP="00840E65">
            <w:pPr>
              <w:spacing w:after="40"/>
              <w:jc w:val="both"/>
              <w:rPr>
                <w:rFonts w:ascii="Arial" w:hAnsi="Arial" w:cs="Arial"/>
                <w:color w:val="000000" w:themeColor="text1"/>
              </w:rPr>
            </w:pPr>
            <w:r w:rsidRPr="002B0483">
              <w:rPr>
                <w:rFonts w:ascii="Arial" w:hAnsi="Arial" w:cs="Arial"/>
                <w:color w:val="000000" w:themeColor="text1"/>
                <w:sz w:val="17"/>
              </w:rPr>
              <w:t>Problema de la operación</w:t>
            </w:r>
          </w:p>
        </w:tc>
        <w:tc>
          <w:tcPr>
            <w:tcW w:w="3264" w:type="dxa"/>
          </w:tcPr>
          <w:p w14:paraId="5C800A32" w14:textId="77777777" w:rsidR="00892438" w:rsidRPr="002B0483" w:rsidRDefault="00840E65" w:rsidP="00840E65">
            <w:pPr>
              <w:spacing w:after="4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2B0483">
              <w:rPr>
                <w:rFonts w:ascii="Arial" w:hAnsi="Arial" w:cs="Arial"/>
                <w:color w:val="000000" w:themeColor="text1"/>
                <w:sz w:val="17"/>
              </w:rPr>
              <w:t>Impacto sobre el negocio</w:t>
            </w:r>
          </w:p>
        </w:tc>
        <w:tc>
          <w:tcPr>
            <w:tcW w:w="3264" w:type="dxa"/>
          </w:tcPr>
          <w:p w14:paraId="3714174D" w14:textId="77777777" w:rsidR="00892438" w:rsidRPr="002B0483" w:rsidRDefault="00840E65" w:rsidP="00840E65">
            <w:pPr>
              <w:spacing w:after="40"/>
              <w:jc w:val="both"/>
              <w:cnfStyle w:val="100000000000" w:firstRow="1" w:lastRow="0" w:firstColumn="0" w:lastColumn="0" w:oddVBand="0" w:evenVBand="0" w:oddHBand="0" w:evenHBand="0" w:firstRowFirstColumn="0" w:firstRowLastColumn="0" w:lastRowFirstColumn="0" w:lastRowLastColumn="0"/>
              <w:rPr>
                <w:rFonts w:ascii="Arial" w:hAnsi="Arial" w:cs="Arial"/>
                <w:color w:val="000000" w:themeColor="text1"/>
              </w:rPr>
            </w:pPr>
            <w:r w:rsidRPr="002B0483">
              <w:rPr>
                <w:rFonts w:ascii="Arial" w:hAnsi="Arial" w:cs="Arial"/>
                <w:color w:val="000000" w:themeColor="text1"/>
                <w:sz w:val="17"/>
              </w:rPr>
              <w:t>Respuesta prevista</w:t>
            </w:r>
          </w:p>
        </w:tc>
      </w:tr>
      <w:tr w:rsidR="00892438" w:rsidRPr="002B0483" w14:paraId="48515459" w14:textId="77777777" w:rsidTr="004C2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D614FE8" w14:textId="77777777" w:rsidR="00892438" w:rsidRPr="002B0483" w:rsidRDefault="00840E65" w:rsidP="00840E65">
            <w:pPr>
              <w:spacing w:after="40"/>
              <w:jc w:val="both"/>
              <w:rPr>
                <w:rFonts w:ascii="Arial" w:hAnsi="Arial" w:cs="Arial"/>
                <w:color w:val="000000" w:themeColor="text1"/>
              </w:rPr>
            </w:pPr>
            <w:r w:rsidRPr="002B0483">
              <w:rPr>
                <w:rFonts w:ascii="Arial" w:hAnsi="Arial" w:cs="Arial"/>
                <w:color w:val="000000" w:themeColor="text1"/>
                <w:sz w:val="17"/>
              </w:rPr>
              <w:t>Información en libreta</w:t>
            </w:r>
          </w:p>
        </w:tc>
        <w:tc>
          <w:tcPr>
            <w:tcW w:w="3264" w:type="dxa"/>
          </w:tcPr>
          <w:p w14:paraId="294364E7" w14:textId="77777777" w:rsidR="00892438" w:rsidRPr="002B0483" w:rsidRDefault="00840E65" w:rsidP="00840E65">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Búsquedas lentas, extravíos y registros difíciles de contrastar.</w:t>
            </w:r>
          </w:p>
        </w:tc>
        <w:tc>
          <w:tcPr>
            <w:tcW w:w="3264" w:type="dxa"/>
          </w:tcPr>
          <w:p w14:paraId="1982C1CB" w14:textId="77777777" w:rsidR="00892438" w:rsidRPr="002B0483" w:rsidRDefault="00840E65" w:rsidP="00840E65">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Ficha digital consultable (RP-03) y búsqueda (RP-01).</w:t>
            </w:r>
          </w:p>
        </w:tc>
      </w:tr>
      <w:tr w:rsidR="00892438" w:rsidRPr="002B0483" w14:paraId="2BD32CEC" w14:textId="77777777" w:rsidTr="004C2EFE">
        <w:tc>
          <w:tcPr>
            <w:cnfStyle w:val="001000000000" w:firstRow="0" w:lastRow="0" w:firstColumn="1" w:lastColumn="0" w:oddVBand="0" w:evenVBand="0" w:oddHBand="0" w:evenHBand="0" w:firstRowFirstColumn="0" w:firstRowLastColumn="0" w:lastRowFirstColumn="0" w:lastRowLastColumn="0"/>
            <w:tcW w:w="3264" w:type="dxa"/>
          </w:tcPr>
          <w:p w14:paraId="731DBEBC" w14:textId="77777777" w:rsidR="00892438" w:rsidRPr="002B0483" w:rsidRDefault="00840E65" w:rsidP="00840E65">
            <w:pPr>
              <w:spacing w:after="40"/>
              <w:jc w:val="both"/>
              <w:rPr>
                <w:rFonts w:ascii="Arial" w:hAnsi="Arial" w:cs="Arial"/>
                <w:color w:val="000000" w:themeColor="text1"/>
              </w:rPr>
            </w:pPr>
            <w:proofErr w:type="spellStart"/>
            <w:r w:rsidRPr="002B0483">
              <w:rPr>
                <w:rFonts w:ascii="Arial" w:hAnsi="Arial" w:cs="Arial"/>
                <w:color w:val="000000" w:themeColor="text1"/>
                <w:sz w:val="17"/>
              </w:rPr>
              <w:t>Fechas</w:t>
            </w:r>
            <w:proofErr w:type="spellEnd"/>
            <w:r w:rsidRPr="002B0483">
              <w:rPr>
                <w:rFonts w:ascii="Arial" w:hAnsi="Arial" w:cs="Arial"/>
                <w:color w:val="000000" w:themeColor="text1"/>
                <w:sz w:val="17"/>
              </w:rPr>
              <w:t xml:space="preserve"> de </w:t>
            </w:r>
            <w:proofErr w:type="spellStart"/>
            <w:r w:rsidRPr="002B0483">
              <w:rPr>
                <w:rFonts w:ascii="Arial" w:hAnsi="Arial" w:cs="Arial"/>
                <w:color w:val="000000" w:themeColor="text1"/>
                <w:sz w:val="17"/>
              </w:rPr>
              <w:t>vencimiento</w:t>
            </w:r>
            <w:proofErr w:type="spellEnd"/>
            <w:r w:rsidRPr="002B0483">
              <w:rPr>
                <w:rFonts w:ascii="Arial" w:hAnsi="Arial" w:cs="Arial"/>
                <w:color w:val="000000" w:themeColor="text1"/>
                <w:sz w:val="17"/>
              </w:rPr>
              <w:t xml:space="preserve"> </w:t>
            </w:r>
            <w:proofErr w:type="spellStart"/>
            <w:r w:rsidRPr="002B0483">
              <w:rPr>
                <w:rFonts w:ascii="Arial" w:hAnsi="Arial" w:cs="Arial"/>
                <w:color w:val="000000" w:themeColor="text1"/>
                <w:sz w:val="17"/>
              </w:rPr>
              <w:t>dispersas</w:t>
            </w:r>
            <w:proofErr w:type="spellEnd"/>
          </w:p>
        </w:tc>
        <w:tc>
          <w:tcPr>
            <w:tcW w:w="3264" w:type="dxa"/>
          </w:tcPr>
          <w:p w14:paraId="572B1B6C" w14:textId="77777777" w:rsidR="00892438" w:rsidRPr="002B0483" w:rsidRDefault="00840E65" w:rsidP="00840E65">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Confusión al autorizar ingresos y al solicitar renovaciones.</w:t>
            </w:r>
          </w:p>
        </w:tc>
        <w:tc>
          <w:tcPr>
            <w:tcW w:w="3264" w:type="dxa"/>
          </w:tcPr>
          <w:p w14:paraId="2BC7D215" w14:textId="77777777" w:rsidR="00892438" w:rsidRPr="002B0483" w:rsidRDefault="00840E65" w:rsidP="00840E65">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Semáforo de vigencia (RP-01), planes (RP-02).</w:t>
            </w:r>
          </w:p>
        </w:tc>
      </w:tr>
      <w:tr w:rsidR="00892438" w:rsidRPr="002B0483" w14:paraId="38020A14" w14:textId="77777777" w:rsidTr="004C2E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F6F238A" w14:textId="77777777" w:rsidR="00892438" w:rsidRPr="002B0483" w:rsidRDefault="00840E65" w:rsidP="00840E65">
            <w:pPr>
              <w:spacing w:after="40"/>
              <w:jc w:val="both"/>
              <w:rPr>
                <w:rFonts w:ascii="Arial" w:hAnsi="Arial" w:cs="Arial"/>
                <w:color w:val="000000" w:themeColor="text1"/>
              </w:rPr>
            </w:pPr>
            <w:proofErr w:type="spellStart"/>
            <w:r w:rsidRPr="002B0483">
              <w:rPr>
                <w:rFonts w:ascii="Arial" w:hAnsi="Arial" w:cs="Arial"/>
                <w:color w:val="000000" w:themeColor="text1"/>
                <w:sz w:val="17"/>
              </w:rPr>
              <w:t>Movimientos</w:t>
            </w:r>
            <w:proofErr w:type="spellEnd"/>
            <w:r w:rsidRPr="002B0483">
              <w:rPr>
                <w:rFonts w:ascii="Arial" w:hAnsi="Arial" w:cs="Arial"/>
                <w:color w:val="000000" w:themeColor="text1"/>
                <w:sz w:val="17"/>
              </w:rPr>
              <w:t xml:space="preserve"> </w:t>
            </w:r>
            <w:proofErr w:type="spellStart"/>
            <w:r w:rsidRPr="002B0483">
              <w:rPr>
                <w:rFonts w:ascii="Arial" w:hAnsi="Arial" w:cs="Arial"/>
                <w:color w:val="000000" w:themeColor="text1"/>
                <w:sz w:val="17"/>
              </w:rPr>
              <w:t>económicos</w:t>
            </w:r>
            <w:proofErr w:type="spellEnd"/>
            <w:r w:rsidRPr="002B0483">
              <w:rPr>
                <w:rFonts w:ascii="Arial" w:hAnsi="Arial" w:cs="Arial"/>
                <w:color w:val="000000" w:themeColor="text1"/>
                <w:sz w:val="17"/>
              </w:rPr>
              <w:t xml:space="preserve"> </w:t>
            </w:r>
            <w:proofErr w:type="spellStart"/>
            <w:r w:rsidRPr="002B0483">
              <w:rPr>
                <w:rFonts w:ascii="Arial" w:hAnsi="Arial" w:cs="Arial"/>
                <w:color w:val="000000" w:themeColor="text1"/>
                <w:sz w:val="17"/>
              </w:rPr>
              <w:t>separados</w:t>
            </w:r>
            <w:proofErr w:type="spellEnd"/>
          </w:p>
        </w:tc>
        <w:tc>
          <w:tcPr>
            <w:tcW w:w="3264" w:type="dxa"/>
          </w:tcPr>
          <w:p w14:paraId="45B33BC0" w14:textId="77777777" w:rsidR="00892438" w:rsidRPr="002B0483" w:rsidRDefault="00840E65" w:rsidP="00840E65">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Descuadre y poca visibilidad del efectivo esperado.</w:t>
            </w:r>
          </w:p>
        </w:tc>
        <w:tc>
          <w:tcPr>
            <w:tcW w:w="3264" w:type="dxa"/>
          </w:tcPr>
          <w:p w14:paraId="08080DB2" w14:textId="77777777" w:rsidR="00892438" w:rsidRPr="002B0483" w:rsidRDefault="00840E65" w:rsidP="00840E65">
            <w:pPr>
              <w:spacing w:after="40"/>
              <w:jc w:val="both"/>
              <w:cnfStyle w:val="000000100000" w:firstRow="0" w:lastRow="0" w:firstColumn="0" w:lastColumn="0" w:oddVBand="0" w:evenVBand="0" w:oddHBand="1"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Ingresos, gastos y cierre de caja (RP-04).</w:t>
            </w:r>
          </w:p>
        </w:tc>
      </w:tr>
      <w:tr w:rsidR="00892438" w:rsidRPr="002B0483" w14:paraId="145F37EC" w14:textId="77777777" w:rsidTr="004C2EFE">
        <w:tc>
          <w:tcPr>
            <w:cnfStyle w:val="001000000000" w:firstRow="0" w:lastRow="0" w:firstColumn="1" w:lastColumn="0" w:oddVBand="0" w:evenVBand="0" w:oddHBand="0" w:evenHBand="0" w:firstRowFirstColumn="0" w:firstRowLastColumn="0" w:lastRowFirstColumn="0" w:lastRowLastColumn="0"/>
            <w:tcW w:w="3264" w:type="dxa"/>
          </w:tcPr>
          <w:p w14:paraId="414985BF" w14:textId="77777777" w:rsidR="00892438" w:rsidRPr="002B0483" w:rsidRDefault="00840E65" w:rsidP="00840E65">
            <w:pPr>
              <w:spacing w:after="40"/>
              <w:jc w:val="both"/>
              <w:rPr>
                <w:rFonts w:ascii="Arial" w:hAnsi="Arial" w:cs="Arial"/>
                <w:color w:val="000000" w:themeColor="text1"/>
              </w:rPr>
            </w:pPr>
            <w:proofErr w:type="spellStart"/>
            <w:r w:rsidRPr="002B0483">
              <w:rPr>
                <w:rFonts w:ascii="Arial" w:hAnsi="Arial" w:cs="Arial"/>
                <w:color w:val="000000" w:themeColor="text1"/>
                <w:sz w:val="17"/>
              </w:rPr>
              <w:t>Comprobación</w:t>
            </w:r>
            <w:proofErr w:type="spellEnd"/>
            <w:r w:rsidRPr="002B0483">
              <w:rPr>
                <w:rFonts w:ascii="Arial" w:hAnsi="Arial" w:cs="Arial"/>
                <w:color w:val="000000" w:themeColor="text1"/>
                <w:sz w:val="17"/>
              </w:rPr>
              <w:t xml:space="preserve"> manual del </w:t>
            </w:r>
            <w:proofErr w:type="spellStart"/>
            <w:r w:rsidRPr="002B0483">
              <w:rPr>
                <w:rFonts w:ascii="Arial" w:hAnsi="Arial" w:cs="Arial"/>
                <w:color w:val="000000" w:themeColor="text1"/>
                <w:sz w:val="17"/>
              </w:rPr>
              <w:t>pago</w:t>
            </w:r>
            <w:proofErr w:type="spellEnd"/>
          </w:p>
        </w:tc>
        <w:tc>
          <w:tcPr>
            <w:tcW w:w="3264" w:type="dxa"/>
          </w:tcPr>
          <w:p w14:paraId="3C9CBA1E" w14:textId="77777777" w:rsidR="00892438" w:rsidRPr="002B0483" w:rsidRDefault="00840E65" w:rsidP="00840E65">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lang w:val="es-419"/>
              </w:rPr>
            </w:pPr>
            <w:r w:rsidRPr="002B0483">
              <w:rPr>
                <w:rFonts w:ascii="Arial" w:hAnsi="Arial" w:cs="Arial"/>
                <w:color w:val="000000" w:themeColor="text1"/>
                <w:sz w:val="17"/>
                <w:lang w:val="es-419"/>
              </w:rPr>
              <w:t>Mayor esfuerzo para acreditar una transacción.</w:t>
            </w:r>
          </w:p>
        </w:tc>
        <w:tc>
          <w:tcPr>
            <w:tcW w:w="3264" w:type="dxa"/>
          </w:tcPr>
          <w:p w14:paraId="639CE08C" w14:textId="77777777" w:rsidR="00892438" w:rsidRPr="002B0483" w:rsidRDefault="00840E65" w:rsidP="00840E65">
            <w:pPr>
              <w:spacing w:after="40"/>
              <w:jc w:val="both"/>
              <w:cnfStyle w:val="000000000000" w:firstRow="0" w:lastRow="0" w:firstColumn="0" w:lastColumn="0" w:oddVBand="0" w:evenVBand="0" w:oddHBand="0" w:evenHBand="0" w:firstRowFirstColumn="0" w:firstRowLastColumn="0" w:lastRowFirstColumn="0" w:lastRowLastColumn="0"/>
              <w:rPr>
                <w:rFonts w:ascii="Arial" w:hAnsi="Arial" w:cs="Arial"/>
                <w:color w:val="000000" w:themeColor="text1"/>
              </w:rPr>
            </w:pPr>
            <w:r w:rsidRPr="002B0483">
              <w:rPr>
                <w:rFonts w:ascii="Arial" w:hAnsi="Arial" w:cs="Arial"/>
                <w:color w:val="000000" w:themeColor="text1"/>
                <w:sz w:val="17"/>
              </w:rPr>
              <w:t>Constancia digital (RP-05).</w:t>
            </w:r>
          </w:p>
        </w:tc>
      </w:tr>
    </w:tbl>
    <w:p w14:paraId="23F12324" w14:textId="77777777" w:rsidR="00892438" w:rsidRPr="002B0483" w:rsidRDefault="00892438" w:rsidP="00840E65">
      <w:pPr>
        <w:jc w:val="both"/>
        <w:rPr>
          <w:rFonts w:ascii="Arial" w:hAnsi="Arial" w:cs="Arial"/>
          <w:color w:val="000000" w:themeColor="text1"/>
        </w:rPr>
      </w:pPr>
    </w:p>
    <w:p w14:paraId="7E8F93D0" w14:textId="77777777" w:rsidR="00892438" w:rsidRPr="002B0483" w:rsidRDefault="00840E65" w:rsidP="00840E65">
      <w:pPr>
        <w:pStyle w:val="Ttulo1"/>
        <w:jc w:val="both"/>
        <w:rPr>
          <w:rFonts w:ascii="Arial" w:hAnsi="Arial" w:cs="Arial"/>
          <w:color w:val="000000" w:themeColor="text1"/>
          <w:lang w:val="es-419"/>
        </w:rPr>
      </w:pPr>
      <w:r w:rsidRPr="002B0483">
        <w:rPr>
          <w:rFonts w:ascii="Arial" w:hAnsi="Arial" w:cs="Arial"/>
          <w:color w:val="000000" w:themeColor="text1"/>
          <w:lang w:val="es-419"/>
        </w:rPr>
        <w:t>4. Tendencias tecnológicas relevantes</w:t>
      </w:r>
    </w:p>
    <w:p w14:paraId="652686C6" w14:textId="77777777" w:rsidR="00892438" w:rsidRPr="002B0483" w:rsidRDefault="00840E65" w:rsidP="00840E65">
      <w:pPr>
        <w:jc w:val="both"/>
        <w:rPr>
          <w:rFonts w:ascii="Arial" w:hAnsi="Arial" w:cs="Arial"/>
          <w:color w:val="000000" w:themeColor="text1"/>
          <w:lang w:val="es-419"/>
        </w:rPr>
      </w:pPr>
      <w:r w:rsidRPr="002B0483">
        <w:rPr>
          <w:rFonts w:ascii="Arial" w:hAnsi="Arial" w:cs="Arial"/>
          <w:color w:val="000000" w:themeColor="text1"/>
          <w:lang w:val="es-419"/>
        </w:rPr>
        <w:t>El American College of Sports Medicine (2025) sitúa entre las tendencias de 2026 la tecnología vestible y las aplicaciones móviles de ejercicio. Estas tendencias sirven para entender el entorno digital del fitness, pero no sustituyen el diagnóstico local: FitLife Barrio necesita, ante todo, digitalización administrativa. Una primera interfaz web ligera, con búsqueda accesible y estados visuales, tiene mayor relación con los problemas observados que una integración con dispositivos vestibles.</w:t>
      </w:r>
    </w:p>
    <w:p w14:paraId="120D4FA5" w14:textId="77777777" w:rsidR="00892438" w:rsidRPr="002B0483" w:rsidRDefault="00840E65" w:rsidP="00840E65">
      <w:pPr>
        <w:jc w:val="both"/>
        <w:rPr>
          <w:rFonts w:ascii="Arial" w:hAnsi="Arial" w:cs="Arial"/>
          <w:color w:val="000000" w:themeColor="text1"/>
          <w:lang w:val="es-419"/>
        </w:rPr>
      </w:pPr>
      <w:r w:rsidRPr="002B0483">
        <w:rPr>
          <w:rFonts w:ascii="Arial" w:hAnsi="Arial" w:cs="Arial"/>
          <w:color w:val="000000" w:themeColor="text1"/>
          <w:lang w:val="es-419"/>
        </w:rPr>
        <w:t>En cuanto a seguridad, OWASP (2025) publica ASVS 5.0 como referencia para verificar controles de aplicaciones web. No supone que el prototipo local cumpla esa norma: antes de operar con información real deberán definirse autenticación, permisos, copias de respaldo, registro de operaciones y manejo seguro de datos.</w:t>
      </w:r>
    </w:p>
    <w:p w14:paraId="23B52E22" w14:textId="77777777" w:rsidR="00892438" w:rsidRPr="002B0483" w:rsidRDefault="00840E65" w:rsidP="00840E65">
      <w:pPr>
        <w:pStyle w:val="Ttulo1"/>
        <w:jc w:val="both"/>
        <w:rPr>
          <w:rFonts w:ascii="Arial" w:hAnsi="Arial" w:cs="Arial"/>
          <w:color w:val="000000" w:themeColor="text1"/>
          <w:lang w:val="es-419"/>
        </w:rPr>
      </w:pPr>
      <w:r w:rsidRPr="002B0483">
        <w:rPr>
          <w:rFonts w:ascii="Arial" w:hAnsi="Arial" w:cs="Arial"/>
          <w:color w:val="000000" w:themeColor="text1"/>
          <w:lang w:val="es-419"/>
        </w:rPr>
        <w:t>5. Obligaciones y restricciones relevantes en Colombia</w:t>
      </w:r>
    </w:p>
    <w:p w14:paraId="78B782E0" w14:textId="77777777" w:rsidR="00892438" w:rsidRPr="002B0483" w:rsidRDefault="00840E65" w:rsidP="00840E65">
      <w:pPr>
        <w:jc w:val="both"/>
        <w:rPr>
          <w:rFonts w:ascii="Arial" w:hAnsi="Arial" w:cs="Arial"/>
          <w:color w:val="000000" w:themeColor="text1"/>
          <w:lang w:val="es-419"/>
        </w:rPr>
      </w:pPr>
      <w:r w:rsidRPr="002B0483">
        <w:rPr>
          <w:rFonts w:ascii="Arial" w:hAnsi="Arial" w:cs="Arial"/>
          <w:color w:val="000000" w:themeColor="text1"/>
          <w:lang w:val="es-419"/>
        </w:rPr>
        <w:t>La Ley 1581 de 2012 regula el tratamiento de datos personales. Registrar cédula, celular y datos de contacto exige definir finalidad, autorización, seguridad y acceso restringido conforme a la norma (Congreso de Colombia, 2012). En la maqueta se usan registros ficticios y almacenamiento local con fines de demostración, no una base de datos de clientes reales.</w:t>
      </w:r>
    </w:p>
    <w:p w14:paraId="21C8CACC" w14:textId="1C4D9ACE" w:rsidR="00892438" w:rsidRPr="002B0483" w:rsidRDefault="00840E65" w:rsidP="00840E65">
      <w:pPr>
        <w:jc w:val="both"/>
        <w:rPr>
          <w:rFonts w:ascii="Arial" w:hAnsi="Arial" w:cs="Arial"/>
          <w:color w:val="000000" w:themeColor="text1"/>
          <w:lang w:val="es-419"/>
        </w:rPr>
      </w:pPr>
      <w:r w:rsidRPr="002B0483">
        <w:rPr>
          <w:rFonts w:ascii="Arial" w:hAnsi="Arial" w:cs="Arial"/>
          <w:color w:val="000000" w:themeColor="text1"/>
          <w:lang w:val="es-419"/>
        </w:rPr>
        <w:t>No se presupone uso de biometría, torniquetes, reconocimiento facial ni captación de datos de salud. El documento base excluye expresamente el control automático de puertas y los lectores físicos en la primera etapa.</w:t>
      </w:r>
    </w:p>
    <w:p w14:paraId="2F18C795" w14:textId="77777777" w:rsidR="00892438" w:rsidRPr="002B0483" w:rsidRDefault="00840E65" w:rsidP="00840E65">
      <w:pPr>
        <w:pStyle w:val="Ttulo1"/>
        <w:jc w:val="both"/>
        <w:rPr>
          <w:rFonts w:ascii="Arial" w:hAnsi="Arial" w:cs="Arial"/>
          <w:color w:val="000000" w:themeColor="text1"/>
          <w:lang w:val="es-419"/>
        </w:rPr>
      </w:pPr>
      <w:r w:rsidRPr="002B0483">
        <w:rPr>
          <w:rFonts w:ascii="Arial" w:hAnsi="Arial" w:cs="Arial"/>
          <w:color w:val="000000" w:themeColor="text1"/>
          <w:lang w:val="es-419"/>
        </w:rPr>
        <w:t>6. Análisis crítico y conclusiones</w:t>
      </w:r>
    </w:p>
    <w:p w14:paraId="64AD5FF1" w14:textId="5ED7D780" w:rsidR="00892438" w:rsidRPr="002B0483" w:rsidRDefault="00840E65" w:rsidP="00840E65">
      <w:pPr>
        <w:jc w:val="both"/>
        <w:rPr>
          <w:rFonts w:ascii="Arial" w:hAnsi="Arial" w:cs="Arial"/>
          <w:color w:val="000000" w:themeColor="text1"/>
          <w:lang w:val="es-419"/>
        </w:rPr>
      </w:pPr>
      <w:r w:rsidRPr="002B0483">
        <w:rPr>
          <w:rFonts w:ascii="Arial" w:hAnsi="Arial" w:cs="Arial"/>
          <w:color w:val="000000" w:themeColor="text1"/>
          <w:lang w:val="es-419"/>
        </w:rPr>
        <w:t>La hipótesis principal es que una única pantalla de consulta de vigencia, conectada con el registro y la renovación del cliente, reducirá pasos manuales; sin embargo, su utilidad deberá comprobarse mediante tareas en la recepción. La funcionalidad de caja también debe ensayarse con ejemplos mixtos de efectivo y transferencia para no confundir “ventas” con “dinero disponible en efectivo”.</w:t>
      </w:r>
    </w:p>
    <w:p w14:paraId="6A467EF5" w14:textId="77777777" w:rsidR="00892438" w:rsidRPr="002B0483" w:rsidRDefault="00840E65" w:rsidP="00840E65">
      <w:pPr>
        <w:jc w:val="both"/>
        <w:rPr>
          <w:rFonts w:ascii="Arial" w:hAnsi="Arial" w:cs="Arial"/>
          <w:color w:val="000000" w:themeColor="text1"/>
          <w:lang w:val="es-419"/>
        </w:rPr>
      </w:pPr>
      <w:r w:rsidRPr="002B0483">
        <w:rPr>
          <w:rFonts w:ascii="Arial" w:hAnsi="Arial" w:cs="Arial"/>
          <w:color w:val="000000" w:themeColor="text1"/>
          <w:lang w:val="es-419"/>
        </w:rPr>
        <w:t>El proyecto debe negociar las decisiones no resueltas por el documento base: umbral del color amarillo, duración exacta del plan Día y Pase de Pareja, precios, renovación anticipada, gestión de diferencias al cierre y canal de entrega del comprobante. Se presentan como preguntas a la persona entrevistada y solo adquieren valor de decisión en la simulación formal documentada.</w:t>
      </w:r>
    </w:p>
    <w:p w14:paraId="2D81781D" w14:textId="77777777" w:rsidR="00892438" w:rsidRPr="002B0483" w:rsidRDefault="00840E65" w:rsidP="00840E65">
      <w:pPr>
        <w:jc w:val="both"/>
        <w:rPr>
          <w:rFonts w:ascii="Arial" w:hAnsi="Arial" w:cs="Arial"/>
          <w:color w:val="000000" w:themeColor="text1"/>
          <w:lang w:val="es-419"/>
        </w:rPr>
      </w:pPr>
      <w:r w:rsidRPr="002B0483">
        <w:rPr>
          <w:rFonts w:ascii="Arial" w:hAnsi="Arial" w:cs="Arial"/>
          <w:color w:val="000000" w:themeColor="text1"/>
          <w:lang w:val="es-419"/>
        </w:rPr>
        <w:t>Síntesis: la mejor primera versión no es la que imita al software comercial más completo, sino la que implementa RG-01 mediante RP-01 a RP-05, conserva las restricciones y muestra al cliente un recorrido verificable desde el alta hasta el comprobante.</w:t>
      </w:r>
    </w:p>
    <w:p w14:paraId="5B66C0AA" w14:textId="77777777" w:rsidR="00840E65" w:rsidRPr="002B0483" w:rsidRDefault="00840E65" w:rsidP="00840E65">
      <w:pPr>
        <w:jc w:val="both"/>
        <w:rPr>
          <w:rFonts w:ascii="Arial" w:hAnsi="Arial" w:cs="Arial"/>
          <w:color w:val="000000" w:themeColor="text1"/>
          <w:lang w:val="es-419"/>
        </w:rPr>
      </w:pPr>
    </w:p>
    <w:p w14:paraId="095B5469" w14:textId="77777777" w:rsidR="00840E65" w:rsidRPr="002B0483" w:rsidRDefault="00840E65" w:rsidP="00840E65">
      <w:pPr>
        <w:jc w:val="both"/>
        <w:rPr>
          <w:rFonts w:ascii="Arial" w:hAnsi="Arial" w:cs="Arial"/>
          <w:color w:val="000000" w:themeColor="text1"/>
          <w:lang w:val="es-419"/>
        </w:rPr>
      </w:pPr>
    </w:p>
    <w:p w14:paraId="1F9D6193" w14:textId="77777777" w:rsidR="00840E65" w:rsidRPr="002B0483" w:rsidRDefault="00840E65" w:rsidP="00840E65">
      <w:pPr>
        <w:jc w:val="both"/>
        <w:rPr>
          <w:rFonts w:ascii="Arial" w:hAnsi="Arial" w:cs="Arial"/>
          <w:color w:val="000000" w:themeColor="text1"/>
          <w:lang w:val="es-419"/>
        </w:rPr>
      </w:pPr>
    </w:p>
    <w:p w14:paraId="5AE9B4B8" w14:textId="0A1F62EC" w:rsidR="00892438" w:rsidRPr="002B0483" w:rsidRDefault="00840E65" w:rsidP="00840E65">
      <w:pPr>
        <w:pStyle w:val="Ttulo1"/>
        <w:jc w:val="both"/>
        <w:rPr>
          <w:rFonts w:ascii="Arial" w:hAnsi="Arial" w:cs="Arial"/>
          <w:color w:val="000000" w:themeColor="text1"/>
          <w:lang w:val="es-419"/>
        </w:rPr>
      </w:pPr>
      <w:r w:rsidRPr="002B0483">
        <w:rPr>
          <w:rFonts w:ascii="Arial" w:hAnsi="Arial" w:cs="Arial"/>
          <w:color w:val="000000" w:themeColor="text1"/>
          <w:lang w:val="es-419"/>
        </w:rPr>
        <w:lastRenderedPageBreak/>
        <w:t>7. Referencias bibliográficas</w:t>
      </w:r>
    </w:p>
    <w:p w14:paraId="52C6DBEC" w14:textId="77777777" w:rsidR="00892438" w:rsidRPr="002B0483" w:rsidRDefault="00840E65" w:rsidP="00840E65">
      <w:pPr>
        <w:spacing w:after="80"/>
        <w:ind w:left="346" w:hanging="346"/>
        <w:jc w:val="both"/>
        <w:rPr>
          <w:rFonts w:ascii="Arial" w:hAnsi="Arial" w:cs="Arial"/>
          <w:color w:val="000000" w:themeColor="text1"/>
        </w:rPr>
      </w:pPr>
      <w:r w:rsidRPr="002B0483">
        <w:rPr>
          <w:rFonts w:ascii="Arial" w:hAnsi="Arial" w:cs="Arial"/>
          <w:color w:val="000000" w:themeColor="text1"/>
        </w:rPr>
        <w:t xml:space="preserve">American College of Sports Medicine. </w:t>
      </w:r>
      <w:r w:rsidRPr="002B0483">
        <w:rPr>
          <w:rFonts w:ascii="Arial" w:hAnsi="Arial" w:cs="Arial"/>
          <w:color w:val="000000" w:themeColor="text1"/>
          <w:lang w:val="es-419"/>
        </w:rPr>
        <w:t xml:space="preserve">(2025, 22 de octubre). </w:t>
      </w:r>
      <w:r w:rsidRPr="002B0483">
        <w:rPr>
          <w:rFonts w:ascii="Arial" w:hAnsi="Arial" w:cs="Arial"/>
          <w:color w:val="000000" w:themeColor="text1"/>
        </w:rPr>
        <w:t>The future of fitness: ACSM announces top trends for 2026. https://acsm.org/top-fitness-trends-2026/</w:t>
      </w:r>
    </w:p>
    <w:p w14:paraId="31EFC7D9" w14:textId="77777777" w:rsidR="00892438" w:rsidRPr="002B0483" w:rsidRDefault="00840E65" w:rsidP="00840E65">
      <w:pPr>
        <w:spacing w:after="80"/>
        <w:ind w:left="346" w:hanging="346"/>
        <w:jc w:val="both"/>
        <w:rPr>
          <w:rFonts w:ascii="Arial" w:hAnsi="Arial" w:cs="Arial"/>
          <w:color w:val="000000" w:themeColor="text1"/>
          <w:lang w:val="es-419"/>
        </w:rPr>
      </w:pPr>
      <w:r w:rsidRPr="002B0483">
        <w:rPr>
          <w:rFonts w:ascii="Arial" w:hAnsi="Arial" w:cs="Arial"/>
          <w:color w:val="000000" w:themeColor="text1"/>
          <w:lang w:val="es-419"/>
        </w:rPr>
        <w:t>Congreso de Colombia. (2012). Ley 1581 de 2012. https://www.funcionpublica.gov.co/eva/gestornormativo/norma.php?i=49981</w:t>
      </w:r>
    </w:p>
    <w:p w14:paraId="56D2A4E0" w14:textId="77777777" w:rsidR="00892438" w:rsidRPr="002B0483" w:rsidRDefault="00840E65" w:rsidP="00840E65">
      <w:pPr>
        <w:spacing w:after="80"/>
        <w:ind w:left="346" w:hanging="346"/>
        <w:jc w:val="both"/>
        <w:rPr>
          <w:rFonts w:ascii="Arial" w:hAnsi="Arial" w:cs="Arial"/>
          <w:color w:val="000000" w:themeColor="text1"/>
          <w:lang w:val="es-419"/>
        </w:rPr>
      </w:pPr>
      <w:r w:rsidRPr="002B0483">
        <w:rPr>
          <w:rFonts w:ascii="Arial" w:hAnsi="Arial" w:cs="Arial"/>
          <w:color w:val="000000" w:themeColor="text1"/>
          <w:lang w:val="es-419"/>
        </w:rPr>
        <w:t>Equipo del proyecto. (2026). Control Gym: Documento de análisis del negocio y especificación de requerimientos [Documento académico no publicado]. Universidad de los Llanos.</w:t>
      </w:r>
    </w:p>
    <w:p w14:paraId="6A0C056E" w14:textId="77777777" w:rsidR="00892438" w:rsidRPr="002B0483" w:rsidRDefault="00840E65" w:rsidP="00840E65">
      <w:pPr>
        <w:spacing w:after="80"/>
        <w:ind w:left="346" w:hanging="346"/>
        <w:jc w:val="both"/>
        <w:rPr>
          <w:rFonts w:ascii="Arial" w:hAnsi="Arial" w:cs="Arial"/>
          <w:color w:val="000000" w:themeColor="text1"/>
          <w:lang w:val="es-419"/>
        </w:rPr>
      </w:pPr>
      <w:r w:rsidRPr="002B0483">
        <w:rPr>
          <w:rFonts w:ascii="Arial" w:hAnsi="Arial" w:cs="Arial"/>
          <w:color w:val="000000" w:themeColor="text1"/>
          <w:lang w:val="es-419"/>
        </w:rPr>
        <w:t>Glofox. (s. f.). Gym management software. https://www.glofox.com/business-types/gym-management-software/</w:t>
      </w:r>
    </w:p>
    <w:p w14:paraId="6A3947EA" w14:textId="77777777" w:rsidR="00892438" w:rsidRPr="002B0483" w:rsidRDefault="00840E65" w:rsidP="00840E65">
      <w:pPr>
        <w:spacing w:after="80"/>
        <w:ind w:left="346" w:hanging="346"/>
        <w:jc w:val="both"/>
        <w:rPr>
          <w:rFonts w:ascii="Arial" w:hAnsi="Arial" w:cs="Arial"/>
          <w:color w:val="000000" w:themeColor="text1"/>
        </w:rPr>
      </w:pPr>
      <w:r w:rsidRPr="002B0483">
        <w:rPr>
          <w:rFonts w:ascii="Arial" w:hAnsi="Arial" w:cs="Arial"/>
          <w:color w:val="000000" w:themeColor="text1"/>
        </w:rPr>
        <w:t>GymMaster. (s. f.). All-in-one gym management software. https://www.gymmaster.com/business/gym-software/</w:t>
      </w:r>
    </w:p>
    <w:p w14:paraId="3288DEFC" w14:textId="77777777" w:rsidR="00892438" w:rsidRPr="002B0483" w:rsidRDefault="00840E65" w:rsidP="00840E65">
      <w:pPr>
        <w:spacing w:after="80"/>
        <w:ind w:left="346" w:hanging="346"/>
        <w:jc w:val="both"/>
        <w:rPr>
          <w:rFonts w:ascii="Arial" w:hAnsi="Arial" w:cs="Arial"/>
          <w:color w:val="000000" w:themeColor="text1"/>
        </w:rPr>
      </w:pPr>
      <w:r w:rsidRPr="002B0483">
        <w:rPr>
          <w:rFonts w:ascii="Arial" w:hAnsi="Arial" w:cs="Arial"/>
          <w:color w:val="000000" w:themeColor="text1"/>
        </w:rPr>
        <w:t>Mindbody. (s. f.). Fitness software. https://www.mindbodyonline.com/business/fitness</w:t>
      </w:r>
    </w:p>
    <w:p w14:paraId="47DF3081" w14:textId="77777777" w:rsidR="00892438" w:rsidRPr="002B0483" w:rsidRDefault="00840E65" w:rsidP="00840E65">
      <w:pPr>
        <w:spacing w:after="80"/>
        <w:ind w:left="346" w:hanging="346"/>
        <w:jc w:val="both"/>
        <w:rPr>
          <w:rFonts w:ascii="Arial" w:hAnsi="Arial" w:cs="Arial"/>
          <w:color w:val="000000" w:themeColor="text1"/>
          <w:lang w:val="es-419"/>
        </w:rPr>
      </w:pPr>
      <w:r w:rsidRPr="002B0483">
        <w:rPr>
          <w:rFonts w:ascii="Arial" w:hAnsi="Arial" w:cs="Arial"/>
          <w:color w:val="000000" w:themeColor="text1"/>
          <w:lang w:val="es-419"/>
        </w:rPr>
        <w:t>Organización Mundial de la Salud. (2024, 26 de junio). Actividad física. https://www.who.int/es/news-room/fact-sheets/detail/physical-activity%E2%80%AF</w:t>
      </w:r>
    </w:p>
    <w:p w14:paraId="58549F3A" w14:textId="77777777" w:rsidR="00892438" w:rsidRPr="002B0483" w:rsidRDefault="00840E65" w:rsidP="00840E65">
      <w:pPr>
        <w:spacing w:after="80"/>
        <w:ind w:left="346" w:hanging="346"/>
        <w:jc w:val="both"/>
        <w:rPr>
          <w:rFonts w:ascii="Arial" w:hAnsi="Arial" w:cs="Arial"/>
          <w:color w:val="000000" w:themeColor="text1"/>
        </w:rPr>
      </w:pPr>
      <w:r w:rsidRPr="002B0483">
        <w:rPr>
          <w:rFonts w:ascii="Arial" w:hAnsi="Arial" w:cs="Arial"/>
          <w:color w:val="000000" w:themeColor="text1"/>
        </w:rPr>
        <w:t>OWASP Foundation. (2025). Application Security Verification Standard (ASVS) 5.0. https://owasp.org/projects/asvs</w:t>
      </w:r>
    </w:p>
    <w:p w14:paraId="416D5028" w14:textId="1772FA4F" w:rsidR="00892438" w:rsidRPr="002B0483" w:rsidRDefault="00892438" w:rsidP="00840E65">
      <w:pPr>
        <w:jc w:val="both"/>
        <w:rPr>
          <w:rFonts w:ascii="Arial" w:hAnsi="Arial" w:cs="Arial"/>
          <w:color w:val="000000" w:themeColor="text1"/>
          <w:lang w:val="es-419"/>
        </w:rPr>
      </w:pPr>
    </w:p>
    <w:sectPr w:rsidR="00892438" w:rsidRPr="002B0483" w:rsidSect="00034616">
      <w:headerReference w:type="default" r:id="rId8"/>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F387B5" w14:textId="77777777" w:rsidR="00C66C59" w:rsidRDefault="00C66C59">
      <w:pPr>
        <w:spacing w:after="0" w:line="240" w:lineRule="auto"/>
      </w:pPr>
      <w:r>
        <w:separator/>
      </w:r>
    </w:p>
  </w:endnote>
  <w:endnote w:type="continuationSeparator" w:id="0">
    <w:p w14:paraId="6C54C861" w14:textId="77777777" w:rsidR="00C66C59" w:rsidRDefault="00C66C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1DC76" w14:textId="17239BFF" w:rsidR="00892438" w:rsidRPr="00840E65" w:rsidRDefault="00892438">
    <w:pPr>
      <w:pStyle w:val="Piedepgina"/>
      <w:jc w:val="right"/>
      <w:rPr>
        <w:lang w:val="es-4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E4346" w14:textId="77777777" w:rsidR="00C66C59" w:rsidRDefault="00C66C59">
      <w:pPr>
        <w:spacing w:after="0" w:line="240" w:lineRule="auto"/>
      </w:pPr>
      <w:r>
        <w:separator/>
      </w:r>
    </w:p>
  </w:footnote>
  <w:footnote w:type="continuationSeparator" w:id="0">
    <w:p w14:paraId="05E760D0" w14:textId="77777777" w:rsidR="00C66C59" w:rsidRDefault="00C66C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FF4EF" w14:textId="2E0B4AC8" w:rsidR="00892438" w:rsidRPr="00840E65" w:rsidRDefault="00892438">
    <w:pPr>
      <w:pStyle w:val="Descripcin"/>
      <w:jc w:val="right"/>
      <w:rPr>
        <w:color w:val="000000" w:themeColor="text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9578400">
    <w:abstractNumId w:val="8"/>
  </w:num>
  <w:num w:numId="2" w16cid:durableId="642974058">
    <w:abstractNumId w:val="6"/>
  </w:num>
  <w:num w:numId="3" w16cid:durableId="1729764674">
    <w:abstractNumId w:val="5"/>
  </w:num>
  <w:num w:numId="4" w16cid:durableId="649671497">
    <w:abstractNumId w:val="4"/>
  </w:num>
  <w:num w:numId="5" w16cid:durableId="1054812330">
    <w:abstractNumId w:val="7"/>
  </w:num>
  <w:num w:numId="6" w16cid:durableId="738553784">
    <w:abstractNumId w:val="3"/>
  </w:num>
  <w:num w:numId="7" w16cid:durableId="645470662">
    <w:abstractNumId w:val="2"/>
  </w:num>
  <w:num w:numId="8" w16cid:durableId="478696793">
    <w:abstractNumId w:val="1"/>
  </w:num>
  <w:num w:numId="9" w16cid:durableId="9871289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E2D"/>
    <w:rsid w:val="00034616"/>
    <w:rsid w:val="00034B8D"/>
    <w:rsid w:val="0006063C"/>
    <w:rsid w:val="0015074B"/>
    <w:rsid w:val="00243947"/>
    <w:rsid w:val="00245265"/>
    <w:rsid w:val="0029639D"/>
    <w:rsid w:val="002B0483"/>
    <w:rsid w:val="002E77A8"/>
    <w:rsid w:val="00326F90"/>
    <w:rsid w:val="00330B7C"/>
    <w:rsid w:val="004913BA"/>
    <w:rsid w:val="004B0E29"/>
    <w:rsid w:val="004C2EFE"/>
    <w:rsid w:val="0061243D"/>
    <w:rsid w:val="00840E65"/>
    <w:rsid w:val="00892438"/>
    <w:rsid w:val="00A809A1"/>
    <w:rsid w:val="00AA1D8D"/>
    <w:rsid w:val="00B47730"/>
    <w:rsid w:val="00C66C59"/>
    <w:rsid w:val="00CB0664"/>
    <w:rsid w:val="00CE04EB"/>
    <w:rsid w:val="00D445D6"/>
    <w:rsid w:val="00D46DD5"/>
    <w:rsid w:val="00EE19DF"/>
    <w:rsid w:val="00F067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B4EA6D"/>
  <w14:defaultImageDpi w14:val="300"/>
  <w15:docId w15:val="{1DFF27FE-525C-4CA7-B97A-B8D5B29A4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color w:val="2A3340"/>
      <w:sz w:val="20"/>
    </w:rPr>
  </w:style>
  <w:style w:type="paragraph" w:styleId="Ttulo1">
    <w:name w:val="heading 1"/>
    <w:basedOn w:val="Normal"/>
    <w:next w:val="Normal"/>
    <w:link w:val="Ttulo1Car"/>
    <w:uiPriority w:val="9"/>
    <w:qFormat/>
    <w:rsid w:val="00FC693F"/>
    <w:pPr>
      <w:keepNext/>
      <w:keepLines/>
      <w:spacing w:before="160" w:after="80"/>
      <w:outlineLvl w:val="0"/>
    </w:pPr>
    <w:rPr>
      <w:rFonts w:asciiTheme="majorHAnsi" w:eastAsiaTheme="majorEastAsia" w:hAnsiTheme="majorHAnsi" w:cstheme="majorBidi"/>
      <w:b/>
      <w:bCs/>
      <w:color w:val="174E7A"/>
      <w:sz w:val="28"/>
      <w:szCs w:val="28"/>
    </w:rPr>
  </w:style>
  <w:style w:type="paragraph" w:styleId="Ttulo2">
    <w:name w:val="heading 2"/>
    <w:basedOn w:val="Normal"/>
    <w:next w:val="Normal"/>
    <w:link w:val="Ttulo2Car"/>
    <w:uiPriority w:val="9"/>
    <w:unhideWhenUsed/>
    <w:qFormat/>
    <w:rsid w:val="00FC693F"/>
    <w:pPr>
      <w:keepNext/>
      <w:keepLines/>
      <w:spacing w:before="120" w:after="80"/>
      <w:outlineLvl w:val="1"/>
    </w:pPr>
    <w:rPr>
      <w:rFonts w:asciiTheme="majorHAnsi" w:eastAsiaTheme="majorEastAsia" w:hAnsiTheme="majorHAnsi" w:cstheme="majorBidi"/>
      <w:b/>
      <w:bCs/>
      <w:color w:val="007870"/>
      <w:sz w:val="22"/>
      <w:szCs w:val="26"/>
    </w:rPr>
  </w:style>
  <w:style w:type="paragraph" w:styleId="Ttulo3">
    <w:name w:val="heading 3"/>
    <w:basedOn w:val="Normal"/>
    <w:next w:val="Normal"/>
    <w:link w:val="Ttulo3Car"/>
    <w:uiPriority w:val="9"/>
    <w:unhideWhenUsed/>
    <w:qFormat/>
    <w:rsid w:val="00FC693F"/>
    <w:pPr>
      <w:keepNext/>
      <w:keepLines/>
      <w:spacing w:before="80" w:after="80"/>
      <w:outlineLvl w:val="2"/>
    </w:pPr>
    <w:rPr>
      <w:rFonts w:asciiTheme="majorHAnsi" w:eastAsiaTheme="majorEastAsia" w:hAnsiTheme="majorHAnsi" w:cstheme="majorBidi"/>
      <w:b/>
      <w:bCs/>
      <w:color w:val="174E7A"/>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before="180" w:after="80" w:line="240" w:lineRule="auto"/>
      <w:contextualSpacing/>
    </w:pPr>
    <w:rPr>
      <w:rFonts w:asciiTheme="majorHAnsi" w:eastAsiaTheme="majorEastAsia" w:hAnsiTheme="majorHAnsi" w:cstheme="majorBidi"/>
      <w:b/>
      <w:color w:val="0F2338"/>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4-nfasis3">
    <w:name w:val="Grid Table 4 Accent 3"/>
    <w:basedOn w:val="Tablanormal"/>
    <w:uiPriority w:val="49"/>
    <w:rsid w:val="004C2EFE"/>
    <w:pPr>
      <w:spacing w:after="0" w:line="240" w:lineRule="auto"/>
    </w:p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3</Pages>
  <Words>1057</Words>
  <Characters>5815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Juan David Vergaño López</cp:lastModifiedBy>
  <cp:revision>15</cp:revision>
  <dcterms:created xsi:type="dcterms:W3CDTF">2013-12-23T23:15:00Z</dcterms:created>
  <dcterms:modified xsi:type="dcterms:W3CDTF">2026-10-27T03:40:00Z</dcterms:modified>
  <cp:category/>
</cp:coreProperties>
</file>