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30EA" w14:textId="77777777" w:rsidR="00DF5869" w:rsidRPr="008D1CFD" w:rsidRDefault="00000000" w:rsidP="008D1CFD">
      <w:pPr>
        <w:pStyle w:val="Ttulo"/>
        <w:jc w:val="center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Índice de diagramas y casos de uso</w:t>
      </w:r>
    </w:p>
    <w:p w14:paraId="7E83250B" w14:textId="672603D5" w:rsidR="00DF5869" w:rsidRPr="008D1CFD" w:rsidRDefault="00000000" w:rsidP="008D1CFD">
      <w:pPr>
        <w:pStyle w:val="Subttulo"/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Modelos · Inventario de anexos Draw.io</w:t>
      </w:r>
    </w:p>
    <w:p w14:paraId="4BCB51AD" w14:textId="77777777" w:rsid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b/>
          <w:color w:val="auto"/>
          <w:lang w:val="es-419"/>
        </w:rPr>
        <w:t xml:space="preserve">Asignatura: </w:t>
      </w:r>
      <w:r w:rsidRPr="008D1CFD">
        <w:rPr>
          <w:rFonts w:ascii="Arial" w:hAnsi="Arial" w:cs="Arial"/>
          <w:color w:val="auto"/>
          <w:lang w:val="es-419"/>
        </w:rPr>
        <w:t xml:space="preserve">Ingeniería de Software I </w:t>
      </w:r>
    </w:p>
    <w:p w14:paraId="0831255D" w14:textId="103B3E22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b/>
          <w:color w:val="auto"/>
          <w:lang w:val="es-419"/>
        </w:rPr>
        <w:t xml:space="preserve">Docente: </w:t>
      </w:r>
      <w:r w:rsidRPr="008D1CFD">
        <w:rPr>
          <w:rFonts w:ascii="Arial" w:hAnsi="Arial" w:cs="Arial"/>
          <w:color w:val="auto"/>
          <w:lang w:val="es-419"/>
        </w:rPr>
        <w:t>Olga Lucero Vega Márquez</w:t>
      </w:r>
    </w:p>
    <w:p w14:paraId="607318C1" w14:textId="77777777" w:rsidR="00DF5869" w:rsidRPr="008D1CFD" w:rsidRDefault="00000000" w:rsidP="008D1CFD">
      <w:pPr>
        <w:pStyle w:val="Descripcin"/>
        <w:jc w:val="both"/>
        <w:rPr>
          <w:rFonts w:ascii="Arial" w:hAnsi="Arial" w:cs="Arial"/>
          <w:b w:val="0"/>
          <w:bCs w:val="0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 xml:space="preserve">Equipo: </w:t>
      </w:r>
      <w:r w:rsidRPr="008D1CFD">
        <w:rPr>
          <w:rFonts w:ascii="Arial" w:hAnsi="Arial" w:cs="Arial"/>
          <w:b w:val="0"/>
          <w:bCs w:val="0"/>
          <w:color w:val="auto"/>
          <w:lang w:val="es-419"/>
        </w:rPr>
        <w:t>Johan Santiago Marín Obando · Franky Jhoel Camargo Silva · Juan David Vergaño López</w:t>
      </w:r>
    </w:p>
    <w:p w14:paraId="4BA2BDEB" w14:textId="77777777" w:rsidR="00DF5869" w:rsidRPr="008D1CFD" w:rsidRDefault="00000000" w:rsidP="008D1CFD">
      <w:pPr>
        <w:pStyle w:val="Ttulo1"/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Casos de uso del negocio</w:t>
      </w:r>
    </w:p>
    <w:p w14:paraId="3D5CC513" w14:textId="77777777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CN-01. Registrar cliente: El personal recibe datos mínimos y da de alta al nuevo usuario.</w:t>
      </w:r>
    </w:p>
    <w:p w14:paraId="2B01488A" w14:textId="77777777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CN-02. Verificar membresía: Se busca por cédula, nombre o teléfono y se comprueba si puede ingresar.</w:t>
      </w:r>
    </w:p>
    <w:p w14:paraId="6B48996B" w14:textId="77777777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CN-03. Contratar y renovar planes: El cliente escoge Día, Quincena, Mensualidad o Pase de Pareja; el personal aplica la vigencia.</w:t>
      </w:r>
    </w:p>
    <w:p w14:paraId="5B327C0E" w14:textId="77777777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CN-04. Recibir y registrar pagos: Se confirma el cobro, se registra el método de pago y se genera la constancia.</w:t>
      </w:r>
    </w:p>
    <w:p w14:paraId="3ACE0B5D" w14:textId="77777777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CN-05. Registrar gastos: Los egresos operativos quedan identificados para el cierre.</w:t>
      </w:r>
    </w:p>
    <w:p w14:paraId="0D96C64E" w14:textId="77777777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CN-06. Cerrar jornada: Se concilian ingresos y gastos del día, con saldo de caja esperado.</w:t>
      </w:r>
    </w:p>
    <w:p w14:paraId="6C4257CE" w14:textId="77777777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CN-07. Entregar comprobante: El cliente recibe soporte digital y, opcionalmente, impreso.</w:t>
      </w:r>
    </w:p>
    <w:p w14:paraId="482F5FE3" w14:textId="77777777" w:rsidR="00DF5869" w:rsidRPr="008D1CFD" w:rsidRDefault="00000000" w:rsidP="008D1CFD">
      <w:pPr>
        <w:pStyle w:val="Ttulo1"/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Casos de uso de requerimientos</w:t>
      </w:r>
    </w:p>
    <w:p w14:paraId="5C7E7096" w14:textId="77777777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RP-01. Semáforo de entrada y consulta: Búsqueda por cédula, nombre o celular; se visualiza estado y fecha de vencimiento.</w:t>
      </w:r>
    </w:p>
    <w:p w14:paraId="79B2249F" w14:textId="77777777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RP-02. Administración de planes: Día, Quincena, Mensualidad y Pase de Pareja; este último vincula dos personas.</w:t>
      </w:r>
    </w:p>
    <w:p w14:paraId="4233EAD0" w14:textId="77777777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RP-03. Registro rápido y renovación: Alta con cédula, nombre y celular; renovación reutilizando datos existentes.</w:t>
      </w:r>
    </w:p>
    <w:p w14:paraId="5CC3FB90" w14:textId="77777777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RP-04. Ingresos, gastos y cierre: Registrar entradas y salidas, medio de pago y resumen de la jornada.</w:t>
      </w:r>
    </w:p>
    <w:p w14:paraId="6596A085" w14:textId="77777777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>RP-05. Comprobante digital: Emitir constancia tras el pago; compartir o imprimir de forma opcional.</w:t>
      </w:r>
    </w:p>
    <w:p w14:paraId="5E990D05" w14:textId="28900F39" w:rsidR="00DF5869" w:rsidRPr="008D1CFD" w:rsidRDefault="00000000" w:rsidP="008D1CFD">
      <w:pPr>
        <w:jc w:val="both"/>
        <w:rPr>
          <w:rFonts w:ascii="Arial" w:hAnsi="Arial" w:cs="Arial"/>
          <w:color w:val="auto"/>
          <w:lang w:val="es-419"/>
        </w:rPr>
      </w:pPr>
      <w:r w:rsidRPr="008D1CFD">
        <w:rPr>
          <w:rFonts w:ascii="Arial" w:hAnsi="Arial" w:cs="Arial"/>
          <w:color w:val="auto"/>
          <w:lang w:val="es-419"/>
        </w:rPr>
        <w:t xml:space="preserve">Se adjuntan dos diagramas generales, siete individuales de negocio y cinco individuales de requerimientos. </w:t>
      </w:r>
    </w:p>
    <w:sectPr w:rsidR="00DF5869" w:rsidRPr="008D1CFD" w:rsidSect="00034616">
      <w:headerReference w:type="default" r:id="rId8"/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93CC3" w14:textId="77777777" w:rsidR="00D61B3F" w:rsidRDefault="00D61B3F">
      <w:pPr>
        <w:spacing w:after="0" w:line="240" w:lineRule="auto"/>
      </w:pPr>
      <w:r>
        <w:separator/>
      </w:r>
    </w:p>
  </w:endnote>
  <w:endnote w:type="continuationSeparator" w:id="0">
    <w:p w14:paraId="58C30EB1" w14:textId="77777777" w:rsidR="00D61B3F" w:rsidRDefault="00D61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11601" w14:textId="24AAC56C" w:rsidR="00DF5869" w:rsidRPr="008D1CFD" w:rsidRDefault="00DF5869">
    <w:pPr>
      <w:pStyle w:val="Piedepgina"/>
      <w:jc w:val="right"/>
      <w:rPr>
        <w:lang w:val="es-4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9F544" w14:textId="77777777" w:rsidR="00D61B3F" w:rsidRDefault="00D61B3F">
      <w:pPr>
        <w:spacing w:after="0" w:line="240" w:lineRule="auto"/>
      </w:pPr>
      <w:r>
        <w:separator/>
      </w:r>
    </w:p>
  </w:footnote>
  <w:footnote w:type="continuationSeparator" w:id="0">
    <w:p w14:paraId="111500A6" w14:textId="77777777" w:rsidR="00D61B3F" w:rsidRDefault="00D61B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93901" w14:textId="5BE2384C" w:rsidR="00DF5869" w:rsidRDefault="00DF5869">
    <w:pPr>
      <w:pStyle w:val="Descripcin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188736">
    <w:abstractNumId w:val="8"/>
  </w:num>
  <w:num w:numId="2" w16cid:durableId="1061561912">
    <w:abstractNumId w:val="6"/>
  </w:num>
  <w:num w:numId="3" w16cid:durableId="154810751">
    <w:abstractNumId w:val="5"/>
  </w:num>
  <w:num w:numId="4" w16cid:durableId="7146590">
    <w:abstractNumId w:val="4"/>
  </w:num>
  <w:num w:numId="5" w16cid:durableId="310909625">
    <w:abstractNumId w:val="7"/>
  </w:num>
  <w:num w:numId="6" w16cid:durableId="1186865819">
    <w:abstractNumId w:val="3"/>
  </w:num>
  <w:num w:numId="7" w16cid:durableId="4018481">
    <w:abstractNumId w:val="2"/>
  </w:num>
  <w:num w:numId="8" w16cid:durableId="370887766">
    <w:abstractNumId w:val="1"/>
  </w:num>
  <w:num w:numId="9" w16cid:durableId="104579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015C"/>
    <w:rsid w:val="007838EA"/>
    <w:rsid w:val="008D1CFD"/>
    <w:rsid w:val="00AA1D8D"/>
    <w:rsid w:val="00AD54AB"/>
    <w:rsid w:val="00B47730"/>
    <w:rsid w:val="00CB0664"/>
    <w:rsid w:val="00D61B3F"/>
    <w:rsid w:val="00DF58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1531FDC"/>
  <w14:defaultImageDpi w14:val="300"/>
  <w15:docId w15:val="{BB59D740-0A4E-420E-ABA4-B0DE119B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34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E7A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07870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/>
      <w:b/>
      <w:bCs/>
      <w:color w:val="174E7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80" w:after="80" w:line="240" w:lineRule="auto"/>
      <w:contextualSpacing/>
    </w:pPr>
    <w:rPr>
      <w:rFonts w:asciiTheme="majorHAnsi" w:eastAsiaTheme="majorEastAsia" w:hAnsiTheme="majorHAnsi" w:cstheme="majorBidi"/>
      <w:b/>
      <w:color w:val="0F2338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Vergaño López</cp:lastModifiedBy>
  <cp:revision>4</cp:revision>
  <dcterms:created xsi:type="dcterms:W3CDTF">2013-12-23T23:15:00Z</dcterms:created>
  <dcterms:modified xsi:type="dcterms:W3CDTF">2026-10-27T04:49:00Z</dcterms:modified>
  <cp:category/>
</cp:coreProperties>
</file>