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560" w:lineRule="exact"/>
        <w:textAlignment w:val="auto"/>
        <w:rPr>
          <w:rFonts w:ascii="方正小标宋_GBK" w:hAnsi="方正小标宋_GBK" w:eastAsia="方正小标宋_GBK" w:cs="方正小标宋_GBK"/>
          <w:sz w:val="44"/>
          <w:szCs w:val="44"/>
        </w:rPr>
      </w:pP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ascii="方正小标宋_GBK" w:hAnsi="方正小标宋_GBK" w:eastAsia="方正小标宋_GBK" w:cs="方正小标宋_GBK"/>
          <w:sz w:val="44"/>
          <w:szCs w:val="44"/>
        </w:rPr>
      </w:pP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ascii="方正小标宋_GBK" w:hAnsi="方正小标宋_GBK" w:eastAsia="方正小标宋_GBK" w:cs="方正小标宋_GBK"/>
          <w:sz w:val="44"/>
          <w:szCs w:val="44"/>
        </w:rPr>
      </w:pPr>
    </w:p>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ascii="方正小标宋_GBK" w:hAnsi="方正小标宋_GBK" w:eastAsia="方正小标宋_GBK" w:cs="方正小标宋_GBK"/>
          <w:sz w:val="44"/>
          <w:szCs w:val="44"/>
        </w:rPr>
      </w:pPr>
      <w:r>
        <w:rPr>
          <w:rFonts w:hint="eastAsia" w:ascii="方正小标宋_GBK" w:hAnsi="方正小标宋_GBK" w:eastAsia="方正小标宋_GBK" w:cs="方正小标宋_GBK"/>
          <w:sz w:val="44"/>
          <w:szCs w:val="44"/>
        </w:rPr>
        <w:t>航空工业司库体系建设总结报告</w:t>
      </w:r>
    </w:p>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ascii="方正楷体_GBK" w:hAnsi="方正楷体_GBK" w:eastAsia="方正楷体_GBK" w:cs="方正楷体_GBK"/>
          <w:sz w:val="32"/>
          <w:szCs w:val="32"/>
        </w:rPr>
      </w:pPr>
    </w:p>
    <w:p>
      <w:pPr>
        <w:keepNext w:val="0"/>
        <w:keepLines w:val="0"/>
        <w:pageBreakBefore w:val="0"/>
        <w:widowControl w:val="0"/>
        <w:kinsoku/>
        <w:wordWrap/>
        <w:overflowPunct/>
        <w:topLinePunct w:val="0"/>
        <w:autoSpaceDE/>
        <w:autoSpaceDN/>
        <w:bidi w:val="0"/>
        <w:adjustRightInd/>
        <w:snapToGrid/>
        <w:spacing w:line="560" w:lineRule="exact"/>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国务院国资委：</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党的二十大作出了加快建设世界一流企业的战略部署。</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国务院</w:t>
      </w:r>
      <w:bookmarkStart w:id="0" w:name="_GoBack"/>
      <w:bookmarkEnd w:id="0"/>
      <w:r>
        <w:rPr>
          <w:rFonts w:hint="eastAsia" w:ascii="仿宋_GB2312" w:hAnsi="仿宋_GB2312" w:eastAsia="仿宋_GB2312" w:cs="仿宋_GB2312"/>
          <w:sz w:val="32"/>
          <w:szCs w:val="32"/>
        </w:rPr>
        <w:t>国资委明确要求中央企业要围绕创建世界一流财务管理体系，将司库体系建设作为促进财务管理数字化转型升级的切入点和突破口，重构金融资源管理，促进业财深度融合，夯实培育世界一流企业的管理基础。</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ascii="仿宋_GB2312" w:hAnsi="仿宋_GB2312" w:eastAsia="仿宋_GB2312" w:cs="仿宋_GB2312"/>
          <w:sz w:val="32"/>
          <w:szCs w:val="32"/>
        </w:rPr>
      </w:pPr>
      <w:r>
        <w:rPr>
          <w:rFonts w:hint="eastAsia" w:ascii="仿宋_GB2312" w:hAnsi="仿宋" w:eastAsia="仿宋_GB2312"/>
          <w:sz w:val="32"/>
          <w:szCs w:val="32"/>
        </w:rPr>
        <w:t>中国航空工业集团有限公司（以下简称航空工业集团或集团公司）</w:t>
      </w:r>
      <w:r>
        <w:rPr>
          <w:rFonts w:hint="eastAsia" w:ascii="仿宋_GB2312" w:hAnsi="仿宋_GB2312" w:eastAsia="仿宋_GB2312" w:cs="仿宋_GB2312"/>
          <w:sz w:val="32"/>
          <w:szCs w:val="32"/>
        </w:rPr>
        <w:t>“十四五”规划明确提出以财务公司为依托平台，建设具有航空工业特色的司库体系，推动资金管理的转型升级。加快司库体系建设是集团公司建设世界一流航空企业集团的重要支撑，是实现高质量发展的重要举措。</w:t>
      </w:r>
      <w:r>
        <w:rPr>
          <w:rFonts w:hint="eastAsia" w:ascii="仿宋_GB2312" w:hAnsi="仿宋" w:eastAsia="仿宋_GB2312"/>
          <w:sz w:val="32"/>
          <w:szCs w:val="32"/>
        </w:rPr>
        <w:t>现将有关情况报告如下：</w:t>
      </w:r>
    </w:p>
    <w:p>
      <w:pPr>
        <w:keepNext w:val="0"/>
        <w:keepLines w:val="0"/>
        <w:pageBreakBefore w:val="0"/>
        <w:widowControl w:val="0"/>
        <w:kinsoku/>
        <w:wordWrap/>
        <w:overflowPunct/>
        <w:topLinePunct w:val="0"/>
        <w:autoSpaceDE/>
        <w:autoSpaceDN/>
        <w:bidi w:val="0"/>
        <w:adjustRightInd/>
        <w:snapToGrid/>
        <w:spacing w:line="560" w:lineRule="exact"/>
        <w:ind w:left="640"/>
        <w:jc w:val="both"/>
        <w:textAlignment w:val="auto"/>
        <w:outlineLvl w:val="0"/>
        <w:rPr>
          <w:rFonts w:ascii="黑体" w:hAnsi="黑体" w:eastAsia="黑体" w:cs="黑体"/>
          <w:sz w:val="32"/>
          <w:szCs w:val="32"/>
        </w:rPr>
      </w:pPr>
      <w:r>
        <w:rPr>
          <w:rFonts w:hint="eastAsia" w:ascii="黑体" w:hAnsi="黑体" w:eastAsia="黑体" w:cs="黑体"/>
          <w:sz w:val="32"/>
          <w:szCs w:val="32"/>
        </w:rPr>
        <w:t>一、工作组织情况</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ascii="楷体" w:hAnsi="楷体" w:eastAsia="楷体" w:cs="楷体"/>
          <w:sz w:val="32"/>
          <w:szCs w:val="32"/>
        </w:rPr>
      </w:pPr>
      <w:r>
        <w:rPr>
          <w:rFonts w:hint="eastAsia" w:ascii="楷体" w:hAnsi="楷体" w:eastAsia="楷体" w:cs="楷体"/>
          <w:sz w:val="32"/>
          <w:szCs w:val="32"/>
        </w:rPr>
        <w:t>（一）高度重视，系统部署</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航空工业集团公司党组高度重视司库建设，成立了以党组副书记、总经理为组长，党组成员、总会计师为副组长的司库建设领导小组，按照“集团抓总，统筹制定司库顶层架构和配套制度体系；财务公司负责方案拟订、系统建设和流程设计；各级单位落实执行”的职责分工，成立专家团队，协同高效的推进司库体系建设。</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ascii="楷体" w:hAnsi="楷体" w:eastAsia="楷体" w:cs="楷体"/>
          <w:sz w:val="32"/>
          <w:szCs w:val="32"/>
        </w:rPr>
      </w:pPr>
      <w:r>
        <w:rPr>
          <w:rFonts w:hint="eastAsia" w:ascii="楷体" w:hAnsi="楷体" w:eastAsia="楷体" w:cs="楷体"/>
          <w:sz w:val="32"/>
          <w:szCs w:val="32"/>
        </w:rPr>
        <w:t>（二）协同高效，建立机制</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航空工业司库体系建立了总部统筹、平台实施、基层执行“三位一体”的管理组织，不断细化职责，形成“分工明确、职责清晰、协同高效”的管理机制。</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在集团总部层面，最大限度调动多部门力量。集团公司计划财务部是航空工业司库体系的归口管理部门，负责司库体系的政策制订、统筹管控、审批管理、监督考核、督促落实等司库体系政策管控类工作，发挥司库体系管理效能，提高资金运营效率、提高资金风险监控和决策支持能力、提高价值创造能力；集团公司综合管理部和科技与信息化部负责司库体系的保密和网络安全等工作进行指导和支持；集团相关部门是司库系统的应用主体，发挥司库体系管理效能，提高资金监控和决策支持力、提高价值创造力。</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财务公司是集团公司司库体系的依托平台，在集团公司指导下，主要负责司库建设和运营维护、金融服务、司库业务前置规范性审核、协助组织司库推广应用、协助资金风险监控等司库体系运营服务类工作。2023年底，财务公司加挂“中国航空工业集团有限公司司库中心”牌子。</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各单位是贯彻落实集团公司司库体系管理规定和司库系统应用的责任主体，组织做好本单位及所属单位司库体系的贯彻落实和推广应用，发挥司库体系管理效能，提高资金运营效率、提高资金监控和决策支持能力、提高价值创造能力。</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ascii="楷体" w:hAnsi="楷体" w:eastAsia="楷体" w:cs="楷体"/>
          <w:sz w:val="32"/>
          <w:szCs w:val="32"/>
        </w:rPr>
      </w:pPr>
      <w:r>
        <w:rPr>
          <w:rFonts w:hint="eastAsia" w:ascii="楷体" w:hAnsi="楷体" w:eastAsia="楷体" w:cs="楷体"/>
          <w:sz w:val="32"/>
          <w:szCs w:val="32"/>
        </w:rPr>
        <w:t>（三）严守计划，完成任务</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2023年10月25日，集团公司实现国资委1号文中要求的全部“11项”司库体系职能模块全部上线，15项管理制度全部制定印发，基本建成了具有航空工业特色的“智能友好、穿透可视、功能强大、安全可靠”的司库管理体系。</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ascii="楷体" w:hAnsi="楷体" w:eastAsia="楷体" w:cs="楷体"/>
          <w:sz w:val="32"/>
          <w:szCs w:val="32"/>
        </w:rPr>
      </w:pPr>
      <w:r>
        <w:rPr>
          <w:rFonts w:hint="eastAsia" w:ascii="楷体" w:hAnsi="楷体" w:eastAsia="楷体" w:cs="楷体"/>
          <w:sz w:val="32"/>
          <w:szCs w:val="32"/>
        </w:rPr>
        <w:t>（四）锚定新目标，重整再出发</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2023年11月1日，国务院国资委召开中央企业司库体系建设推进会，对2023年中央企业司库体系建设“大干60天”进行再动员、再部署，对司库体系建设工作提出了新要求。</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根据会议要求，集团公司第一时间对会议精神进行了传达</w:t>
      </w:r>
      <w:r>
        <w:rPr>
          <w:rFonts w:ascii="仿宋_GB2312" w:hAnsi="仿宋_GB2312" w:eastAsia="仿宋_GB2312" w:cs="仿宋_GB2312"/>
          <w:sz w:val="32"/>
          <w:szCs w:val="32"/>
        </w:rPr>
        <w:t>,</w:t>
      </w:r>
      <w:r>
        <w:rPr>
          <w:rFonts w:hint="eastAsia" w:ascii="仿宋_GB2312" w:hAnsi="仿宋_GB2312" w:eastAsia="仿宋_GB2312" w:cs="仿宋_GB2312"/>
          <w:sz w:val="32"/>
          <w:szCs w:val="32"/>
        </w:rPr>
        <w:t>并启动了“奋力冲刺60天 决胜司库攻坚战”专项工作。针对异常贸易监测、应收应付、挂靠经营等功能模块的建设要求，制定工作计划，设计实施方案，组建一百六十余人的攻关团队，在北京集中办公，在集团公司司库建设领导小组及办公室的组织下推进司库建设2023年“大干60天”专项工作。集团公司、财务公司、金航数码等多方成立了联合项目组，建立周例会制度，严格按照工作计划和实施方案推进专项工作，确保完成司库建设工作任务。</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截至2023年末，集团公司司库体系实现了异常贸易监测、应收应付、挂靠经营、薪酬等模块的上线，坚决打赢了司库建设年度收官战。两年来，司库建设项目总计投入6105万元。</w:t>
      </w:r>
    </w:p>
    <w:p>
      <w:pPr>
        <w:keepNext w:val="0"/>
        <w:keepLines w:val="0"/>
        <w:pageBreakBefore w:val="0"/>
        <w:widowControl w:val="0"/>
        <w:kinsoku/>
        <w:wordWrap/>
        <w:overflowPunct/>
        <w:topLinePunct w:val="0"/>
        <w:autoSpaceDE/>
        <w:autoSpaceDN/>
        <w:bidi w:val="0"/>
        <w:adjustRightInd/>
        <w:snapToGrid/>
        <w:spacing w:line="560" w:lineRule="exact"/>
        <w:ind w:left="640"/>
        <w:jc w:val="both"/>
        <w:textAlignment w:val="auto"/>
        <w:outlineLvl w:val="0"/>
        <w:rPr>
          <w:rFonts w:ascii="黑体" w:hAnsi="黑体" w:eastAsia="黑体" w:cs="黑体"/>
          <w:sz w:val="32"/>
          <w:szCs w:val="32"/>
        </w:rPr>
      </w:pPr>
      <w:r>
        <w:rPr>
          <w:rFonts w:hint="eastAsia" w:ascii="黑体" w:hAnsi="黑体" w:eastAsia="黑体" w:cs="黑体"/>
          <w:sz w:val="32"/>
          <w:szCs w:val="32"/>
        </w:rPr>
        <w:t>二、司库特色亮点及成效</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ascii="楷体" w:hAnsi="楷体" w:eastAsia="楷体" w:cs="仿宋_GB2312"/>
          <w:sz w:val="32"/>
          <w:szCs w:val="32"/>
        </w:rPr>
      </w:pPr>
      <w:r>
        <w:rPr>
          <w:rFonts w:hint="eastAsia" w:ascii="楷体" w:hAnsi="楷体" w:eastAsia="楷体" w:cs="仿宋_GB2312"/>
          <w:sz w:val="32"/>
          <w:szCs w:val="32"/>
        </w:rPr>
        <w:t>（一）本企业司库特色功能模块及亮点</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集团公司以司库体系建设为契机，重新梳理与资金管理相关的制度文件，构建具有航空工业特色的司库体系，全面推进资金管理转型升级。</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1.银行账户管理</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借助司库对集团公司境内外、本外币7007个银行账户（其中境内单位5841个，境外单位1166个）实现集中统一管理，强化银行账户刚性管控。</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一是强化银行账户规范管理。随着司库系统上线，对银行账户开展地毯式、逐账户审批，将各级单位的财务公司账户和银行账户纳入司库一体化管理，对账户开立申请及审批、变更、注销实施全生命周期管理，确保账户合规开立和信息准确。</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eastAsia="仿宋_GB2312" w:cs="仿宋_GB2312"/>
          <w:sz w:val="32"/>
          <w:szCs w:val="32"/>
        </w:rPr>
      </w:pPr>
      <w:r>
        <w:rPr>
          <w:rFonts w:hint="eastAsia" w:eastAsia="仿宋_GB2312" w:cs="仿宋_GB2312"/>
          <w:sz w:val="32"/>
          <w:szCs w:val="32"/>
        </w:rPr>
        <w:t>二是实现账户信息穿透可视。通过银企直连、</w:t>
      </w:r>
      <w:r>
        <w:rPr>
          <w:rFonts w:hint="eastAsia" w:ascii="仿宋_GB2312" w:hAnsi="仿宋_GB2312" w:eastAsia="仿宋_GB2312" w:cs="仿宋_GB2312"/>
          <w:sz w:val="32"/>
          <w:szCs w:val="32"/>
        </w:rPr>
        <w:t>RPA</w:t>
      </w:r>
      <w:r>
        <w:rPr>
          <w:rFonts w:hint="eastAsia" w:eastAsia="仿宋_GB2312" w:cs="仿宋_GB2312"/>
          <w:sz w:val="32"/>
          <w:szCs w:val="32"/>
        </w:rPr>
        <w:t>以及手工上传等方式，实现对账户资金数据的动态穿透可视。借助账户直连，实现管理指标在司库系统中的计算及穿透监控。</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三是加强账户资金预警监控。司库系统每日自动识别低效无效账户，确保账户管理良性循环，降低管理成本。实施非直连账户限额管理，通过司库实时监控超限账户，加强账户资金的风险监控。</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四是提升账户管理操作便利。通过系统设置审批流程、在线生成批复文件，实现移动端审批，提升账户审批的规范性和便捷性。实现账户授权业务的线上办理。</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2.资金预算管理</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通过司库对各级单位资金预算的编制上报、执行控制、预算调整、分析评价等实施全流程、线上化管理，提升对资金收支管理的计划性、科学性和准确度。</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一是强化资金预算业财协同机制，注重资金预算向前端业务的延伸。由业务或职能部门登录司库发起资金预算编制填报，以业务预算为基础编制财务预算，提升预算的科学性和准确度。</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二是兼顾整体要求和个体需求。集团公司根据管理要求制定资金预算总模板，各单位可在此基础上进行细化。根据全面预算“两上两下”设置年度预算更新调整窗口，确保预算管理相衔接。</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三是强化资金预算刚性约束机制。除工资和税费等支出外，对资金支付实施预算刚性管控，无预算不得开支。对超预算支出进行拦截，并将预算评价结果纳入所属单位年度考核，不断提升资金运营效率和资金风险防控能力。</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四是实现资金预算管理全流程看得见。通过年度预算定总盘、月度计划滚动调整，实现对全集团资金收支的计划管理和穿透可视。超预算资金支付需履行审批程序，每月开展预算分析评价，在线生成报告，实现对资金预算的实时动态监控。</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3.资金结算管理</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依托财务公司建设资金结算管理系统，打造统一对外结算平台，与资金预算管理协同管理，严控预算外项目支出，实现“有预算不超支、无预算不开支”。</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一是强化事前“合规管控”。通过付款申请功能，实现资金结算由前端业务部门发起，全流程线上审批业务，从源头保障合规。</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二是构建结算“双通道”模式。利用财务公司现有银企直连渠道，依托财务公司以及18家合作银行超级网银账户，建立统一对外支付的1+18“双通道”模式，满足成员单位支付需求。对无法通过司库统一对外支付的进行特殊结算事项匹配，并由集团公司进行考核，提升整体集中结算度。</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三是实施“预警监控”，把好“最后一道关口”。在司库中嵌入黑名单提醒、大额支付、重复支付、资金预算管控限制等预警规则，在线进行校验，并由司库大屏逐笔提醒预警，保障支付安全。</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四是实现结算信息全流程管理。接入银行电子凭证互联互通平台，在线获取各级单位通过司库对18家战略合作银行电子回单，实现OFD结算电子回单的在线获取，提升效率和操作便捷。</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4.债务融资与担保管理</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贯彻落实国资委要求，通过司库信息系统建设实现制度流程化、流程信息化，形成具有航空工业特色的债务融资与担保管理体系。</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一是实现集团债务融资与担保业务的全覆盖、全场景、全线上、全可视。通过对集团内全级次单位债务融资、担保、借款业务进行全生命周期管理，在线管控集团各级单位的业务预算与实施，有效提升内源融资规模与比重，分类统筹管理外源融资，汇集债务融资和担保业务数据，助力有效控制带息负债规模，优化债务融资结构，降低整体融资成本，防范融资和担保风险。将集团公司分级授权审批规则贯穿所属各单位，实现分级授权功能，上级单位审批或最终机构审批方可生效，实现制度流程化、流程信息化。</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二是实现集团公司融资与担保业务的风险全过程监控。通过内置各项阈值、预警提醒及风控规则，提供包括业务到期提醒、异常融资利率提醒、债务管控指标及担保预算执行情况的跟踪监控、严禁类及严控类担保的预警提示，形成事前防范、事中控制、事后监督的闭环管理机制，提升了资金风险防范水平。</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三是实现债务融资与担保管理能力与效率的双提升。建设数据概览风险控制平台，对融资事项监控、担保事项监控和登记情况监控三个主题超过30个指标数据进行可视化设计，实现不同维度的、决策有用的债务融资信息分析和图形化展示，为债务规模管控、流动性风险监测、利率成本监测等风险防范工作提供有力的数据支撑。各级单位可充分发掘和利用系统数据价值，为管理层提供决策支持，为债务融资管理能力与效率的双提升提供重要保障。</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5.票据业务管理</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通过直联上海票据交易所，将票据账户管理、出票、承兑、收票、背书、质押、贴现、票据池、追索、票据交易等全流程纳入线上管理，形成了关口前移、综合防控、前后一体、多管齐下的票据业务全面创新风控体系。</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一是通过票据账户主动管理有效防控伪假票据风险。以财务公司为主办行，发挥账户与资金集中优势，开展票据账户主动管理，有效控制伪假票据风险。成员单位通过财务公司网银系统线上办理票据账户主动管理业务，实现信息直联推送票交所。截至目前，集团所属527家主要单位开展了主动账户管理，全集团无伪假票据风险。</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二是通过集票宝功能实现票据信息动态采集与可视监控，助力“合规用票”。实现各级有应收、应付票据的单位全部纳入票据集中统一管理。通过数据专线获取上海票交所“集票宝”信息，动态采集成员单位票据业务信息，从出票、承兑、收票、背书、贴现各环节进行监控，成为票据集中的重要信息工具。通过深度分析票交所推送的基础数据，可监控客户票据收付、流转、贴现各环节票据集中度情况，可查看出票、背书、收票及背书收票的详细票据信息，多维度监控各企业的时点票据集中度和对应票据明细，为推动票据集中工作奠定基础。</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三是通过票交所信息披露黑名单管理，助力“不收险票”。在人民银行加强票据信息披露及市场主体商业信用约束的背景下，实现对信息披露黑名单票据管理、提醒及校验。通过系统查询票交所黑名单，对出现在黑名单内的单位进行提醒，在办理收票及背书收票、承兑、贴现、入池等操作时，均进行校验与风险提示，实现风险关口前移。</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四是通过全面兑付预警及自动解付签约，助力“及时兑票”。兑付预警功能实现对本系统内票据及他行票据的全方位到期兑付预警，防范兑付风险。应收票据兑付预约功能实现对ECDS票据的到期自动提示付款申请，防范操作风险。创新设计商票自动解付签约功能，实现到期ECDS商票及新一代商票的自动解付，避免票据逾期，防范操作风险，维护中央企业商业信用。</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6.供应链金融服务管理</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贯彻落实国资委要求，对接引入外部金融资源，精准对接供应链实体企业特别是中小企业在生产、流通、交易等各环节的金融需求，提供优质高效的供应链金融服务，促进航空产业链体系健康发展。</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一是对主要供应链融业务实施统一管理与动态监控。通过商业信用管理、金融服务监控、金融风险监控模块，实现对全级次单位商业信用情况的监控管理，统计监控信用结算工具的额度使用情况、账期情况、到期兑付情况、外部金融机构对信用结算工具的增信支持情况；统计监控供应链金融业务使用信用结算工具的具体明细情况；监控交易背景真实性情况及偿债风险情况。</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二是提供高质量供应链综合金融服务。围绕供应商需求、金融产品、金融资源三条主线，以电子票据为主要工具，嵌入票据清算、贴现、保理、订单融资等各类金融产品，对接引入低成本金融资源，基于真实的贸易背景，为供应商提供线上+线下综合金融服务。目前集成13家外部金融机构的低成本金融资源，2023年全年航空产业链供应商提供融资服务22.37亿元，围绕集团公司供应链建设金融资源丰富、运行安全高效的优质供应链金融服务生态圈。</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三是有效控制供应链金融业务风险。通过商业信用额度管控与预警、信用支付工具到期及逾期预警、供应链金融自律承诺、交易背景动态采集监控等功能，规范和加强供应链金融业务管理，实现在线风险监控，促进航空产业链体系健康发展。</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7.应收账款管理</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应收账款管理模块包含四大功能(客商信用管理、债权债务管理、应收款项清欠、风险监控管理），实现全级次统一管理。</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一是全流程全线上管控全级次单位应收账款业务。将各级单位的应收账款事前客商评价、事中债权债务管理、事后应收账款清欠全流程纳入信息系统管理，提升应收账款管理的信息化水平和精准化水平。</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二是实现客商信用评级与内部共享。采集企业工商信息、股权关系、舆情信息等数据，构建“客商家族树”、“股权穿透”、“关系图谱”，通过舆情信息进行风险分析，形成客商画像。实现黑名单管理功能并与支付功能联动，控制与失信企业合作的风险。构建共享模式的客户ABI信用评价模型与供应商评级模型，并将评级结果在集团内部共享，提升对客户供应商的风险识别能力，将风险控制关口前移，提升应收账款管控能力。</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三是开展应收应付账款对账清欠。与“数智计财”系统对接，获取合同、发票等业务信息，实现从主体、客商、账龄等多维度穿透追溯。实现应收款项到期前提醒、到期后催收计划功能，自动生成催收函证，及时提醒应收款项回收。实现对应付账款到期动态提醒，和对同一企业应收、应付款项识别。</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四是监控应收账款风险。动态树型展示应收账款账龄分析，监测应收款项规模、账期逾期幅度等情况，及时提示债权债务风险，有利于控制应收账款规模、加速应收款资金回收、有效降低坏账损失风险。</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8</w:t>
      </w:r>
      <w:r>
        <w:rPr>
          <w:rFonts w:hint="eastAsia" w:ascii="仿宋_GB2312" w:hAnsi="仿宋_GB2312" w:eastAsia="仿宋_GB2312" w:cs="仿宋_GB2312"/>
          <w:sz w:val="32"/>
          <w:szCs w:val="32"/>
        </w:rPr>
        <w:t>.异常贸易监控</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ascii="仿宋_GB2312" w:hAnsi="仿宋_GB2312" w:eastAsia="仿宋_GB2312" w:cs="仿宋_GB2312"/>
          <w:sz w:val="32"/>
          <w:szCs w:val="32"/>
        </w:rPr>
      </w:pPr>
      <w:r>
        <w:rPr>
          <w:rFonts w:ascii="仿宋_GB2312" w:hAnsi="仿宋_GB2312" w:eastAsia="仿宋_GB2312" w:cs="仿宋_GB2312"/>
          <w:sz w:val="32"/>
          <w:szCs w:val="32"/>
        </w:rPr>
        <w:t>通过异常贸易监控模型</w:t>
      </w:r>
      <w:r>
        <w:rPr>
          <w:rFonts w:hint="eastAsia" w:ascii="仿宋_GB2312" w:hAnsi="仿宋_GB2312" w:eastAsia="仿宋_GB2312" w:cs="仿宋_GB2312"/>
          <w:sz w:val="32"/>
          <w:szCs w:val="32"/>
        </w:rPr>
        <w:t>，</w:t>
      </w:r>
      <w:r>
        <w:rPr>
          <w:rFonts w:ascii="仿宋_GB2312" w:hAnsi="仿宋_GB2312" w:eastAsia="仿宋_GB2312" w:cs="仿宋_GB2312"/>
          <w:sz w:val="32"/>
          <w:szCs w:val="32"/>
        </w:rPr>
        <w:t>对企业购销交易流程中的交易数据进行识别分析，实现对空转、走单</w:t>
      </w:r>
      <w:r>
        <w:rPr>
          <w:rFonts w:hint="eastAsia" w:ascii="仿宋_GB2312" w:hAnsi="仿宋_GB2312" w:eastAsia="仿宋_GB2312" w:cs="仿宋_GB2312"/>
          <w:sz w:val="32"/>
          <w:szCs w:val="32"/>
        </w:rPr>
        <w:t>、</w:t>
      </w:r>
      <w:r>
        <w:rPr>
          <w:rFonts w:ascii="仿宋_GB2312" w:hAnsi="仿宋_GB2312" w:eastAsia="仿宋_GB2312" w:cs="仿宋_GB2312"/>
          <w:sz w:val="32"/>
          <w:szCs w:val="32"/>
        </w:rPr>
        <w:t>融资性贸易等异常贸易行为的监控防范，实现从交易对手、合同签订、货权转移及支付结算等重点环节的数据筛查。</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一是</w:t>
      </w:r>
      <w:r>
        <w:rPr>
          <w:rFonts w:ascii="仿宋_GB2312" w:hAnsi="仿宋_GB2312" w:eastAsia="仿宋_GB2312" w:cs="仿宋_GB2312"/>
          <w:sz w:val="32"/>
          <w:szCs w:val="32"/>
        </w:rPr>
        <w:t>整合集团现有各类数据资源，实现异常贸易的信息化统建。实现专家经验和机器预警的联通穿透，既保留了行业实践总结的风险因果逻辑，也充分发挥了数据挖掘技术优势，在模型输入端和输出端实现多模态特征融合。</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二是</w:t>
      </w:r>
      <w:r>
        <w:rPr>
          <w:rFonts w:ascii="仿宋_GB2312" w:hAnsi="仿宋_GB2312" w:eastAsia="仿宋_GB2312" w:cs="仿宋_GB2312"/>
          <w:sz w:val="32"/>
          <w:szCs w:val="32"/>
        </w:rPr>
        <w:t>针对航空工业细分行业的不断建模和积累数据，</w:t>
      </w:r>
      <w:r>
        <w:rPr>
          <w:rFonts w:hint="eastAsia" w:ascii="仿宋_GB2312" w:hAnsi="仿宋_GB2312" w:eastAsia="仿宋_GB2312" w:cs="仿宋_GB2312"/>
          <w:sz w:val="32"/>
          <w:szCs w:val="32"/>
        </w:rPr>
        <w:t>增强</w:t>
      </w:r>
      <w:r>
        <w:rPr>
          <w:rFonts w:ascii="仿宋_GB2312" w:hAnsi="仿宋_GB2312" w:eastAsia="仿宋_GB2312" w:cs="仿宋_GB2312"/>
          <w:sz w:val="32"/>
          <w:szCs w:val="32"/>
        </w:rPr>
        <w:t>预警体系</w:t>
      </w:r>
      <w:r>
        <w:rPr>
          <w:rFonts w:hint="eastAsia" w:ascii="仿宋_GB2312" w:hAnsi="仿宋_GB2312" w:eastAsia="仿宋_GB2312" w:cs="仿宋_GB2312"/>
          <w:sz w:val="32"/>
          <w:szCs w:val="32"/>
        </w:rPr>
        <w:t>的</w:t>
      </w:r>
      <w:r>
        <w:rPr>
          <w:rFonts w:ascii="仿宋_GB2312" w:hAnsi="仿宋_GB2312" w:eastAsia="仿宋_GB2312" w:cs="仿宋_GB2312"/>
          <w:sz w:val="32"/>
          <w:szCs w:val="32"/>
        </w:rPr>
        <w:t>针对性和实用性。批量排查巡视</w:t>
      </w:r>
      <w:r>
        <w:rPr>
          <w:rFonts w:hint="eastAsia" w:ascii="仿宋_GB2312" w:hAnsi="仿宋_GB2312" w:eastAsia="仿宋_GB2312" w:cs="仿宋_GB2312"/>
          <w:sz w:val="32"/>
          <w:szCs w:val="32"/>
        </w:rPr>
        <w:t>、</w:t>
      </w:r>
      <w:r>
        <w:rPr>
          <w:rFonts w:ascii="仿宋_GB2312" w:hAnsi="仿宋_GB2312" w:eastAsia="仿宋_GB2312" w:cs="仿宋_GB2312"/>
          <w:sz w:val="32"/>
          <w:szCs w:val="32"/>
        </w:rPr>
        <w:t>审计等发现问题，根据案例不断优化完善识别模型，建立协同机制，实现信息共享。</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三是</w:t>
      </w:r>
      <w:r>
        <w:rPr>
          <w:rFonts w:ascii="仿宋_GB2312" w:hAnsi="仿宋_GB2312" w:eastAsia="仿宋_GB2312" w:cs="仿宋_GB2312"/>
          <w:sz w:val="32"/>
          <w:szCs w:val="32"/>
        </w:rPr>
        <w:t>深入推进监督追责业务与信息化的深度融合，加强数据横向采集和纵向贯通，实现动态汇总分析和数据穿透可视，加快提升监督追责智能化水平。</w:t>
      </w:r>
      <w:r>
        <w:rPr>
          <w:rFonts w:hint="eastAsia" w:ascii="仿宋_GB2312" w:hAnsi="仿宋_GB2312" w:eastAsia="仿宋_GB2312" w:cs="仿宋_GB2312"/>
          <w:sz w:val="32"/>
          <w:szCs w:val="32"/>
        </w:rPr>
        <w:t>该模型已经在集团公司贸易审计工作中应用。</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9</w:t>
      </w:r>
      <w:r>
        <w:rPr>
          <w:rFonts w:hint="eastAsia" w:ascii="仿宋_GB2312" w:hAnsi="仿宋_GB2312" w:eastAsia="仿宋_GB2312" w:cs="仿宋_GB2312"/>
          <w:sz w:val="32"/>
          <w:szCs w:val="32"/>
        </w:rPr>
        <w:t>.资金监控预警和决策支持</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一是构建具有航空工业特色的风险防控体系。通过大数据和AI算法模型实时识别和监控各类风险，重点聚焦国资委关注的四大类风险和虚假贸易风险，确保资金管理的安全性和合规性。通过流程分级授权，将集团内部控制管理规则嵌入系统，确保各级员工只能在授权范围内操作系统，从而有效地防止内部操作风险，提高企业运营的规范性和安全性。系统集成了客商黑名单管理和风险预测预警功能，能够实时评估客商信用，对潜在风险进行早期识别和中期监控，显著降低集团公司及所属企业面临的流动性和信用风险。</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二是多维度分析指标监控。通过对300多个监控指标和多维度分析，对资金使用、风险控制、财务管理提供详尽的业务洞察，支持复杂的业务场景和决策需求。</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三是实现决策支持与业务智能化。通过人工智能、自然语言识别和NL2SQL等前沿技术，提供高效、便捷的决策支持。通过自然语言查询获取数据，系统智能转化，实现数据分析和预测，为管理决策层提供科学的数据支撑。通过实时数据分析监控，增强决策数据驱动性，提升企业响应速度和市场竞争力。</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四是初步搭建知识管理与问答系统。融合前沿技术问答系统，实现数据库查询、文档问答、通用知识问答的功能。支持一键式完成模型训练、评估与导出。</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10</w:t>
      </w:r>
      <w:r>
        <w:rPr>
          <w:rFonts w:hint="eastAsia" w:ascii="仿宋_GB2312" w:hAnsi="仿宋_GB2312" w:eastAsia="仿宋_GB2312" w:cs="仿宋_GB2312"/>
          <w:sz w:val="32"/>
          <w:szCs w:val="32"/>
        </w:rPr>
        <w:t>.挂靠经营</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ascii="仿宋_GB2312" w:hAnsi="仿宋_GB2312" w:eastAsia="仿宋_GB2312" w:cs="仿宋_GB2312"/>
          <w:sz w:val="32"/>
          <w:szCs w:val="32"/>
          <w:highlight w:val="yellow"/>
        </w:rPr>
      </w:pPr>
      <w:r>
        <w:rPr>
          <w:rFonts w:hint="eastAsia" w:ascii="仿宋_GB2312" w:hAnsi="仿宋_GB2312" w:eastAsia="仿宋_GB2312" w:cs="仿宋_GB2312"/>
          <w:sz w:val="32"/>
          <w:szCs w:val="32"/>
        </w:rPr>
        <w:t>以全级次合并单位清单为核对基础，通过外采工商数据全面梳理全级次单位对外投资信息，结合名称相似度筛查，建立挂靠单位筛查模型，实现对集团挂靠单位的自动筛查，实现对挂靠费等异常收支进行实时监测。</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1</w:t>
      </w:r>
      <w:r>
        <w:rPr>
          <w:rFonts w:hint="eastAsia" w:ascii="仿宋_GB2312" w:hAnsi="仿宋_GB2312" w:eastAsia="仿宋_GB2312" w:cs="仿宋_GB2312"/>
          <w:sz w:val="32"/>
          <w:szCs w:val="32"/>
          <w:lang w:val="en-US" w:eastAsia="zh-CN"/>
        </w:rPr>
        <w:t>1</w:t>
      </w:r>
      <w:r>
        <w:rPr>
          <w:rFonts w:hint="eastAsia" w:ascii="仿宋_GB2312" w:hAnsi="仿宋_GB2312" w:eastAsia="仿宋_GB2312" w:cs="仿宋_GB2312"/>
          <w:sz w:val="32"/>
          <w:szCs w:val="32"/>
        </w:rPr>
        <w:t>.薪酬Y</w:t>
      </w:r>
      <w:r>
        <w:rPr>
          <w:rFonts w:ascii="仿宋_GB2312" w:hAnsi="仿宋_GB2312" w:eastAsia="仿宋_GB2312" w:cs="仿宋_GB2312"/>
          <w:sz w:val="32"/>
          <w:szCs w:val="32"/>
        </w:rPr>
        <w:t>J</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ascii="仿宋_GB2312" w:hAnsi="仿宋_GB2312" w:eastAsia="仿宋_GB2312" w:cs="仿宋_GB2312"/>
          <w:sz w:val="32"/>
          <w:szCs w:val="32"/>
          <w:highlight w:val="yellow"/>
        </w:rPr>
      </w:pPr>
      <w:r>
        <w:rPr>
          <w:rFonts w:hint="eastAsia" w:ascii="仿宋_GB2312" w:hAnsi="仿宋_GB2312" w:eastAsia="仿宋_GB2312" w:cs="仿宋_GB2312"/>
          <w:sz w:val="32"/>
          <w:szCs w:val="32"/>
        </w:rPr>
        <w:t>通过建立薪酬和境外YJ功能模块，实现全级次相关数据的动态穿透监测。一方面，通过系统完成2023 年四季度、2024年一季度境外 YJ资金结算情况和业务管理情况数据采集，有效提升中央企业境外YJ监管管理工作效率。另一方面，完成中央企业有关人员收入情况、企业人工成本管理情况和农民工工资情况三方面收入分配数据采集功能部署，支持按照国标、行标、国资委标准对填报数据自动进行数据逻辑性、合规性校验转换，进一步提升采集效率、改善采集数据质量。</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1</w:t>
      </w:r>
      <w:r>
        <w:rPr>
          <w:rFonts w:hint="eastAsia" w:ascii="仿宋_GB2312" w:hAnsi="仿宋_GB2312" w:eastAsia="仿宋_GB2312" w:cs="仿宋_GB2312"/>
          <w:sz w:val="32"/>
          <w:szCs w:val="32"/>
          <w:lang w:val="en-US" w:eastAsia="zh-CN"/>
        </w:rPr>
        <w:t>2</w:t>
      </w:r>
      <w:r>
        <w:rPr>
          <w:rFonts w:ascii="仿宋_GB2312" w:hAnsi="仿宋_GB2312" w:eastAsia="仿宋_GB2312" w:cs="仿宋_GB2312"/>
          <w:sz w:val="32"/>
          <w:szCs w:val="32"/>
        </w:rPr>
        <w:t>.</w:t>
      </w:r>
      <w:r>
        <w:rPr>
          <w:rFonts w:hint="eastAsia" w:ascii="仿宋_GB2312" w:hAnsi="仿宋_GB2312" w:eastAsia="仿宋_GB2312" w:cs="仿宋_GB2312"/>
          <w:sz w:val="32"/>
          <w:szCs w:val="32"/>
        </w:rPr>
        <w:t>数据治理</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建成司库数据仓库，自动抽取司库业务数据并统一存储，按照国资委标准，对汇集后的数据进行梳理整合，形成规范、标准、统一的数据视图。截至目前，构建司库及金融相关主体域共17个，梳理形成主题表109张，包含字段数为2554个。建设数据中台，支持多种方式进行数据建模实现数据灵活组合，能够将数据资产发布为数据服务，支持API、库对库灵活的数据提供方式。对数据治理过程所涉及的数据采集、数据建模、元数据管理、数据标准、数据质量、数据资产、数据服务等功能进行统一管理，形成了全套的数据治理工具。</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ascii="仿宋_GB2312" w:hAnsi="仿宋_GB2312" w:eastAsia="仿宋_GB2312" w:cs="仿宋_GB2312"/>
          <w:sz w:val="32"/>
          <w:szCs w:val="32"/>
        </w:rPr>
      </w:pPr>
      <w:r>
        <w:rPr>
          <w:rFonts w:ascii="仿宋_GB2312" w:hAnsi="仿宋_GB2312" w:eastAsia="仿宋_GB2312" w:cs="仿宋_GB2312"/>
          <w:sz w:val="32"/>
          <w:szCs w:val="32"/>
        </w:rPr>
        <w:t>1</w:t>
      </w:r>
      <w:r>
        <w:rPr>
          <w:rFonts w:hint="eastAsia" w:ascii="仿宋_GB2312" w:hAnsi="仿宋_GB2312" w:eastAsia="仿宋_GB2312" w:cs="仿宋_GB2312"/>
          <w:sz w:val="32"/>
          <w:szCs w:val="32"/>
          <w:lang w:val="en-US" w:eastAsia="zh-CN"/>
        </w:rPr>
        <w:t>3</w:t>
      </w:r>
      <w:r>
        <w:rPr>
          <w:rFonts w:ascii="仿宋_GB2312" w:hAnsi="仿宋_GB2312" w:eastAsia="仿宋_GB2312" w:cs="仿宋_GB2312"/>
          <w:sz w:val="32"/>
          <w:szCs w:val="32"/>
        </w:rPr>
        <w:t>.</w:t>
      </w:r>
      <w:r>
        <w:rPr>
          <w:rFonts w:hint="eastAsia" w:ascii="仿宋_GB2312" w:hAnsi="仿宋_GB2312" w:eastAsia="仿宋_GB2312" w:cs="仿宋_GB2312"/>
          <w:sz w:val="32"/>
          <w:szCs w:val="32"/>
        </w:rPr>
        <w:t>自主可控</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eastAsia="仿宋_GB2312" w:cs="仿宋_GB2312"/>
          <w:sz w:val="32"/>
          <w:szCs w:val="32"/>
        </w:rPr>
      </w:pPr>
      <w:r>
        <w:rPr>
          <w:rFonts w:hint="eastAsia" w:ascii="仿宋_GB2312" w:hAnsi="仿宋_GB2312" w:eastAsia="仿宋_GB2312" w:cs="仿宋_GB2312"/>
          <w:sz w:val="32"/>
          <w:szCs w:val="32"/>
        </w:rPr>
        <w:t>随着国家信息安全战略的深入实施，信息系统自主可控成为关键一环，集团公司积极响应国家号召，在司库建设中高度重视信创要求，取得显著成效。司库系统在数据库层面全面采用国产TIDB、达梦数据库，在操作系统及硬件层面采用银河麒麟OS和基于海光CPU的服务器，安全防护能力得到显著提升，在自主可控方面取得长足进展。未来，将继续深化国产化替代工作，积极与国内优秀企业合作，推动信息技术国产化发展。</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eastAsia="仿宋_GB2312" w:cs="仿宋_GB2312"/>
          <w:sz w:val="32"/>
          <w:szCs w:val="32"/>
        </w:rPr>
      </w:pPr>
      <w:r>
        <w:rPr>
          <w:rFonts w:hint="eastAsia" w:eastAsia="仿宋_GB2312" w:cs="仿宋_GB2312"/>
          <w:sz w:val="32"/>
          <w:szCs w:val="32"/>
        </w:rPr>
        <w:t>制定《司库管理信息系统建设网络安全方案》，邀请外部专家对司库信息系统开展安全性、可靠性等测试，全面完成等级保护三级安全测评和备案。实现应用系统和生产数据的异地备份。对司库模块进行分级分类，确保业务连续性。对数据收集、存储、加工等实施防护措施，对关键核心数据进行加密存储。</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ascii="楷体" w:hAnsi="楷体" w:eastAsia="楷体" w:cs="仿宋_GB2312"/>
          <w:sz w:val="32"/>
          <w:szCs w:val="32"/>
        </w:rPr>
      </w:pPr>
      <w:r>
        <w:rPr>
          <w:rFonts w:hint="eastAsia" w:ascii="楷体" w:hAnsi="楷体" w:eastAsia="楷体" w:cs="仿宋_GB2312"/>
          <w:sz w:val="32"/>
          <w:szCs w:val="32"/>
        </w:rPr>
        <w:t>（二）司库体系建成应用后取得的成效</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1.银行账户管理规范性持续提升，资金池稳定性显著增强</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司库上线以来，集团公司对全级次、境内外银行账户进行全生命周期规范管理，累计清理注销1174个银行账户；对5873个境内银行账户进行实时监控，通过手工上传实现1143个境外银行账户的动态监控，境内可联网账户联网率由2021年的83.20%提升至99%以上。通过对低效无效账户、超限额非直连账户的预警监控，形成账户管理良性循环，规范性持续提升。</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同时，集团公司资金集中率稳中有升，存款偏离度大幅改善，资金集中稳定性提升显著。全口径资金集中率由从2021末72.39%提升至77.57%，可归集资金集中率由93.9%提升至95.6%。归集资金月度偏离度由24%将至7%，有效促进司库流动性风险防控、提升资金运营效率效益。</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ascii="仿宋_GB2312" w:hAnsi="仿宋_GB2312" w:eastAsia="仿宋_GB2312" w:cs="仿宋_GB2312"/>
          <w:sz w:val="32"/>
          <w:szCs w:val="32"/>
        </w:rPr>
      </w:pPr>
      <w:r>
        <w:rPr>
          <w:rFonts w:ascii="仿宋_GB2312" w:hAnsi="仿宋_GB2312" w:eastAsia="仿宋_GB2312" w:cs="仿宋_GB2312"/>
          <w:sz w:val="32"/>
          <w:szCs w:val="32"/>
        </w:rPr>
        <w:t>2</w:t>
      </w:r>
      <w:r>
        <w:rPr>
          <w:rFonts w:hint="eastAsia" w:ascii="仿宋_GB2312" w:hAnsi="仿宋_GB2312" w:eastAsia="仿宋_GB2312" w:cs="仿宋_GB2312"/>
          <w:sz w:val="32"/>
          <w:szCs w:val="32"/>
        </w:rPr>
        <w:t>.内源融资规模大幅提升，资产负债率和融资成本明显降低</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依托司库系统，开展债务融资统筹管理试点，充分发挥集团集中议价优势，分类统筹管理外源融资，提升内源融资规模，降低集团公司整体资产负债率和融资成本。2024年3月末，财务公司内源融资规模达583亿元，同比大幅增长52%，创历史新高，降低整体资产负债率约1.27个百分点，资金投放 81%聚焦到首责主责主业。2023年平均融资成本为3.45%，较2021年下降27个BP，2024年一季度平均融资成本3.27%，较上年进一步降低18个BP。2023年全年内源融资节约财务费用12.25亿元，统筹外源融资相较于LPR在融资存续期内节约财务费用 4.8亿元。</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ascii="仿宋_GB2312" w:hAnsi="仿宋_GB2312" w:eastAsia="仿宋_GB2312" w:cs="仿宋_GB2312"/>
          <w:sz w:val="32"/>
          <w:szCs w:val="32"/>
        </w:rPr>
      </w:pPr>
      <w:r>
        <w:rPr>
          <w:rFonts w:ascii="仿宋_GB2312" w:hAnsi="仿宋_GB2312" w:eastAsia="仿宋_GB2312" w:cs="仿宋_GB2312"/>
          <w:sz w:val="32"/>
          <w:szCs w:val="32"/>
        </w:rPr>
        <w:t>3</w:t>
      </w:r>
      <w:r>
        <w:rPr>
          <w:rFonts w:hint="eastAsia" w:ascii="仿宋_GB2312" w:hAnsi="仿宋_GB2312" w:eastAsia="仿宋_GB2312" w:cs="仿宋_GB2312"/>
          <w:sz w:val="32"/>
          <w:szCs w:val="32"/>
        </w:rPr>
        <w:t>.票据集中管理水平大幅增长，票据风险得到有效防范</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通过票据集中管理工作，全集团未发生伪假票据风险事件，票据动态可视率由2021年末40%上升至100%，对全级次单位应收应付票据实现动态采集与可视监控。票据集中度进一步提高，2024年1至3月商票出票发生额集中度由上线前的不足40%上升至88.96%，线上清算率达99%，票据清算当天瞬时到账，清算时间缩短50%，提升了资金使用效率，司库平台未发生票据逾期。</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ascii="仿宋_GB2312" w:hAnsi="仿宋_GB2312" w:eastAsia="仿宋_GB2312" w:cs="仿宋_GB2312"/>
          <w:sz w:val="32"/>
          <w:szCs w:val="32"/>
        </w:rPr>
      </w:pPr>
      <w:r>
        <w:rPr>
          <w:rFonts w:ascii="仿宋_GB2312" w:hAnsi="仿宋_GB2312" w:eastAsia="仿宋_GB2312" w:cs="仿宋_GB2312"/>
          <w:sz w:val="32"/>
          <w:szCs w:val="32"/>
        </w:rPr>
        <w:t>4</w:t>
      </w:r>
      <w:r>
        <w:rPr>
          <w:rFonts w:hint="eastAsia" w:ascii="仿宋_GB2312" w:hAnsi="仿宋_GB2312" w:eastAsia="仿宋_GB2312" w:cs="仿宋_GB2312"/>
          <w:sz w:val="32"/>
          <w:szCs w:val="32"/>
        </w:rPr>
        <w:t>.供应链金融服务质效持续凸显</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司库供应链金融服务平台集成13家外部金融机构的低成本金融资源，精准对接供应链实体企业特别是中小企业在生产、流通、交易等各环节的金融需求，2023年全年为航空产业链2247家供应商提供融资服务22.37亿元。同时，通过及时获取信用结算工具到期兑付风险情况以及交易背景情况，排查隐患，提升了风险防控能力。截止目前，全部业务基于真实交易背景开展，无逾期余额。</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5.</w:t>
      </w:r>
      <w:r>
        <w:rPr>
          <w:rFonts w:hint="eastAsia"/>
        </w:rPr>
        <w:t xml:space="preserve"> </w:t>
      </w:r>
      <w:r>
        <w:rPr>
          <w:rFonts w:hint="eastAsia" w:ascii="仿宋_GB2312" w:hAnsi="仿宋_GB2312" w:eastAsia="仿宋_GB2312" w:cs="仿宋_GB2312"/>
          <w:sz w:val="32"/>
          <w:szCs w:val="32"/>
        </w:rPr>
        <w:t>构建具有航空工业特色的“1234”资金风险防控体系</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锁定“集团资金风险防控转型升级”这</w:t>
      </w:r>
      <w:r>
        <w:rPr>
          <w:rFonts w:hint="eastAsia" w:ascii="仿宋_GB2312" w:hAnsi="仿宋_GB2312" w:eastAsia="仿宋_GB2312" w:cs="仿宋_GB2312"/>
          <w:b/>
          <w:sz w:val="32"/>
          <w:szCs w:val="32"/>
        </w:rPr>
        <w:t>一个目标</w:t>
      </w:r>
      <w:r>
        <w:rPr>
          <w:rFonts w:hint="eastAsia" w:ascii="仿宋_GB2312" w:hAnsi="仿宋_GB2312" w:eastAsia="仿宋_GB2312" w:cs="仿宋_GB2312"/>
          <w:sz w:val="32"/>
          <w:szCs w:val="32"/>
        </w:rPr>
        <w:t>，以信息资源集中和管控手段统一为</w:t>
      </w:r>
      <w:r>
        <w:rPr>
          <w:rFonts w:hint="eastAsia" w:ascii="仿宋_GB2312" w:hAnsi="仿宋_GB2312" w:eastAsia="仿宋_GB2312" w:cs="仿宋_GB2312"/>
          <w:b/>
          <w:sz w:val="32"/>
          <w:szCs w:val="32"/>
        </w:rPr>
        <w:t>两个依托重点</w:t>
      </w:r>
      <w:r>
        <w:rPr>
          <w:rFonts w:hint="eastAsia" w:ascii="仿宋_GB2312" w:hAnsi="仿宋_GB2312" w:eastAsia="仿宋_GB2312" w:cs="仿宋_GB2312"/>
          <w:sz w:val="32"/>
          <w:szCs w:val="32"/>
        </w:rPr>
        <w:t>，强化“集团统一领导、财务公司为依托平台、成员单位落实执行”的</w:t>
      </w:r>
      <w:r>
        <w:rPr>
          <w:rFonts w:hint="eastAsia" w:ascii="仿宋_GB2312" w:hAnsi="仿宋_GB2312" w:eastAsia="仿宋_GB2312" w:cs="仿宋_GB2312"/>
          <w:b/>
          <w:sz w:val="32"/>
          <w:szCs w:val="32"/>
        </w:rPr>
        <w:t>三级部署</w:t>
      </w:r>
      <w:r>
        <w:rPr>
          <w:rFonts w:hint="eastAsia" w:ascii="仿宋_GB2312" w:hAnsi="仿宋_GB2312" w:eastAsia="仿宋_GB2312" w:cs="仿宋_GB2312"/>
          <w:sz w:val="32"/>
          <w:szCs w:val="32"/>
        </w:rPr>
        <w:t>，重点管控“资金舞弊风险、合规性风险、流动性风险、金融市场风险”</w:t>
      </w:r>
      <w:r>
        <w:rPr>
          <w:rFonts w:hint="eastAsia" w:ascii="仿宋_GB2312" w:hAnsi="仿宋_GB2312" w:eastAsia="仿宋_GB2312" w:cs="仿宋_GB2312"/>
          <w:b/>
          <w:sz w:val="32"/>
          <w:szCs w:val="32"/>
        </w:rPr>
        <w:t>四类风险</w:t>
      </w:r>
      <w:r>
        <w:rPr>
          <w:rFonts w:hint="eastAsia" w:ascii="仿宋_GB2312" w:hAnsi="仿宋_GB2312" w:eastAsia="仿宋_GB2312" w:cs="仿宋_GB2312"/>
          <w:sz w:val="32"/>
          <w:szCs w:val="32"/>
        </w:rPr>
        <w:t>，建设风险防控功能模块，在13个维度上进行重点监控，识别四类风险相关的169个管控指征，构建了资金风险防控体系。该成果已被国资委《国有企业经济运行动态——司库体系建设交流专刊》刊发。</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一是防范舞弊风险。司库系统身份认证采用集团商网办公平台统一认证体系，杜绝“僵尸账号”和“过期”权限。司库系统提供个性化规则引擎，通过系统功能设置审批要素和审批判断条件，实现制度流程化、流程信息化。</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二是防范合规风险。进一步加强账户管理和票据风险监控，在资金支付环节对金额、频次、用途、对象均设置了触警阈值。通过建立司库黑名单体系，集成国资委、工信部、公安部、司法部、人民银行等十个监管机构的公示信息，动态更新登记资金往来黑名单超46万家次，累计提示预警交易风险6万余次。</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三是防范流动性风险。通过对各企业带息负债规模、资产负债率情况、经营性现金流预测、银行存款余额、集中兑付压力等指标实时监测，识别并动态更新流动性风险较高企业名单。建立全集团单位的信用五级分类矩阵，将各单位债务融资金额与期限与现金流情况相匹配，并建立了重点关注企业名单，实施司库流动性预警。建立银行评价体系，每季度对集团战略合作银行进行评分，为与银行开展业务合作提供重要决策依据。</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四是防范金融市场风险。通过监测利率、汇率和金融衍生业务，提供宏观资讯展示，提升集团和成员单位的风险管理能力。加强金融衍生业务管理，固化“先有资质、后有计划”的审批逻辑，与各单位金融衍生业务信息系统直连对接，实现风险监控从“事后管理”转为“事中监控、预警”和“一键生成、自动汇总，事后闭环”的报告制度。</w:t>
      </w:r>
    </w:p>
    <w:p>
      <w:pPr>
        <w:keepNext w:val="0"/>
        <w:keepLines w:val="0"/>
        <w:pageBreakBefore w:val="0"/>
        <w:widowControl w:val="0"/>
        <w:kinsoku/>
        <w:wordWrap/>
        <w:overflowPunct/>
        <w:topLinePunct w:val="0"/>
        <w:autoSpaceDE/>
        <w:autoSpaceDN/>
        <w:bidi w:val="0"/>
        <w:adjustRightInd/>
        <w:snapToGrid/>
        <w:spacing w:line="560" w:lineRule="exact"/>
        <w:ind w:left="640"/>
        <w:jc w:val="both"/>
        <w:textAlignment w:val="auto"/>
        <w:rPr>
          <w:rFonts w:ascii="黑体" w:hAnsi="黑体" w:eastAsia="黑体" w:cs="黑体"/>
          <w:sz w:val="32"/>
          <w:szCs w:val="32"/>
        </w:rPr>
      </w:pPr>
      <w:r>
        <w:rPr>
          <w:rFonts w:hint="eastAsia" w:ascii="黑体" w:hAnsi="黑体" w:eastAsia="黑体" w:cs="黑体"/>
          <w:sz w:val="32"/>
          <w:szCs w:val="32"/>
        </w:rPr>
        <w:t>三、存在的问题</w:t>
      </w:r>
      <w:r>
        <w:rPr>
          <w:rFonts w:ascii="黑体" w:hAnsi="黑体" w:eastAsia="黑体" w:cs="黑体"/>
          <w:sz w:val="32"/>
          <w:szCs w:val="32"/>
        </w:rPr>
        <w:t>及下一步工作安排</w:t>
      </w:r>
    </w:p>
    <w:p>
      <w:pPr>
        <w:keepNext w:val="0"/>
        <w:keepLines w:val="0"/>
        <w:pageBreakBefore w:val="0"/>
        <w:widowControl w:val="0"/>
        <w:kinsoku/>
        <w:wordWrap/>
        <w:overflowPunct/>
        <w:topLinePunct w:val="0"/>
        <w:autoSpaceDE/>
        <w:autoSpaceDN/>
        <w:bidi w:val="0"/>
        <w:adjustRightInd/>
        <w:snapToGrid/>
        <w:spacing w:line="560" w:lineRule="exact"/>
        <w:ind w:firstLine="640"/>
        <w:jc w:val="both"/>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2</w:t>
      </w:r>
      <w:r>
        <w:rPr>
          <w:rFonts w:ascii="仿宋_GB2312" w:hAnsi="仿宋_GB2312" w:eastAsia="仿宋_GB2312" w:cs="仿宋_GB2312"/>
          <w:sz w:val="32"/>
          <w:szCs w:val="32"/>
        </w:rPr>
        <w:t>024</w:t>
      </w:r>
      <w:r>
        <w:rPr>
          <w:rFonts w:hint="eastAsia" w:ascii="仿宋_GB2312" w:hAnsi="仿宋_GB2312" w:eastAsia="仿宋_GB2312" w:cs="仿宋_GB2312"/>
          <w:sz w:val="32"/>
          <w:szCs w:val="32"/>
        </w:rPr>
        <w:t>年，集团公司将进一步推进司库体系建设，以司库体系良好运营和迭代，不断促进资金管理转型升级。</w:t>
      </w:r>
    </w:p>
    <w:p>
      <w:pPr>
        <w:keepNext w:val="0"/>
        <w:keepLines w:val="0"/>
        <w:pageBreakBefore w:val="0"/>
        <w:widowControl w:val="0"/>
        <w:kinsoku/>
        <w:wordWrap/>
        <w:overflowPunct/>
        <w:topLinePunct w:val="0"/>
        <w:autoSpaceDE/>
        <w:autoSpaceDN/>
        <w:bidi w:val="0"/>
        <w:adjustRightInd/>
        <w:snapToGrid/>
        <w:spacing w:line="560" w:lineRule="exact"/>
        <w:ind w:firstLine="640"/>
        <w:jc w:val="both"/>
        <w:textAlignment w:val="auto"/>
        <w:rPr>
          <w:rFonts w:ascii="仿宋_GB2312" w:hAnsi="仿宋_GB2312" w:eastAsia="仿宋_GB2312" w:cs="仿宋_GB2312"/>
          <w:sz w:val="32"/>
          <w:szCs w:val="32"/>
        </w:rPr>
      </w:pPr>
      <w:r>
        <w:rPr>
          <w:rFonts w:ascii="仿宋_GB2312" w:hAnsi="仿宋_GB2312" w:eastAsia="仿宋_GB2312" w:cs="仿宋_GB2312"/>
          <w:sz w:val="32"/>
          <w:szCs w:val="32"/>
        </w:rPr>
        <w:t>1</w:t>
      </w:r>
      <w:r>
        <w:rPr>
          <w:rFonts w:hint="eastAsia" w:ascii="仿宋_GB2312" w:hAnsi="仿宋_GB2312" w:eastAsia="仿宋_GB2312" w:cs="仿宋_GB2312"/>
          <w:sz w:val="32"/>
          <w:szCs w:val="32"/>
        </w:rPr>
        <w:t>.坚持强化司库价值驱动</w:t>
      </w:r>
    </w:p>
    <w:p>
      <w:pPr>
        <w:keepNext w:val="0"/>
        <w:keepLines w:val="0"/>
        <w:pageBreakBefore w:val="0"/>
        <w:widowControl w:val="0"/>
        <w:kinsoku/>
        <w:wordWrap/>
        <w:overflowPunct/>
        <w:topLinePunct w:val="0"/>
        <w:autoSpaceDE/>
        <w:autoSpaceDN/>
        <w:bidi w:val="0"/>
        <w:adjustRightInd/>
        <w:snapToGrid/>
        <w:spacing w:line="560" w:lineRule="exact"/>
        <w:ind w:firstLine="640"/>
        <w:jc w:val="both"/>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一是加强资金集中。坚持深化集团统一资金池、统一票据池、统一债务池建设，不断促进资金等各类金融资源看得见、调得动、管得住、用得好。</w:t>
      </w:r>
    </w:p>
    <w:p>
      <w:pPr>
        <w:keepNext w:val="0"/>
        <w:keepLines w:val="0"/>
        <w:pageBreakBefore w:val="0"/>
        <w:widowControl w:val="0"/>
        <w:kinsoku/>
        <w:wordWrap/>
        <w:overflowPunct/>
        <w:topLinePunct w:val="0"/>
        <w:autoSpaceDE/>
        <w:autoSpaceDN/>
        <w:bidi w:val="0"/>
        <w:adjustRightInd/>
        <w:snapToGrid/>
        <w:spacing w:line="560" w:lineRule="exact"/>
        <w:ind w:firstLine="640"/>
        <w:jc w:val="both"/>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二是加强信息集中。建立集团全级次资金信息“一本账”，不断统一资金管理流程和规则，实现报表自动化。</w:t>
      </w:r>
    </w:p>
    <w:p>
      <w:pPr>
        <w:keepNext w:val="0"/>
        <w:keepLines w:val="0"/>
        <w:pageBreakBefore w:val="0"/>
        <w:widowControl w:val="0"/>
        <w:kinsoku/>
        <w:wordWrap/>
        <w:overflowPunct/>
        <w:topLinePunct w:val="0"/>
        <w:autoSpaceDE/>
        <w:autoSpaceDN/>
        <w:bidi w:val="0"/>
        <w:adjustRightInd/>
        <w:snapToGrid/>
        <w:spacing w:line="560" w:lineRule="exact"/>
        <w:ind w:firstLine="640"/>
        <w:jc w:val="both"/>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三是进一步开展数据挖掘，支持经营决策，促进资金管理向“集约化、精益化、数字化、智能化”转型升级。</w:t>
      </w:r>
    </w:p>
    <w:p>
      <w:pPr>
        <w:keepNext w:val="0"/>
        <w:keepLines w:val="0"/>
        <w:pageBreakBefore w:val="0"/>
        <w:widowControl w:val="0"/>
        <w:kinsoku/>
        <w:wordWrap/>
        <w:overflowPunct/>
        <w:topLinePunct w:val="0"/>
        <w:autoSpaceDE/>
        <w:autoSpaceDN/>
        <w:bidi w:val="0"/>
        <w:adjustRightInd/>
        <w:snapToGrid/>
        <w:spacing w:line="560" w:lineRule="exact"/>
        <w:ind w:firstLine="640"/>
        <w:jc w:val="both"/>
        <w:textAlignment w:val="auto"/>
        <w:rPr>
          <w:rFonts w:ascii="仿宋_GB2312" w:hAnsi="仿宋_GB2312" w:eastAsia="仿宋_GB2312" w:cs="仿宋_GB2312"/>
          <w:sz w:val="32"/>
          <w:szCs w:val="32"/>
        </w:rPr>
      </w:pPr>
      <w:r>
        <w:rPr>
          <w:rFonts w:ascii="仿宋_GB2312" w:hAnsi="仿宋_GB2312" w:eastAsia="仿宋_GB2312" w:cs="仿宋_GB2312"/>
          <w:sz w:val="32"/>
          <w:szCs w:val="32"/>
        </w:rPr>
        <w:t>2</w:t>
      </w:r>
      <w:r>
        <w:rPr>
          <w:rFonts w:hint="eastAsia" w:ascii="仿宋_GB2312" w:hAnsi="仿宋_GB2312" w:eastAsia="仿宋_GB2312" w:cs="仿宋_GB2312"/>
          <w:sz w:val="32"/>
          <w:szCs w:val="32"/>
        </w:rPr>
        <w:t>.坚持强化司库功能驱动</w:t>
      </w:r>
    </w:p>
    <w:p>
      <w:pPr>
        <w:keepNext w:val="0"/>
        <w:keepLines w:val="0"/>
        <w:pageBreakBefore w:val="0"/>
        <w:widowControl w:val="0"/>
        <w:kinsoku/>
        <w:wordWrap/>
        <w:overflowPunct/>
        <w:topLinePunct w:val="0"/>
        <w:autoSpaceDE/>
        <w:autoSpaceDN/>
        <w:bidi w:val="0"/>
        <w:adjustRightInd/>
        <w:snapToGrid/>
        <w:spacing w:line="560" w:lineRule="exact"/>
        <w:ind w:firstLine="640"/>
        <w:jc w:val="both"/>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一是不断推进司库系统迭代升级。深化资金集中管理，强化账户实时监控，实现境外账户常态化管理。深化资金结算管理，把好资金支付关。深耕资金预算管理，坚持“无预算不开支，有预算不超支”。加强债务融资管理，优化融资统筹平台功能，助力降低集团带息负债和融资成本。</w:t>
      </w:r>
    </w:p>
    <w:p>
      <w:pPr>
        <w:keepNext w:val="0"/>
        <w:keepLines w:val="0"/>
        <w:pageBreakBefore w:val="0"/>
        <w:widowControl w:val="0"/>
        <w:kinsoku/>
        <w:wordWrap/>
        <w:overflowPunct/>
        <w:topLinePunct w:val="0"/>
        <w:autoSpaceDE/>
        <w:autoSpaceDN/>
        <w:bidi w:val="0"/>
        <w:adjustRightInd/>
        <w:snapToGrid/>
        <w:spacing w:line="560" w:lineRule="exact"/>
        <w:ind w:firstLine="640"/>
        <w:jc w:val="both"/>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二是开发司库体系考核评价指标系统模块，支撑司库运营常态化考核评价。</w:t>
      </w:r>
    </w:p>
    <w:p>
      <w:pPr>
        <w:keepNext w:val="0"/>
        <w:keepLines w:val="0"/>
        <w:pageBreakBefore w:val="0"/>
        <w:widowControl w:val="0"/>
        <w:kinsoku/>
        <w:wordWrap/>
        <w:overflowPunct/>
        <w:topLinePunct w:val="0"/>
        <w:autoSpaceDE/>
        <w:autoSpaceDN/>
        <w:bidi w:val="0"/>
        <w:adjustRightInd/>
        <w:snapToGrid/>
        <w:spacing w:line="560" w:lineRule="exact"/>
        <w:ind w:firstLine="640"/>
        <w:jc w:val="both"/>
        <w:textAlignment w:val="auto"/>
        <w:rPr>
          <w:rFonts w:ascii="仿宋_GB2312" w:hAnsi="仿宋_GB2312" w:eastAsia="仿宋_GB2312" w:cs="仿宋_GB2312"/>
          <w:sz w:val="32"/>
          <w:szCs w:val="32"/>
        </w:rPr>
      </w:pPr>
      <w:r>
        <w:rPr>
          <w:rFonts w:ascii="仿宋_GB2312" w:hAnsi="仿宋_GB2312" w:eastAsia="仿宋_GB2312" w:cs="仿宋_GB2312"/>
          <w:sz w:val="32"/>
          <w:szCs w:val="32"/>
        </w:rPr>
        <w:t>3</w:t>
      </w:r>
      <w:r>
        <w:rPr>
          <w:rFonts w:hint="eastAsia" w:ascii="仿宋_GB2312" w:hAnsi="仿宋_GB2312" w:eastAsia="仿宋_GB2312" w:cs="仿宋_GB2312"/>
          <w:sz w:val="32"/>
          <w:szCs w:val="32"/>
        </w:rPr>
        <w:t>.坚持强化司库数据驱动</w:t>
      </w:r>
    </w:p>
    <w:p>
      <w:pPr>
        <w:keepNext w:val="0"/>
        <w:keepLines w:val="0"/>
        <w:pageBreakBefore w:val="0"/>
        <w:widowControl w:val="0"/>
        <w:kinsoku/>
        <w:wordWrap/>
        <w:overflowPunct/>
        <w:topLinePunct w:val="0"/>
        <w:autoSpaceDE/>
        <w:autoSpaceDN/>
        <w:bidi w:val="0"/>
        <w:adjustRightInd/>
        <w:snapToGrid/>
        <w:spacing w:line="560" w:lineRule="exact"/>
        <w:ind w:firstLine="640"/>
        <w:jc w:val="both"/>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一是持续优化数据治理体系建设，不断优化现有数据标准，补充纳入新发现的数据字段，建立完善的数据安全管理制度，采用先进技术手段，不断提高数据安全防护能力。开展数据质量监测评估。</w:t>
      </w:r>
    </w:p>
    <w:p>
      <w:pPr>
        <w:keepNext w:val="0"/>
        <w:keepLines w:val="0"/>
        <w:pageBreakBefore w:val="0"/>
        <w:widowControl w:val="0"/>
        <w:kinsoku/>
        <w:wordWrap/>
        <w:overflowPunct/>
        <w:topLinePunct w:val="0"/>
        <w:autoSpaceDE/>
        <w:autoSpaceDN/>
        <w:bidi w:val="0"/>
        <w:adjustRightInd/>
        <w:snapToGrid/>
        <w:spacing w:line="560" w:lineRule="exact"/>
        <w:ind w:firstLine="640"/>
        <w:jc w:val="both"/>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二是统一数据管理标准，不断完善统一的司库主数据管理和共享平台。进一步完善数据产生、采集、清洗、整合、分析和应用的全生命周期的治理体系，对全场景数据进行标签化、颗粒化、标准化，为科学高效决策分析提供数据支撑。</w:t>
      </w:r>
    </w:p>
    <w:p>
      <w:pPr>
        <w:keepNext w:val="0"/>
        <w:keepLines w:val="0"/>
        <w:pageBreakBefore w:val="0"/>
        <w:widowControl w:val="0"/>
        <w:kinsoku/>
        <w:wordWrap/>
        <w:overflowPunct/>
        <w:topLinePunct w:val="0"/>
        <w:autoSpaceDE/>
        <w:autoSpaceDN/>
        <w:bidi w:val="0"/>
        <w:adjustRightInd/>
        <w:snapToGrid/>
        <w:spacing w:line="560" w:lineRule="exact"/>
        <w:ind w:firstLine="640"/>
        <w:jc w:val="both"/>
        <w:textAlignment w:val="auto"/>
        <w:rPr>
          <w:rFonts w:ascii="仿宋_GB2312" w:hAnsi="仿宋_GB2312" w:eastAsia="仿宋_GB2312" w:cs="仿宋_GB2312"/>
          <w:sz w:val="32"/>
          <w:szCs w:val="32"/>
        </w:rPr>
      </w:pPr>
      <w:r>
        <w:rPr>
          <w:rFonts w:ascii="仿宋_GB2312" w:hAnsi="仿宋_GB2312" w:eastAsia="仿宋_GB2312" w:cs="仿宋_GB2312"/>
          <w:sz w:val="32"/>
          <w:szCs w:val="32"/>
        </w:rPr>
        <w:t>4</w:t>
      </w:r>
      <w:r>
        <w:rPr>
          <w:rFonts w:hint="eastAsia" w:ascii="仿宋_GB2312" w:hAnsi="仿宋_GB2312" w:eastAsia="仿宋_GB2312" w:cs="仿宋_GB2312"/>
          <w:sz w:val="32"/>
          <w:szCs w:val="32"/>
        </w:rPr>
        <w:t>.坚持强化司库技术驱动</w:t>
      </w:r>
    </w:p>
    <w:p>
      <w:pPr>
        <w:keepNext w:val="0"/>
        <w:keepLines w:val="0"/>
        <w:pageBreakBefore w:val="0"/>
        <w:widowControl w:val="0"/>
        <w:kinsoku/>
        <w:wordWrap/>
        <w:overflowPunct/>
        <w:topLinePunct w:val="0"/>
        <w:autoSpaceDE/>
        <w:autoSpaceDN/>
        <w:bidi w:val="0"/>
        <w:adjustRightInd/>
        <w:snapToGrid/>
        <w:spacing w:line="560" w:lineRule="exact"/>
        <w:ind w:firstLine="640"/>
        <w:jc w:val="both"/>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一是注重利用先进技术。充分利用人工智能、云计算等新一代智能技术，对资金管理全流程进行模拟映射、虚拟操作、辅助研判。增强经营活动分析的精度，决策支持的深度和财务风险管控的力度。</w:t>
      </w:r>
    </w:p>
    <w:p>
      <w:pPr>
        <w:keepNext w:val="0"/>
        <w:keepLines w:val="0"/>
        <w:pageBreakBefore w:val="0"/>
        <w:widowControl w:val="0"/>
        <w:kinsoku/>
        <w:wordWrap/>
        <w:overflowPunct/>
        <w:topLinePunct w:val="0"/>
        <w:autoSpaceDE/>
        <w:autoSpaceDN/>
        <w:bidi w:val="0"/>
        <w:adjustRightInd/>
        <w:snapToGrid/>
        <w:spacing w:line="560" w:lineRule="exact"/>
        <w:ind w:firstLine="640"/>
        <w:jc w:val="both"/>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二是不断优化模型，完善航空工业特色司库风险防控体系，加强风险识别、风险监控管理，为集团资金安全提供风险管理意见和建议，努力实现对舞弊风险、合规风险、流动性风险、市场风险的早发现、早预警、早处置。</w:t>
      </w:r>
    </w:p>
    <w:p>
      <w:pPr>
        <w:keepNext w:val="0"/>
        <w:keepLines w:val="0"/>
        <w:pageBreakBefore w:val="0"/>
        <w:widowControl w:val="0"/>
        <w:kinsoku/>
        <w:wordWrap/>
        <w:overflowPunct/>
        <w:topLinePunct w:val="0"/>
        <w:autoSpaceDE/>
        <w:autoSpaceDN/>
        <w:bidi w:val="0"/>
        <w:adjustRightInd/>
        <w:snapToGrid/>
        <w:spacing w:line="560" w:lineRule="exact"/>
        <w:ind w:firstLine="640"/>
        <w:jc w:val="both"/>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三是坚持强化生态融合。持续推进业务流、资金流、信息流、价值流的深度融合。广泛连接银行、税务、市场等外部数据，掌握宏观动态、行业趋势和集团外相关企业信用等信息。</w:t>
      </w:r>
    </w:p>
    <w:p>
      <w:pPr>
        <w:keepNext w:val="0"/>
        <w:keepLines w:val="0"/>
        <w:pageBreakBefore w:val="0"/>
        <w:widowControl w:val="0"/>
        <w:kinsoku/>
        <w:wordWrap/>
        <w:overflowPunct/>
        <w:topLinePunct w:val="0"/>
        <w:autoSpaceDE/>
        <w:autoSpaceDN/>
        <w:bidi w:val="0"/>
        <w:adjustRightInd/>
        <w:snapToGrid/>
        <w:spacing w:line="560" w:lineRule="exact"/>
        <w:ind w:firstLine="640"/>
        <w:jc w:val="both"/>
        <w:textAlignment w:val="auto"/>
        <w:rPr>
          <w:rFonts w:ascii="仿宋_GB2312" w:hAnsi="仿宋_GB2312" w:eastAsia="仿宋_GB2312" w:cs="仿宋_GB2312"/>
          <w:sz w:val="32"/>
          <w:szCs w:val="32"/>
        </w:rPr>
      </w:pPr>
      <w:r>
        <w:rPr>
          <w:rFonts w:ascii="仿宋_GB2312" w:hAnsi="仿宋_GB2312" w:eastAsia="仿宋_GB2312" w:cs="仿宋_GB2312"/>
          <w:sz w:val="32"/>
          <w:szCs w:val="32"/>
        </w:rPr>
        <w:t>5</w:t>
      </w:r>
      <w:r>
        <w:rPr>
          <w:rFonts w:hint="eastAsia" w:ascii="仿宋_GB2312" w:hAnsi="仿宋_GB2312" w:eastAsia="仿宋_GB2312" w:cs="仿宋_GB2312"/>
          <w:sz w:val="32"/>
          <w:szCs w:val="32"/>
        </w:rPr>
        <w:t>.坚持强化司库安全驱动</w:t>
      </w:r>
    </w:p>
    <w:p>
      <w:pPr>
        <w:keepNext w:val="0"/>
        <w:keepLines w:val="0"/>
        <w:pageBreakBefore w:val="0"/>
        <w:widowControl w:val="0"/>
        <w:kinsoku/>
        <w:wordWrap/>
        <w:overflowPunct/>
        <w:topLinePunct w:val="0"/>
        <w:autoSpaceDE/>
        <w:autoSpaceDN/>
        <w:bidi w:val="0"/>
        <w:adjustRightInd/>
        <w:snapToGrid/>
        <w:spacing w:line="560" w:lineRule="exact"/>
        <w:ind w:firstLine="640"/>
        <w:jc w:val="both"/>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一是确保系统安全。完善业务连续性管理能力，优化重要业务系统分级，加大灾备建设力度。</w:t>
      </w:r>
    </w:p>
    <w:p>
      <w:pPr>
        <w:keepNext w:val="0"/>
        <w:keepLines w:val="0"/>
        <w:pageBreakBefore w:val="0"/>
        <w:widowControl w:val="0"/>
        <w:kinsoku/>
        <w:wordWrap/>
        <w:overflowPunct/>
        <w:topLinePunct w:val="0"/>
        <w:autoSpaceDE/>
        <w:autoSpaceDN/>
        <w:bidi w:val="0"/>
        <w:adjustRightInd/>
        <w:snapToGrid/>
        <w:spacing w:line="560" w:lineRule="exact"/>
        <w:ind w:firstLine="640"/>
        <w:jc w:val="both"/>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二是推动自主可控。持续深化国产化替代，扩建或增建司库机房，在服务器硬件、操作系统方面进一步加大信创产品部署力度，提升司库系统自主可控安全能力，推动司库信息底座自主可控升级。</w:t>
      </w:r>
    </w:p>
    <w:p>
      <w:pPr>
        <w:keepNext w:val="0"/>
        <w:keepLines w:val="0"/>
        <w:pageBreakBefore w:val="0"/>
        <w:widowControl w:val="0"/>
        <w:kinsoku/>
        <w:wordWrap/>
        <w:overflowPunct/>
        <w:topLinePunct w:val="0"/>
        <w:autoSpaceDE/>
        <w:autoSpaceDN/>
        <w:bidi w:val="0"/>
        <w:adjustRightInd/>
        <w:snapToGrid/>
        <w:spacing w:line="560" w:lineRule="exact"/>
        <w:ind w:firstLine="640"/>
        <w:jc w:val="both"/>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三是保证网络安全。持续增强网络安全能力，坚守网络安全、数据安全底线，保障业务系统安全运行。</w:t>
      </w:r>
    </w:p>
    <w:p>
      <w:pPr>
        <w:keepNext w:val="0"/>
        <w:keepLines w:val="0"/>
        <w:pageBreakBefore w:val="0"/>
        <w:widowControl w:val="0"/>
        <w:kinsoku/>
        <w:wordWrap/>
        <w:overflowPunct/>
        <w:topLinePunct w:val="0"/>
        <w:autoSpaceDE/>
        <w:autoSpaceDN/>
        <w:bidi w:val="0"/>
        <w:adjustRightInd/>
        <w:snapToGrid/>
        <w:spacing w:line="560" w:lineRule="exact"/>
        <w:ind w:firstLine="640"/>
        <w:jc w:val="both"/>
        <w:textAlignment w:val="auto"/>
        <w:rPr>
          <w:rFonts w:ascii="仿宋_GB2312" w:hAnsi="仿宋_GB2312" w:eastAsia="仿宋_GB2312" w:cs="仿宋_GB2312"/>
          <w:sz w:val="32"/>
          <w:szCs w:val="32"/>
        </w:rPr>
      </w:pPr>
      <w:r>
        <w:rPr>
          <w:rFonts w:ascii="仿宋_GB2312" w:hAnsi="仿宋_GB2312" w:eastAsia="仿宋_GB2312" w:cs="仿宋_GB2312"/>
          <w:sz w:val="32"/>
          <w:szCs w:val="32"/>
        </w:rPr>
        <w:t>6</w:t>
      </w:r>
      <w:r>
        <w:rPr>
          <w:rFonts w:hint="eastAsia" w:ascii="仿宋_GB2312" w:hAnsi="仿宋_GB2312" w:eastAsia="仿宋_GB2312" w:cs="仿宋_GB2312"/>
          <w:sz w:val="32"/>
          <w:szCs w:val="32"/>
        </w:rPr>
        <w:t>.坚持强化司库机制驱动</w:t>
      </w:r>
    </w:p>
    <w:p>
      <w:pPr>
        <w:keepNext w:val="0"/>
        <w:keepLines w:val="0"/>
        <w:pageBreakBefore w:val="0"/>
        <w:widowControl w:val="0"/>
        <w:kinsoku/>
        <w:wordWrap/>
        <w:overflowPunct/>
        <w:topLinePunct w:val="0"/>
        <w:autoSpaceDE/>
        <w:autoSpaceDN/>
        <w:bidi w:val="0"/>
        <w:adjustRightInd/>
        <w:snapToGrid/>
        <w:spacing w:line="560" w:lineRule="exact"/>
        <w:ind w:firstLine="640"/>
        <w:jc w:val="both"/>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一是建立健全司库中心运营体系，发挥集团财务管理辅助功能，优化组织结构和人力资源，做好与司库运行相匹配的顶层架构设计。</w:t>
      </w:r>
    </w:p>
    <w:p>
      <w:pPr>
        <w:keepNext w:val="0"/>
        <w:keepLines w:val="0"/>
        <w:pageBreakBefore w:val="0"/>
        <w:widowControl w:val="0"/>
        <w:kinsoku/>
        <w:wordWrap/>
        <w:overflowPunct/>
        <w:topLinePunct w:val="0"/>
        <w:autoSpaceDE/>
        <w:autoSpaceDN/>
        <w:bidi w:val="0"/>
        <w:adjustRightInd/>
        <w:snapToGrid/>
        <w:spacing w:line="560" w:lineRule="exact"/>
        <w:ind w:firstLine="640"/>
        <w:jc w:val="both"/>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二是定位于资金运营中枢、资金风险管控中枢、资金数据集成中枢和资金资源配置中枢，迭代升级核心价值链，实现司库运营体系质效升级。</w:t>
      </w:r>
    </w:p>
    <w:p>
      <w:pPr>
        <w:keepNext w:val="0"/>
        <w:keepLines w:val="0"/>
        <w:pageBreakBefore w:val="0"/>
        <w:widowControl w:val="0"/>
        <w:kinsoku/>
        <w:wordWrap/>
        <w:overflowPunct/>
        <w:topLinePunct w:val="0"/>
        <w:autoSpaceDE/>
        <w:autoSpaceDN/>
        <w:bidi w:val="0"/>
        <w:adjustRightInd/>
        <w:snapToGrid/>
        <w:spacing w:line="560" w:lineRule="exact"/>
        <w:ind w:firstLine="640"/>
        <w:jc w:val="both"/>
        <w:textAlignment w:val="auto"/>
        <w:rPr>
          <w:rFonts w:eastAsia="仿宋_GB2312" w:cs="仿宋_GB2312"/>
          <w:sz w:val="32"/>
          <w:szCs w:val="32"/>
        </w:rPr>
      </w:pPr>
      <w:r>
        <w:rPr>
          <w:rFonts w:hint="eastAsia" w:ascii="仿宋_GB2312" w:hAnsi="仿宋_GB2312" w:eastAsia="仿宋_GB2312" w:cs="仿宋_GB2312"/>
          <w:sz w:val="32"/>
          <w:szCs w:val="32"/>
        </w:rPr>
        <w:t>三是落实集团公司党组工作部署，完成新办公地点，满足司库中心运营需要。</w:t>
      </w:r>
    </w:p>
    <w:p>
      <w:pPr>
        <w:keepNext w:val="0"/>
        <w:keepLines w:val="0"/>
        <w:pageBreakBefore w:val="0"/>
        <w:widowControl w:val="0"/>
        <w:kinsoku/>
        <w:wordWrap/>
        <w:overflowPunct/>
        <w:topLinePunct w:val="0"/>
        <w:autoSpaceDE/>
        <w:autoSpaceDN/>
        <w:bidi w:val="0"/>
        <w:adjustRightInd/>
        <w:snapToGrid/>
        <w:spacing w:line="560" w:lineRule="exact"/>
        <w:ind w:firstLine="640"/>
        <w:jc w:val="both"/>
        <w:textAlignment w:val="auto"/>
        <w:rPr>
          <w:rFonts w:eastAsia="仿宋_GB2312" w:cs="仿宋_GB2312"/>
          <w:sz w:val="32"/>
          <w:szCs w:val="32"/>
        </w:rPr>
      </w:pPr>
      <w:r>
        <w:rPr>
          <w:rFonts w:hint="eastAsia" w:ascii="仿宋_GB2312" w:hAnsi="仿宋_GB2312" w:eastAsia="仿宋_GB2312" w:cs="仿宋_GB2312"/>
          <w:sz w:val="32"/>
          <w:szCs w:val="32"/>
        </w:rPr>
        <w:t>7.坚持强化财务数智体系驱动</w:t>
      </w:r>
    </w:p>
    <w:p>
      <w:pPr>
        <w:keepNext w:val="0"/>
        <w:keepLines w:val="0"/>
        <w:pageBreakBefore w:val="0"/>
        <w:widowControl w:val="0"/>
        <w:kinsoku/>
        <w:wordWrap/>
        <w:overflowPunct/>
        <w:topLinePunct w:val="0"/>
        <w:autoSpaceDE/>
        <w:autoSpaceDN/>
        <w:bidi w:val="0"/>
        <w:adjustRightInd/>
        <w:snapToGrid/>
        <w:spacing w:line="560" w:lineRule="exact"/>
        <w:ind w:firstLine="640"/>
        <w:jc w:val="both"/>
        <w:textAlignment w:val="auto"/>
        <w:rPr>
          <w:rFonts w:ascii="仿宋_GB2312" w:eastAsia="仿宋_GB2312" w:cs="仿宋_GB2312"/>
          <w:sz w:val="32"/>
          <w:szCs w:val="32"/>
        </w:rPr>
      </w:pPr>
      <w:r>
        <w:rPr>
          <w:rFonts w:hint="eastAsia" w:ascii="仿宋_GB2312" w:eastAsia="仿宋_GB2312" w:cs="仿宋_GB2312"/>
          <w:sz w:val="32"/>
          <w:szCs w:val="32"/>
        </w:rPr>
        <w:t>一是司库与数智计财平台融合，按照涉密信息系统建设要求改造司库平台，完成司库平台金航网部署。</w:t>
      </w:r>
    </w:p>
    <w:p>
      <w:pPr>
        <w:keepNext w:val="0"/>
        <w:keepLines w:val="0"/>
        <w:pageBreakBefore w:val="0"/>
        <w:widowControl w:val="0"/>
        <w:kinsoku/>
        <w:wordWrap/>
        <w:overflowPunct/>
        <w:topLinePunct w:val="0"/>
        <w:autoSpaceDE/>
        <w:autoSpaceDN/>
        <w:bidi w:val="0"/>
        <w:adjustRightInd/>
        <w:snapToGrid/>
        <w:spacing w:line="560" w:lineRule="exact"/>
        <w:ind w:firstLine="640"/>
        <w:jc w:val="both"/>
        <w:textAlignment w:val="auto"/>
        <w:rPr>
          <w:rFonts w:ascii="仿宋_GB2312" w:eastAsia="仿宋_GB2312" w:cs="仿宋_GB2312"/>
          <w:sz w:val="32"/>
          <w:szCs w:val="32"/>
        </w:rPr>
      </w:pPr>
      <w:r>
        <w:rPr>
          <w:rFonts w:hint="eastAsia" w:ascii="仿宋_GB2312" w:eastAsia="仿宋_GB2312" w:cs="仿宋_GB2312"/>
          <w:sz w:val="32"/>
          <w:szCs w:val="32"/>
        </w:rPr>
        <w:t>二是数智计财基本建成，结合“149”数智计财实施框架体系，建成全集团纵向贯通、横向业财融合的一个财务数智化平台，夯实网络连通、业务标准、技术智能、数据互联互通四个基础。</w:t>
      </w:r>
    </w:p>
    <w:p>
      <w:pPr>
        <w:keepNext w:val="0"/>
        <w:keepLines w:val="0"/>
        <w:pageBreakBefore w:val="0"/>
        <w:widowControl w:val="0"/>
        <w:kinsoku/>
        <w:wordWrap/>
        <w:overflowPunct/>
        <w:topLinePunct w:val="0"/>
        <w:autoSpaceDE/>
        <w:autoSpaceDN/>
        <w:bidi w:val="0"/>
        <w:adjustRightInd/>
        <w:snapToGrid/>
        <w:spacing w:line="560" w:lineRule="exact"/>
        <w:ind w:firstLine="640"/>
        <w:jc w:val="both"/>
        <w:textAlignment w:val="auto"/>
        <w:rPr>
          <w:rFonts w:eastAsia="仿宋_GB2312" w:cs="仿宋_GB2312"/>
          <w:sz w:val="32"/>
          <w:szCs w:val="32"/>
        </w:rPr>
      </w:pPr>
      <w:r>
        <w:rPr>
          <w:rFonts w:hint="eastAsia" w:eastAsia="仿宋_GB2312" w:cs="仿宋_GB2312"/>
          <w:sz w:val="32"/>
          <w:szCs w:val="32"/>
        </w:rPr>
        <w:t>三是探索新兴技术应用，结合先进的大模型、大数</w:t>
      </w:r>
      <w:r>
        <w:rPr>
          <w:rFonts w:hint="eastAsia" w:ascii="仿宋_GB2312" w:eastAsia="仿宋_GB2312" w:cs="仿宋_GB2312"/>
          <w:sz w:val="32"/>
          <w:szCs w:val="32"/>
        </w:rPr>
        <w:t>据、AI+等智能技术，推动财务决策由经验向数据、模型驱动转变，推动</w:t>
      </w:r>
      <w:r>
        <w:rPr>
          <w:rFonts w:hint="eastAsia" w:eastAsia="仿宋_GB2312" w:cs="仿宋_GB2312"/>
          <w:sz w:val="32"/>
          <w:szCs w:val="32"/>
        </w:rPr>
        <w:t>财务数智化转型。</w:t>
      </w:r>
    </w:p>
    <w:p>
      <w:pPr>
        <w:keepNext w:val="0"/>
        <w:keepLines w:val="0"/>
        <w:pageBreakBefore w:val="0"/>
        <w:widowControl w:val="0"/>
        <w:kinsoku/>
        <w:wordWrap/>
        <w:overflowPunct/>
        <w:topLinePunct w:val="0"/>
        <w:autoSpaceDE/>
        <w:autoSpaceDN/>
        <w:bidi w:val="0"/>
        <w:adjustRightInd/>
        <w:snapToGrid/>
        <w:spacing w:line="560" w:lineRule="exact"/>
        <w:ind w:left="640"/>
        <w:jc w:val="both"/>
        <w:textAlignment w:val="auto"/>
        <w:rPr>
          <w:rFonts w:ascii="黑体" w:hAnsi="黑体" w:eastAsia="黑体" w:cs="黑体"/>
          <w:sz w:val="32"/>
          <w:szCs w:val="32"/>
        </w:rPr>
      </w:pPr>
      <w:r>
        <w:rPr>
          <w:rFonts w:hint="eastAsia" w:ascii="黑体" w:hAnsi="黑体" w:eastAsia="黑体" w:cs="黑体"/>
          <w:sz w:val="32"/>
          <w:szCs w:val="32"/>
        </w:rPr>
        <w:t>四、</w:t>
      </w:r>
      <w:r>
        <w:rPr>
          <w:rFonts w:ascii="黑体" w:hAnsi="黑体" w:eastAsia="黑体" w:cs="黑体"/>
          <w:sz w:val="32"/>
          <w:szCs w:val="32"/>
        </w:rPr>
        <w:t>有关</w:t>
      </w:r>
      <w:r>
        <w:rPr>
          <w:rFonts w:hint="eastAsia" w:ascii="黑体" w:hAnsi="黑体" w:eastAsia="黑体" w:cs="黑体"/>
          <w:sz w:val="32"/>
          <w:szCs w:val="32"/>
        </w:rPr>
        <w:t>意见建议</w:t>
      </w:r>
    </w:p>
    <w:p>
      <w:pPr>
        <w:keepNext w:val="0"/>
        <w:keepLines w:val="0"/>
        <w:pageBreakBefore w:val="0"/>
        <w:widowControl w:val="0"/>
        <w:kinsoku/>
        <w:wordWrap/>
        <w:overflowPunct/>
        <w:topLinePunct w:val="0"/>
        <w:autoSpaceDE/>
        <w:autoSpaceDN/>
        <w:bidi w:val="0"/>
        <w:adjustRightInd/>
        <w:snapToGrid/>
        <w:spacing w:line="560" w:lineRule="exact"/>
        <w:ind w:firstLine="640"/>
        <w:jc w:val="both"/>
        <w:textAlignment w:val="auto"/>
        <w:rPr>
          <w:rFonts w:hint="eastAsia" w:ascii="楷体_GB2312" w:hAnsi="楷体_GB2312" w:eastAsia="楷体_GB2312" w:cs="楷体_GB2312"/>
          <w:sz w:val="32"/>
          <w:szCs w:val="32"/>
        </w:rPr>
      </w:pPr>
      <w:r>
        <w:rPr>
          <w:rFonts w:hint="eastAsia" w:ascii="楷体_GB2312" w:hAnsi="楷体_GB2312" w:eastAsia="楷体_GB2312" w:cs="楷体_GB2312"/>
          <w:sz w:val="32"/>
          <w:szCs w:val="32"/>
        </w:rPr>
        <w:t>（一）建议搭建中央企业财务数智化转型交流平台</w:t>
      </w:r>
    </w:p>
    <w:p>
      <w:pPr>
        <w:keepNext w:val="0"/>
        <w:keepLines w:val="0"/>
        <w:pageBreakBefore w:val="0"/>
        <w:widowControl w:val="0"/>
        <w:kinsoku/>
        <w:wordWrap/>
        <w:overflowPunct/>
        <w:topLinePunct w:val="0"/>
        <w:autoSpaceDE/>
        <w:autoSpaceDN/>
        <w:bidi w:val="0"/>
        <w:adjustRightInd/>
        <w:snapToGrid/>
        <w:spacing w:line="560" w:lineRule="exact"/>
        <w:ind w:firstLine="640"/>
        <w:jc w:val="both"/>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通过搭建中央企业财务数智化转型交流平台，聚焦财务数智化转型专题内容，组织丰富多样的交流方式，包括：开展财务数智化转型专题培训，组织到先进中央企业研讨学习，举办中央企业财务人员交流论坛，印发财务数字化智能化专刊，普及理论知识、宣传优秀做法，推动世界一流财务管理体系建设，助力企业财务数智化转型。</w:t>
      </w:r>
    </w:p>
    <w:p>
      <w:pPr>
        <w:keepNext w:val="0"/>
        <w:keepLines w:val="0"/>
        <w:pageBreakBefore w:val="0"/>
        <w:widowControl w:val="0"/>
        <w:kinsoku/>
        <w:wordWrap/>
        <w:overflowPunct/>
        <w:topLinePunct w:val="0"/>
        <w:autoSpaceDE/>
        <w:autoSpaceDN/>
        <w:bidi w:val="0"/>
        <w:adjustRightInd/>
        <w:snapToGrid/>
        <w:spacing w:line="560" w:lineRule="exact"/>
        <w:ind w:firstLine="640"/>
        <w:jc w:val="both"/>
        <w:textAlignment w:val="auto"/>
        <w:rPr>
          <w:rFonts w:hint="eastAsia" w:ascii="楷体_GB2312" w:hAnsi="楷体_GB2312" w:eastAsia="楷体_GB2312" w:cs="楷体_GB2312"/>
          <w:sz w:val="32"/>
          <w:szCs w:val="32"/>
        </w:rPr>
      </w:pPr>
      <w:r>
        <w:rPr>
          <w:rFonts w:hint="eastAsia" w:ascii="楷体_GB2312" w:hAnsi="楷体_GB2312" w:eastAsia="楷体_GB2312" w:cs="楷体_GB2312"/>
          <w:sz w:val="32"/>
          <w:szCs w:val="32"/>
        </w:rPr>
        <w:t>（二）建议成立军工央企财务数智化智库团队</w:t>
      </w:r>
    </w:p>
    <w:p>
      <w:pPr>
        <w:keepNext w:val="0"/>
        <w:keepLines w:val="0"/>
        <w:pageBreakBefore w:val="0"/>
        <w:widowControl w:val="0"/>
        <w:kinsoku/>
        <w:wordWrap/>
        <w:overflowPunct/>
        <w:topLinePunct w:val="0"/>
        <w:autoSpaceDE/>
        <w:autoSpaceDN/>
        <w:bidi w:val="0"/>
        <w:adjustRightInd/>
        <w:snapToGrid/>
        <w:spacing w:line="560" w:lineRule="exact"/>
        <w:ind w:firstLine="64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建议成立由国务院国资委、国家数据局、国家档案局、国家保密局、军工企业、各大高校等组成的联合智库团队。攻关解决军工集团跨网络、跨密级等特殊要求与业财信息实时穿透要求的矛盾，应用区块链、隐私计算、量子加密等新一代信息技术，形成专项解决方案以及行业标准，加速军工行业财务数智化建设进程。</w:t>
      </w:r>
    </w:p>
    <w:p>
      <w:pPr>
        <w:keepNext w:val="0"/>
        <w:keepLines w:val="0"/>
        <w:pageBreakBefore w:val="0"/>
        <w:widowControl w:val="0"/>
        <w:kinsoku/>
        <w:wordWrap/>
        <w:overflowPunct/>
        <w:topLinePunct w:val="0"/>
        <w:autoSpaceDE/>
        <w:autoSpaceDN/>
        <w:bidi w:val="0"/>
        <w:adjustRightInd/>
        <w:snapToGrid/>
        <w:spacing w:line="560" w:lineRule="exact"/>
        <w:ind w:firstLine="640"/>
        <w:jc w:val="both"/>
        <w:textAlignment w:val="auto"/>
        <w:rPr>
          <w:rFonts w:hint="eastAsia" w:ascii="仿宋_GB2312" w:hAnsi="仿宋_GB2312" w:eastAsia="仿宋_GB2312" w:cs="仿宋_GB2312"/>
          <w:sz w:val="32"/>
          <w:szCs w:val="32"/>
        </w:rPr>
      </w:pPr>
    </w:p>
    <w:p>
      <w:pPr>
        <w:keepNext w:val="0"/>
        <w:keepLines w:val="0"/>
        <w:pageBreakBefore w:val="0"/>
        <w:widowControl w:val="0"/>
        <w:kinsoku/>
        <w:wordWrap/>
        <w:overflowPunct/>
        <w:topLinePunct w:val="0"/>
        <w:autoSpaceDE/>
        <w:autoSpaceDN/>
        <w:bidi w:val="0"/>
        <w:adjustRightInd/>
        <w:snapToGrid/>
        <w:spacing w:line="560" w:lineRule="exact"/>
        <w:ind w:firstLine="640"/>
        <w:jc w:val="both"/>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附件：司库体系建设重点指标表</w:t>
      </w:r>
    </w:p>
    <w:p>
      <w:pPr>
        <w:keepNext w:val="0"/>
        <w:keepLines w:val="0"/>
        <w:pageBreakBefore w:val="0"/>
        <w:widowControl w:val="0"/>
        <w:kinsoku/>
        <w:wordWrap/>
        <w:overflowPunct/>
        <w:topLinePunct w:val="0"/>
        <w:autoSpaceDE/>
        <w:autoSpaceDN/>
        <w:bidi w:val="0"/>
        <w:adjustRightInd/>
        <w:snapToGrid/>
        <w:spacing w:line="560" w:lineRule="exact"/>
        <w:ind w:firstLine="640"/>
        <w:jc w:val="both"/>
        <w:textAlignment w:val="auto"/>
        <w:rPr>
          <w:rFonts w:hint="eastAsia" w:ascii="仿宋_GB2312" w:hAnsi="仿宋_GB2312" w:eastAsia="仿宋_GB2312" w:cs="仿宋_GB2312"/>
          <w:sz w:val="32"/>
          <w:szCs w:val="32"/>
          <w:lang w:eastAsia="zh-CN"/>
        </w:rPr>
      </w:pPr>
    </w:p>
    <w:p>
      <w:pPr>
        <w:keepNext w:val="0"/>
        <w:keepLines w:val="0"/>
        <w:pageBreakBefore w:val="0"/>
        <w:widowControl w:val="0"/>
        <w:kinsoku/>
        <w:wordWrap/>
        <w:overflowPunct/>
        <w:topLinePunct w:val="0"/>
        <w:autoSpaceDE/>
        <w:autoSpaceDN/>
        <w:bidi w:val="0"/>
        <w:adjustRightInd/>
        <w:snapToGrid/>
        <w:spacing w:line="560" w:lineRule="exact"/>
        <w:ind w:firstLine="640"/>
        <w:jc w:val="both"/>
        <w:textAlignment w:val="auto"/>
        <w:rPr>
          <w:rFonts w:hint="eastAsia" w:ascii="仿宋_GB2312" w:hAnsi="仿宋_GB2312" w:eastAsia="仿宋_GB2312" w:cs="仿宋_GB2312"/>
          <w:sz w:val="32"/>
          <w:szCs w:val="32"/>
          <w:lang w:eastAsia="zh-CN"/>
        </w:rPr>
      </w:pPr>
    </w:p>
    <w:p>
      <w:pPr>
        <w:wordWrap w:val="0"/>
        <w:ind w:firstLine="5600" w:firstLineChars="1750"/>
        <w:jc w:val="right"/>
        <w:rPr>
          <w:rFonts w:hint="default" w:ascii="仿宋_GB2312" w:hAnsi="仿宋" w:eastAsia="仿宋_GB2312"/>
          <w:sz w:val="32"/>
          <w:szCs w:val="32"/>
          <w:lang w:val="en-US" w:eastAsia="zh-CN"/>
        </w:rPr>
      </w:pPr>
      <w:r>
        <w:rPr>
          <w:rFonts w:hint="eastAsia" w:ascii="仿宋_GB2312" w:hAnsi="仿宋" w:eastAsia="仿宋_GB2312"/>
          <w:sz w:val="32"/>
          <w:szCs w:val="32"/>
        </w:rPr>
        <w:t>航空工业集团</w:t>
      </w:r>
      <w:r>
        <w:rPr>
          <w:rFonts w:hint="eastAsia" w:ascii="仿宋_GB2312" w:hAnsi="仿宋" w:eastAsia="仿宋_GB2312"/>
          <w:sz w:val="32"/>
          <w:szCs w:val="32"/>
          <w:lang w:val="en-US" w:eastAsia="zh-CN"/>
        </w:rPr>
        <w:t xml:space="preserve">      </w:t>
      </w:r>
    </w:p>
    <w:p>
      <w:pPr>
        <w:keepNext w:val="0"/>
        <w:keepLines w:val="0"/>
        <w:pageBreakBefore w:val="0"/>
        <w:widowControl w:val="0"/>
        <w:kinsoku/>
        <w:wordWrap w:val="0"/>
        <w:overflowPunct/>
        <w:topLinePunct w:val="0"/>
        <w:autoSpaceDE/>
        <w:autoSpaceDN/>
        <w:bidi w:val="0"/>
        <w:adjustRightInd/>
        <w:snapToGrid/>
        <w:spacing w:line="560" w:lineRule="exact"/>
        <w:ind w:firstLine="640"/>
        <w:jc w:val="right"/>
        <w:textAlignment w:val="auto"/>
        <w:rPr>
          <w:rFonts w:hint="default" w:ascii="仿宋_GB2312" w:hAnsi="仿宋_GB2312" w:eastAsia="仿宋_GB2312" w:cs="仿宋_GB2312"/>
          <w:sz w:val="32"/>
          <w:szCs w:val="32"/>
          <w:lang w:val="en-US" w:eastAsia="zh-CN"/>
        </w:rPr>
      </w:pPr>
      <w:r>
        <w:rPr>
          <w:rFonts w:ascii="仿宋_GB2312" w:hAnsi="仿宋_GB2312" w:eastAsia="仿宋_GB2312" w:cs="仿宋_GB2312"/>
          <w:w w:val="97"/>
          <w:sz w:val="32"/>
        </w:rPr>
        <w:t>202</w:t>
      </w:r>
      <w:r>
        <w:rPr>
          <w:rFonts w:hint="eastAsia" w:ascii="仿宋_GB2312" w:hAnsi="仿宋_GB2312" w:eastAsia="仿宋_GB2312" w:cs="仿宋_GB2312"/>
          <w:w w:val="97"/>
          <w:sz w:val="32"/>
        </w:rPr>
        <w:t>4</w:t>
      </w:r>
      <w:r>
        <w:rPr>
          <w:rFonts w:ascii="仿宋_GB2312" w:hAnsi="仿宋_GB2312" w:eastAsia="仿宋_GB2312" w:cs="仿宋_GB2312"/>
          <w:w w:val="97"/>
          <w:sz w:val="32"/>
        </w:rPr>
        <w:t>年</w:t>
      </w:r>
      <w:r>
        <w:rPr>
          <w:rFonts w:hint="eastAsia" w:ascii="仿宋_GB2312" w:hAnsi="仿宋_GB2312" w:eastAsia="仿宋_GB2312" w:cs="仿宋_GB2312"/>
          <w:w w:val="97"/>
          <w:sz w:val="32"/>
          <w:lang w:val="en-US" w:eastAsia="zh-CN"/>
        </w:rPr>
        <w:t>5</w:t>
      </w:r>
      <w:r>
        <w:rPr>
          <w:rFonts w:ascii="仿宋_GB2312" w:hAnsi="仿宋_GB2312" w:eastAsia="仿宋_GB2312" w:cs="仿宋_GB2312"/>
          <w:w w:val="97"/>
          <w:sz w:val="32"/>
        </w:rPr>
        <w:t>月</w:t>
      </w:r>
      <w:r>
        <w:rPr>
          <w:rFonts w:hint="eastAsia" w:ascii="仿宋_GB2312" w:hAnsi="仿宋_GB2312" w:eastAsia="仿宋_GB2312" w:cs="仿宋_GB2312"/>
          <w:w w:val="97"/>
          <w:sz w:val="32"/>
          <w:lang w:val="en-US" w:eastAsia="zh-CN"/>
        </w:rPr>
        <w:t>6</w:t>
      </w:r>
      <w:r>
        <w:rPr>
          <w:rFonts w:ascii="仿宋_GB2312" w:hAnsi="仿宋_GB2312" w:eastAsia="仿宋_GB2312" w:cs="仿宋_GB2312"/>
          <w:w w:val="97"/>
          <w:sz w:val="32"/>
        </w:rPr>
        <w:t>日</w:t>
      </w:r>
      <w:r>
        <w:rPr>
          <w:rFonts w:hint="eastAsia" w:ascii="仿宋_GB2312" w:hAnsi="仿宋_GB2312" w:eastAsia="仿宋_GB2312" w:cs="仿宋_GB2312"/>
          <w:w w:val="97"/>
          <w:sz w:val="32"/>
          <w:lang w:val="en-US" w:eastAsia="zh-CN"/>
        </w:rPr>
        <w:t xml:space="preserve">     </w:t>
      </w:r>
    </w:p>
    <w:sectPr>
      <w:footerReference r:id="rId3" w:type="default"/>
      <w:pgSz w:w="11906" w:h="16838"/>
      <w:pgMar w:top="1701" w:right="1531" w:bottom="1587" w:left="1531"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AFF" w:usb1="C0007841"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方正小标宋简体">
    <w:panose1 w:val="02000000000000000000"/>
    <w:charset w:val="86"/>
    <w:family w:val="script"/>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 w:name="方正小标宋_GBK">
    <w:panose1 w:val="02000000000000000000"/>
    <w:charset w:val="86"/>
    <w:family w:val="script"/>
    <w:pitch w:val="default"/>
    <w:sig w:usb0="A00002BF" w:usb1="38CF7CFA" w:usb2="00082016" w:usb3="00000000" w:csb0="00040001" w:csb1="00000000"/>
  </w:font>
  <w:font w:name="方正楷体_GBK">
    <w:panose1 w:val="02000000000000000000"/>
    <w:charset w:val="86"/>
    <w:family w:val="auto"/>
    <w:pitch w:val="default"/>
    <w:sig w:usb0="A00002BF" w:usb1="38CF7CFA" w:usb2="00082016" w:usb3="00000000" w:csb0="00040001" w:csb1="0000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80F3C52"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767238201"/>
    </w:sdtPr>
    <w:sdtContent>
      <w:p>
        <w:pPr>
          <w:pStyle w:val="2"/>
          <w:jc w:val="center"/>
        </w:pPr>
        <w:r>
          <w:fldChar w:fldCharType="begin"/>
        </w:r>
        <w:r>
          <w:instrText xml:space="preserve">PAGE   \* MERGEFORMAT</w:instrText>
        </w:r>
        <w:r>
          <w:fldChar w:fldCharType="separate"/>
        </w:r>
        <w:r>
          <w:rPr>
            <w:lang w:val="zh-CN"/>
          </w:rPr>
          <w:t>19</w:t>
        </w:r>
        <w:r>
          <w:fldChar w:fldCharType="end"/>
        </w:r>
      </w:p>
    </w:sdtContent>
  </w:sdt>
  <w:p>
    <w:pPr>
      <w:pStyle w:val="2"/>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dit="readOnly" w:formatting="1"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WU0ZWY0ODJiOWU4ODE4Y2NkMzk2YTI2OTY4ODU1OTUifQ=="/>
  </w:docVars>
  <w:rsids>
    <w:rsidRoot w:val="009B75A8"/>
    <w:rsid w:val="00004DCA"/>
    <w:rsid w:val="00006BD8"/>
    <w:rsid w:val="00015DC0"/>
    <w:rsid w:val="00025B25"/>
    <w:rsid w:val="00026F0B"/>
    <w:rsid w:val="00035D02"/>
    <w:rsid w:val="00042AAD"/>
    <w:rsid w:val="00056F8E"/>
    <w:rsid w:val="00070747"/>
    <w:rsid w:val="000844E2"/>
    <w:rsid w:val="00084D38"/>
    <w:rsid w:val="0008631A"/>
    <w:rsid w:val="000927B6"/>
    <w:rsid w:val="00092D45"/>
    <w:rsid w:val="0009563C"/>
    <w:rsid w:val="000A73D3"/>
    <w:rsid w:val="000B1A79"/>
    <w:rsid w:val="000C1FAC"/>
    <w:rsid w:val="000C4DDD"/>
    <w:rsid w:val="000D2A68"/>
    <w:rsid w:val="000D2ED6"/>
    <w:rsid w:val="000E03B1"/>
    <w:rsid w:val="000E0727"/>
    <w:rsid w:val="00104C7D"/>
    <w:rsid w:val="0010633B"/>
    <w:rsid w:val="0011479C"/>
    <w:rsid w:val="001363B1"/>
    <w:rsid w:val="00145CDB"/>
    <w:rsid w:val="00146EA0"/>
    <w:rsid w:val="00151F7D"/>
    <w:rsid w:val="001604EA"/>
    <w:rsid w:val="001623CB"/>
    <w:rsid w:val="00185D55"/>
    <w:rsid w:val="001965BF"/>
    <w:rsid w:val="001B152E"/>
    <w:rsid w:val="001B3A59"/>
    <w:rsid w:val="001D20DC"/>
    <w:rsid w:val="001E5AFB"/>
    <w:rsid w:val="001E71AD"/>
    <w:rsid w:val="001F6390"/>
    <w:rsid w:val="00211937"/>
    <w:rsid w:val="00216E7A"/>
    <w:rsid w:val="002300EE"/>
    <w:rsid w:val="00236972"/>
    <w:rsid w:val="00240A44"/>
    <w:rsid w:val="00243CDA"/>
    <w:rsid w:val="00250180"/>
    <w:rsid w:val="00261086"/>
    <w:rsid w:val="002713F3"/>
    <w:rsid w:val="002805D0"/>
    <w:rsid w:val="002941C2"/>
    <w:rsid w:val="002A02BF"/>
    <w:rsid w:val="002A34AE"/>
    <w:rsid w:val="002A7BF2"/>
    <w:rsid w:val="002B0C14"/>
    <w:rsid w:val="002D5C07"/>
    <w:rsid w:val="002E2315"/>
    <w:rsid w:val="002E71FF"/>
    <w:rsid w:val="002F4D1D"/>
    <w:rsid w:val="00300470"/>
    <w:rsid w:val="003035DF"/>
    <w:rsid w:val="003036CC"/>
    <w:rsid w:val="00322196"/>
    <w:rsid w:val="0033166C"/>
    <w:rsid w:val="00333777"/>
    <w:rsid w:val="003407B0"/>
    <w:rsid w:val="003440E5"/>
    <w:rsid w:val="0035046E"/>
    <w:rsid w:val="00350521"/>
    <w:rsid w:val="00356D4B"/>
    <w:rsid w:val="00372D52"/>
    <w:rsid w:val="00383F28"/>
    <w:rsid w:val="0039025B"/>
    <w:rsid w:val="00390315"/>
    <w:rsid w:val="00390CF5"/>
    <w:rsid w:val="003B24A6"/>
    <w:rsid w:val="003B6634"/>
    <w:rsid w:val="003C438A"/>
    <w:rsid w:val="003D18A6"/>
    <w:rsid w:val="003E2ADB"/>
    <w:rsid w:val="003E4374"/>
    <w:rsid w:val="003F3580"/>
    <w:rsid w:val="00401890"/>
    <w:rsid w:val="004056FC"/>
    <w:rsid w:val="00416A8F"/>
    <w:rsid w:val="0042470E"/>
    <w:rsid w:val="00425888"/>
    <w:rsid w:val="00437438"/>
    <w:rsid w:val="004434F7"/>
    <w:rsid w:val="004464F2"/>
    <w:rsid w:val="00446EA4"/>
    <w:rsid w:val="00453BD8"/>
    <w:rsid w:val="00471BE7"/>
    <w:rsid w:val="00480129"/>
    <w:rsid w:val="004817E6"/>
    <w:rsid w:val="00491019"/>
    <w:rsid w:val="00491DE2"/>
    <w:rsid w:val="004B2952"/>
    <w:rsid w:val="004B29A3"/>
    <w:rsid w:val="004B3C4E"/>
    <w:rsid w:val="004B4716"/>
    <w:rsid w:val="004D28A7"/>
    <w:rsid w:val="004D46BE"/>
    <w:rsid w:val="004F10CF"/>
    <w:rsid w:val="004F4B5A"/>
    <w:rsid w:val="005050C7"/>
    <w:rsid w:val="00510BF0"/>
    <w:rsid w:val="005117CE"/>
    <w:rsid w:val="00513D85"/>
    <w:rsid w:val="0052044C"/>
    <w:rsid w:val="00543B05"/>
    <w:rsid w:val="0054757E"/>
    <w:rsid w:val="005523C9"/>
    <w:rsid w:val="00560503"/>
    <w:rsid w:val="00560854"/>
    <w:rsid w:val="005624AC"/>
    <w:rsid w:val="00566186"/>
    <w:rsid w:val="00585926"/>
    <w:rsid w:val="005920E9"/>
    <w:rsid w:val="005B06A1"/>
    <w:rsid w:val="005C0AAB"/>
    <w:rsid w:val="005E1742"/>
    <w:rsid w:val="005F011E"/>
    <w:rsid w:val="00605EB9"/>
    <w:rsid w:val="0063797A"/>
    <w:rsid w:val="006445B2"/>
    <w:rsid w:val="00662F28"/>
    <w:rsid w:val="00665106"/>
    <w:rsid w:val="00671EC3"/>
    <w:rsid w:val="006756E7"/>
    <w:rsid w:val="0067661B"/>
    <w:rsid w:val="00680589"/>
    <w:rsid w:val="006843C2"/>
    <w:rsid w:val="006924E9"/>
    <w:rsid w:val="00692CC0"/>
    <w:rsid w:val="00693DB1"/>
    <w:rsid w:val="006B3842"/>
    <w:rsid w:val="006B4271"/>
    <w:rsid w:val="006B7F32"/>
    <w:rsid w:val="006C37B2"/>
    <w:rsid w:val="006C3C7A"/>
    <w:rsid w:val="006C3E0B"/>
    <w:rsid w:val="006C532E"/>
    <w:rsid w:val="006D3B17"/>
    <w:rsid w:val="006D578E"/>
    <w:rsid w:val="006E651D"/>
    <w:rsid w:val="006F4B79"/>
    <w:rsid w:val="007068A1"/>
    <w:rsid w:val="00716148"/>
    <w:rsid w:val="007167AE"/>
    <w:rsid w:val="007243BE"/>
    <w:rsid w:val="00741656"/>
    <w:rsid w:val="00751B35"/>
    <w:rsid w:val="00753881"/>
    <w:rsid w:val="007543ED"/>
    <w:rsid w:val="0076487A"/>
    <w:rsid w:val="0077123A"/>
    <w:rsid w:val="00775B42"/>
    <w:rsid w:val="00777509"/>
    <w:rsid w:val="007821A2"/>
    <w:rsid w:val="007861B7"/>
    <w:rsid w:val="00791F32"/>
    <w:rsid w:val="007A0EDB"/>
    <w:rsid w:val="007A38DA"/>
    <w:rsid w:val="007B36D7"/>
    <w:rsid w:val="007C0BB9"/>
    <w:rsid w:val="007C4F84"/>
    <w:rsid w:val="007D1789"/>
    <w:rsid w:val="007E2C2B"/>
    <w:rsid w:val="007F2B37"/>
    <w:rsid w:val="007F4D8E"/>
    <w:rsid w:val="007F6638"/>
    <w:rsid w:val="007F7039"/>
    <w:rsid w:val="00812B9C"/>
    <w:rsid w:val="00822311"/>
    <w:rsid w:val="008262A0"/>
    <w:rsid w:val="00827C8A"/>
    <w:rsid w:val="00834E2C"/>
    <w:rsid w:val="00835B3F"/>
    <w:rsid w:val="00836315"/>
    <w:rsid w:val="00840CD6"/>
    <w:rsid w:val="00852E7E"/>
    <w:rsid w:val="0085316C"/>
    <w:rsid w:val="0086583F"/>
    <w:rsid w:val="00872BAE"/>
    <w:rsid w:val="008760B0"/>
    <w:rsid w:val="00892637"/>
    <w:rsid w:val="008B6FE6"/>
    <w:rsid w:val="008D28FC"/>
    <w:rsid w:val="008E1760"/>
    <w:rsid w:val="008E381A"/>
    <w:rsid w:val="008E668B"/>
    <w:rsid w:val="0090050C"/>
    <w:rsid w:val="00914A85"/>
    <w:rsid w:val="00926192"/>
    <w:rsid w:val="009503EC"/>
    <w:rsid w:val="0095441F"/>
    <w:rsid w:val="00965291"/>
    <w:rsid w:val="00965DA1"/>
    <w:rsid w:val="00977D96"/>
    <w:rsid w:val="0098272C"/>
    <w:rsid w:val="00990EBE"/>
    <w:rsid w:val="00990FEF"/>
    <w:rsid w:val="009B75A8"/>
    <w:rsid w:val="009D4D1C"/>
    <w:rsid w:val="009E1034"/>
    <w:rsid w:val="009F455F"/>
    <w:rsid w:val="00A13220"/>
    <w:rsid w:val="00A25CC4"/>
    <w:rsid w:val="00A4256D"/>
    <w:rsid w:val="00A44B36"/>
    <w:rsid w:val="00A51EE2"/>
    <w:rsid w:val="00A56DE8"/>
    <w:rsid w:val="00A658F3"/>
    <w:rsid w:val="00AB4833"/>
    <w:rsid w:val="00AC099C"/>
    <w:rsid w:val="00AD010F"/>
    <w:rsid w:val="00AE0034"/>
    <w:rsid w:val="00AE2255"/>
    <w:rsid w:val="00AE271A"/>
    <w:rsid w:val="00AE7D1D"/>
    <w:rsid w:val="00B144AC"/>
    <w:rsid w:val="00B14519"/>
    <w:rsid w:val="00B14659"/>
    <w:rsid w:val="00B23ED3"/>
    <w:rsid w:val="00B270C6"/>
    <w:rsid w:val="00B4234C"/>
    <w:rsid w:val="00B5114F"/>
    <w:rsid w:val="00B53B74"/>
    <w:rsid w:val="00B62124"/>
    <w:rsid w:val="00B71E2D"/>
    <w:rsid w:val="00B73B84"/>
    <w:rsid w:val="00B7614B"/>
    <w:rsid w:val="00B8451D"/>
    <w:rsid w:val="00B90A9B"/>
    <w:rsid w:val="00B9373C"/>
    <w:rsid w:val="00BA0B3F"/>
    <w:rsid w:val="00BB2054"/>
    <w:rsid w:val="00BB5410"/>
    <w:rsid w:val="00BD51DF"/>
    <w:rsid w:val="00BE378D"/>
    <w:rsid w:val="00BE7B2B"/>
    <w:rsid w:val="00BF738D"/>
    <w:rsid w:val="00C121EC"/>
    <w:rsid w:val="00C16772"/>
    <w:rsid w:val="00C21288"/>
    <w:rsid w:val="00C23891"/>
    <w:rsid w:val="00C30940"/>
    <w:rsid w:val="00C36D97"/>
    <w:rsid w:val="00C50C4B"/>
    <w:rsid w:val="00C54F18"/>
    <w:rsid w:val="00C6667C"/>
    <w:rsid w:val="00C75226"/>
    <w:rsid w:val="00C807D9"/>
    <w:rsid w:val="00C9051B"/>
    <w:rsid w:val="00CA50B8"/>
    <w:rsid w:val="00CB1A84"/>
    <w:rsid w:val="00CC049D"/>
    <w:rsid w:val="00CC5580"/>
    <w:rsid w:val="00CD17FE"/>
    <w:rsid w:val="00CF01A8"/>
    <w:rsid w:val="00CF678A"/>
    <w:rsid w:val="00D07302"/>
    <w:rsid w:val="00D22F11"/>
    <w:rsid w:val="00D24BB2"/>
    <w:rsid w:val="00D27D66"/>
    <w:rsid w:val="00D31964"/>
    <w:rsid w:val="00D31972"/>
    <w:rsid w:val="00D32E9E"/>
    <w:rsid w:val="00D340A5"/>
    <w:rsid w:val="00D43CFB"/>
    <w:rsid w:val="00D441B2"/>
    <w:rsid w:val="00D706FB"/>
    <w:rsid w:val="00D75A45"/>
    <w:rsid w:val="00D873BF"/>
    <w:rsid w:val="00DA13F3"/>
    <w:rsid w:val="00DA6987"/>
    <w:rsid w:val="00DA6DEC"/>
    <w:rsid w:val="00DC05F9"/>
    <w:rsid w:val="00DC749B"/>
    <w:rsid w:val="00DD2B80"/>
    <w:rsid w:val="00DE34B3"/>
    <w:rsid w:val="00DF5442"/>
    <w:rsid w:val="00E0478D"/>
    <w:rsid w:val="00E20E02"/>
    <w:rsid w:val="00E30A69"/>
    <w:rsid w:val="00E61BAD"/>
    <w:rsid w:val="00E904BF"/>
    <w:rsid w:val="00EA2F5D"/>
    <w:rsid w:val="00EA4637"/>
    <w:rsid w:val="00EC494C"/>
    <w:rsid w:val="00ED0402"/>
    <w:rsid w:val="00ED6A0A"/>
    <w:rsid w:val="00EE26DF"/>
    <w:rsid w:val="00EE692C"/>
    <w:rsid w:val="00EE6E21"/>
    <w:rsid w:val="00F15081"/>
    <w:rsid w:val="00F23549"/>
    <w:rsid w:val="00F248F8"/>
    <w:rsid w:val="00F3107F"/>
    <w:rsid w:val="00F61F1C"/>
    <w:rsid w:val="00F733B8"/>
    <w:rsid w:val="00F93B25"/>
    <w:rsid w:val="00F95F07"/>
    <w:rsid w:val="00FA07DE"/>
    <w:rsid w:val="00FA34E0"/>
    <w:rsid w:val="00FA6EA1"/>
    <w:rsid w:val="00FB37DB"/>
    <w:rsid w:val="00FC17B5"/>
    <w:rsid w:val="00FC6382"/>
    <w:rsid w:val="00FD15FB"/>
    <w:rsid w:val="00FD263E"/>
    <w:rsid w:val="00FE3BF2"/>
    <w:rsid w:val="00FE41F4"/>
    <w:rsid w:val="00FE6014"/>
    <w:rsid w:val="00FF5A89"/>
    <w:rsid w:val="021D3C05"/>
    <w:rsid w:val="022E51A4"/>
    <w:rsid w:val="024824CB"/>
    <w:rsid w:val="028D51BD"/>
    <w:rsid w:val="02A041DE"/>
    <w:rsid w:val="02DC07C0"/>
    <w:rsid w:val="033F4FE1"/>
    <w:rsid w:val="03502CFD"/>
    <w:rsid w:val="044D771D"/>
    <w:rsid w:val="044E519E"/>
    <w:rsid w:val="04EC5FA1"/>
    <w:rsid w:val="0524197F"/>
    <w:rsid w:val="052B5A86"/>
    <w:rsid w:val="05854E9B"/>
    <w:rsid w:val="058B2628"/>
    <w:rsid w:val="06567772"/>
    <w:rsid w:val="068602C1"/>
    <w:rsid w:val="069B0266"/>
    <w:rsid w:val="06BA1A15"/>
    <w:rsid w:val="06C30126"/>
    <w:rsid w:val="06ED47ED"/>
    <w:rsid w:val="071546AD"/>
    <w:rsid w:val="074D5B0C"/>
    <w:rsid w:val="076766B5"/>
    <w:rsid w:val="077D4FD6"/>
    <w:rsid w:val="07871169"/>
    <w:rsid w:val="07DE1B77"/>
    <w:rsid w:val="084F5179"/>
    <w:rsid w:val="08583A3F"/>
    <w:rsid w:val="085A6F43"/>
    <w:rsid w:val="089D2EAF"/>
    <w:rsid w:val="09937F44"/>
    <w:rsid w:val="0A231DB1"/>
    <w:rsid w:val="0A7A29EB"/>
    <w:rsid w:val="0A817BCD"/>
    <w:rsid w:val="0ABF65E6"/>
    <w:rsid w:val="0AC018B0"/>
    <w:rsid w:val="0ADD11E0"/>
    <w:rsid w:val="0AE51E6F"/>
    <w:rsid w:val="0B2E1EE3"/>
    <w:rsid w:val="0B3C4A7C"/>
    <w:rsid w:val="0B994E16"/>
    <w:rsid w:val="0BC14CD6"/>
    <w:rsid w:val="0C5E5E59"/>
    <w:rsid w:val="0C670CE7"/>
    <w:rsid w:val="0CB664E7"/>
    <w:rsid w:val="0D5D37FD"/>
    <w:rsid w:val="0DA251EB"/>
    <w:rsid w:val="0E1C2936"/>
    <w:rsid w:val="0E2963C9"/>
    <w:rsid w:val="0E9E6388"/>
    <w:rsid w:val="0EB86F32"/>
    <w:rsid w:val="0EFA6AA1"/>
    <w:rsid w:val="0F14764B"/>
    <w:rsid w:val="0F871B88"/>
    <w:rsid w:val="0FCC0FF8"/>
    <w:rsid w:val="100B4360"/>
    <w:rsid w:val="10211D87"/>
    <w:rsid w:val="102F5819"/>
    <w:rsid w:val="10362C26"/>
    <w:rsid w:val="109A074C"/>
    <w:rsid w:val="10E862CD"/>
    <w:rsid w:val="113B24D4"/>
    <w:rsid w:val="113F0EDA"/>
    <w:rsid w:val="122449D0"/>
    <w:rsid w:val="124B488F"/>
    <w:rsid w:val="134B7CB5"/>
    <w:rsid w:val="134E6A3B"/>
    <w:rsid w:val="137568FB"/>
    <w:rsid w:val="139748B1"/>
    <w:rsid w:val="13B2095E"/>
    <w:rsid w:val="142E02A8"/>
    <w:rsid w:val="14656203"/>
    <w:rsid w:val="1491254B"/>
    <w:rsid w:val="149547D4"/>
    <w:rsid w:val="14AD65F8"/>
    <w:rsid w:val="14F86A77"/>
    <w:rsid w:val="1523533D"/>
    <w:rsid w:val="152E36CE"/>
    <w:rsid w:val="155F2BF3"/>
    <w:rsid w:val="158562DB"/>
    <w:rsid w:val="159D1783"/>
    <w:rsid w:val="15C603C9"/>
    <w:rsid w:val="162D1072"/>
    <w:rsid w:val="163C2586"/>
    <w:rsid w:val="167D4675"/>
    <w:rsid w:val="175355D1"/>
    <w:rsid w:val="176645F2"/>
    <w:rsid w:val="17B0596B"/>
    <w:rsid w:val="18B43F14"/>
    <w:rsid w:val="18F275FC"/>
    <w:rsid w:val="18FE0E90"/>
    <w:rsid w:val="190C23A4"/>
    <w:rsid w:val="193D63F7"/>
    <w:rsid w:val="199A2ED5"/>
    <w:rsid w:val="19BD7FCA"/>
    <w:rsid w:val="1A5C0DCD"/>
    <w:rsid w:val="1A8C3B1A"/>
    <w:rsid w:val="1A8F0322"/>
    <w:rsid w:val="1AA67F47"/>
    <w:rsid w:val="1ABD7B6C"/>
    <w:rsid w:val="1ACE5888"/>
    <w:rsid w:val="1B714FA0"/>
    <w:rsid w:val="1BBA200E"/>
    <w:rsid w:val="1BC23B97"/>
    <w:rsid w:val="1BC93522"/>
    <w:rsid w:val="1BEC025E"/>
    <w:rsid w:val="1D8D1F09"/>
    <w:rsid w:val="1DCE2972"/>
    <w:rsid w:val="1E004446"/>
    <w:rsid w:val="1E651BEC"/>
    <w:rsid w:val="1F3F2BD4"/>
    <w:rsid w:val="1F4D40E8"/>
    <w:rsid w:val="1F4E1B6A"/>
    <w:rsid w:val="1F680515"/>
    <w:rsid w:val="1F936DDB"/>
    <w:rsid w:val="2000198D"/>
    <w:rsid w:val="2025634A"/>
    <w:rsid w:val="202F6C59"/>
    <w:rsid w:val="2058589F"/>
    <w:rsid w:val="20E85B7C"/>
    <w:rsid w:val="212307EB"/>
    <w:rsid w:val="21664758"/>
    <w:rsid w:val="21D63B12"/>
    <w:rsid w:val="21EC5CB5"/>
    <w:rsid w:val="22272617"/>
    <w:rsid w:val="228813B7"/>
    <w:rsid w:val="2358620C"/>
    <w:rsid w:val="238D53E2"/>
    <w:rsid w:val="23DC5161"/>
    <w:rsid w:val="23FB5A15"/>
    <w:rsid w:val="23FE699A"/>
    <w:rsid w:val="24315EF0"/>
    <w:rsid w:val="246D02D3"/>
    <w:rsid w:val="24E45F5B"/>
    <w:rsid w:val="25757480"/>
    <w:rsid w:val="25C42A83"/>
    <w:rsid w:val="25CA020F"/>
    <w:rsid w:val="25ED3C47"/>
    <w:rsid w:val="26097CF4"/>
    <w:rsid w:val="263E6EC9"/>
    <w:rsid w:val="26CD0D37"/>
    <w:rsid w:val="27703DC3"/>
    <w:rsid w:val="27D0185E"/>
    <w:rsid w:val="27E22DFD"/>
    <w:rsid w:val="281D4425"/>
    <w:rsid w:val="282E547B"/>
    <w:rsid w:val="28FE6A4D"/>
    <w:rsid w:val="290C15E6"/>
    <w:rsid w:val="2972480D"/>
    <w:rsid w:val="29747D10"/>
    <w:rsid w:val="29832529"/>
    <w:rsid w:val="299A214E"/>
    <w:rsid w:val="29B84F82"/>
    <w:rsid w:val="29C42F93"/>
    <w:rsid w:val="29D741B2"/>
    <w:rsid w:val="29FF78F4"/>
    <w:rsid w:val="2A423861"/>
    <w:rsid w:val="2A8F1762"/>
    <w:rsid w:val="2AAF6413"/>
    <w:rsid w:val="2ABE6A2E"/>
    <w:rsid w:val="2B002D1A"/>
    <w:rsid w:val="2B370C76"/>
    <w:rsid w:val="2B866477"/>
    <w:rsid w:val="2B8D5E01"/>
    <w:rsid w:val="2BBC6951"/>
    <w:rsid w:val="2BBF4052"/>
    <w:rsid w:val="2C2C6C04"/>
    <w:rsid w:val="2C380499"/>
    <w:rsid w:val="2C72517A"/>
    <w:rsid w:val="2C971B37"/>
    <w:rsid w:val="2D025963"/>
    <w:rsid w:val="2D251623"/>
    <w:rsid w:val="2E250044"/>
    <w:rsid w:val="2EA66014"/>
    <w:rsid w:val="2EFC4824"/>
    <w:rsid w:val="2F1034C5"/>
    <w:rsid w:val="2FB51A54"/>
    <w:rsid w:val="2FF859C1"/>
    <w:rsid w:val="2FFFECA8"/>
    <w:rsid w:val="30054CD6"/>
    <w:rsid w:val="30316E1F"/>
    <w:rsid w:val="30336A9F"/>
    <w:rsid w:val="30DF243B"/>
    <w:rsid w:val="30FA42EA"/>
    <w:rsid w:val="326B5445"/>
    <w:rsid w:val="32801B67"/>
    <w:rsid w:val="32956289"/>
    <w:rsid w:val="32AE71B3"/>
    <w:rsid w:val="32E31C0C"/>
    <w:rsid w:val="33897E1B"/>
    <w:rsid w:val="338A589D"/>
    <w:rsid w:val="33D87B9A"/>
    <w:rsid w:val="34635580"/>
    <w:rsid w:val="34762022"/>
    <w:rsid w:val="3486483B"/>
    <w:rsid w:val="34DB1D47"/>
    <w:rsid w:val="34E27153"/>
    <w:rsid w:val="3538685D"/>
    <w:rsid w:val="360A2438"/>
    <w:rsid w:val="36116540"/>
    <w:rsid w:val="36291668"/>
    <w:rsid w:val="366672CF"/>
    <w:rsid w:val="36A622B7"/>
    <w:rsid w:val="36FD2CC6"/>
    <w:rsid w:val="375B0AE1"/>
    <w:rsid w:val="37AF0A14"/>
    <w:rsid w:val="382C7B34"/>
    <w:rsid w:val="3842555B"/>
    <w:rsid w:val="38EC7F72"/>
    <w:rsid w:val="38EF30F5"/>
    <w:rsid w:val="39EE3018"/>
    <w:rsid w:val="3A286675"/>
    <w:rsid w:val="3ACF398B"/>
    <w:rsid w:val="3AED1748"/>
    <w:rsid w:val="3B8F63EA"/>
    <w:rsid w:val="3C2506B9"/>
    <w:rsid w:val="3CFF16A1"/>
    <w:rsid w:val="3D1612C7"/>
    <w:rsid w:val="3D1A7CCD"/>
    <w:rsid w:val="3D38727D"/>
    <w:rsid w:val="3D6C09D0"/>
    <w:rsid w:val="3DB44648"/>
    <w:rsid w:val="3DE6611C"/>
    <w:rsid w:val="3E0221C9"/>
    <w:rsid w:val="3E18436C"/>
    <w:rsid w:val="3E317495"/>
    <w:rsid w:val="3E9207B3"/>
    <w:rsid w:val="3EEC7BC8"/>
    <w:rsid w:val="3F3B31CA"/>
    <w:rsid w:val="3F92745C"/>
    <w:rsid w:val="401C3B3D"/>
    <w:rsid w:val="402356C6"/>
    <w:rsid w:val="40356C65"/>
    <w:rsid w:val="40880C6E"/>
    <w:rsid w:val="4185788C"/>
    <w:rsid w:val="41872D8F"/>
    <w:rsid w:val="425424E3"/>
    <w:rsid w:val="42625F75"/>
    <w:rsid w:val="42C6151D"/>
    <w:rsid w:val="4342336B"/>
    <w:rsid w:val="43A7408E"/>
    <w:rsid w:val="43E01C6A"/>
    <w:rsid w:val="444F7D1F"/>
    <w:rsid w:val="446A79E8"/>
    <w:rsid w:val="4490658A"/>
    <w:rsid w:val="44E0180C"/>
    <w:rsid w:val="44E66F99"/>
    <w:rsid w:val="45225AF9"/>
    <w:rsid w:val="45B71870"/>
    <w:rsid w:val="45E745BD"/>
    <w:rsid w:val="462640A2"/>
    <w:rsid w:val="47025DAB"/>
    <w:rsid w:val="47C34DC8"/>
    <w:rsid w:val="47FD3CA8"/>
    <w:rsid w:val="47FF2A2E"/>
    <w:rsid w:val="48472E23"/>
    <w:rsid w:val="48501534"/>
    <w:rsid w:val="488C2292"/>
    <w:rsid w:val="492D7C1D"/>
    <w:rsid w:val="494168BE"/>
    <w:rsid w:val="49B71D80"/>
    <w:rsid w:val="49EE4458"/>
    <w:rsid w:val="4A0B5F87"/>
    <w:rsid w:val="4A521F7E"/>
    <w:rsid w:val="4A5E7F8F"/>
    <w:rsid w:val="4ACA0943"/>
    <w:rsid w:val="4ACB2B41"/>
    <w:rsid w:val="4AD81E57"/>
    <w:rsid w:val="4AEC68F9"/>
    <w:rsid w:val="4B1B3BC5"/>
    <w:rsid w:val="4B1E25CC"/>
    <w:rsid w:val="4BA22BA5"/>
    <w:rsid w:val="4BD71D7A"/>
    <w:rsid w:val="4C286301"/>
    <w:rsid w:val="4C5C5856"/>
    <w:rsid w:val="4C7450FB"/>
    <w:rsid w:val="4CB848EB"/>
    <w:rsid w:val="4CB87E57"/>
    <w:rsid w:val="4CBB10F3"/>
    <w:rsid w:val="4CD01F92"/>
    <w:rsid w:val="4CFA2DD6"/>
    <w:rsid w:val="4D2B4C2A"/>
    <w:rsid w:val="4D5756EE"/>
    <w:rsid w:val="4DC0189A"/>
    <w:rsid w:val="4DC74AA8"/>
    <w:rsid w:val="4DD672C1"/>
    <w:rsid w:val="4E7B1FCD"/>
    <w:rsid w:val="4EDA586A"/>
    <w:rsid w:val="4EE12E4F"/>
    <w:rsid w:val="4EF53E96"/>
    <w:rsid w:val="4F2272E3"/>
    <w:rsid w:val="4F707062"/>
    <w:rsid w:val="4F8A5A0E"/>
    <w:rsid w:val="4FCC0F6D"/>
    <w:rsid w:val="504A004A"/>
    <w:rsid w:val="50795316"/>
    <w:rsid w:val="50866BAB"/>
    <w:rsid w:val="511A4EA0"/>
    <w:rsid w:val="516D3625"/>
    <w:rsid w:val="51EE4E78"/>
    <w:rsid w:val="52470D8A"/>
    <w:rsid w:val="52C23F57"/>
    <w:rsid w:val="52D65176"/>
    <w:rsid w:val="52F9662F"/>
    <w:rsid w:val="535769C9"/>
    <w:rsid w:val="538A5F1E"/>
    <w:rsid w:val="53C3157B"/>
    <w:rsid w:val="54797DA5"/>
    <w:rsid w:val="558D456E"/>
    <w:rsid w:val="55AD6B1D"/>
    <w:rsid w:val="55F23D8E"/>
    <w:rsid w:val="5610122D"/>
    <w:rsid w:val="56A603BA"/>
    <w:rsid w:val="56C31EE8"/>
    <w:rsid w:val="56CE49F6"/>
    <w:rsid w:val="5727418B"/>
    <w:rsid w:val="57447EB8"/>
    <w:rsid w:val="57753F0A"/>
    <w:rsid w:val="5782579E"/>
    <w:rsid w:val="57BB6BFD"/>
    <w:rsid w:val="581524F8"/>
    <w:rsid w:val="58221AA4"/>
    <w:rsid w:val="59317A63"/>
    <w:rsid w:val="59D86F77"/>
    <w:rsid w:val="59FF60E5"/>
    <w:rsid w:val="5A0D614D"/>
    <w:rsid w:val="5A9263A6"/>
    <w:rsid w:val="5AB515E0"/>
    <w:rsid w:val="5BA95B6E"/>
    <w:rsid w:val="5C040806"/>
    <w:rsid w:val="5C1B4BA8"/>
    <w:rsid w:val="5C402BE9"/>
    <w:rsid w:val="5CA73DB1"/>
    <w:rsid w:val="5CB62828"/>
    <w:rsid w:val="5CC3793F"/>
    <w:rsid w:val="5CE110EE"/>
    <w:rsid w:val="5D472117"/>
    <w:rsid w:val="5D9D72A2"/>
    <w:rsid w:val="5E130528"/>
    <w:rsid w:val="5E7F5697"/>
    <w:rsid w:val="5EA70DDA"/>
    <w:rsid w:val="5F122687"/>
    <w:rsid w:val="5F7E77B8"/>
    <w:rsid w:val="5FEBBA58"/>
    <w:rsid w:val="5FFF77DB"/>
    <w:rsid w:val="6009191A"/>
    <w:rsid w:val="603D2175"/>
    <w:rsid w:val="60975D06"/>
    <w:rsid w:val="60F715A3"/>
    <w:rsid w:val="610B0243"/>
    <w:rsid w:val="61351088"/>
    <w:rsid w:val="615B12C7"/>
    <w:rsid w:val="61C45474"/>
    <w:rsid w:val="61EF75BD"/>
    <w:rsid w:val="61FD68D2"/>
    <w:rsid w:val="62497AFB"/>
    <w:rsid w:val="62755297"/>
    <w:rsid w:val="62BF6990"/>
    <w:rsid w:val="63261838"/>
    <w:rsid w:val="632772B9"/>
    <w:rsid w:val="635406F9"/>
    <w:rsid w:val="64091E2A"/>
    <w:rsid w:val="64407D86"/>
    <w:rsid w:val="64777EE0"/>
    <w:rsid w:val="64821AF4"/>
    <w:rsid w:val="64875F7C"/>
    <w:rsid w:val="649D39A3"/>
    <w:rsid w:val="64F94FB6"/>
    <w:rsid w:val="653A12A3"/>
    <w:rsid w:val="65FE0227"/>
    <w:rsid w:val="66A562F6"/>
    <w:rsid w:val="66D74547"/>
    <w:rsid w:val="67523E91"/>
    <w:rsid w:val="677F6D1E"/>
    <w:rsid w:val="68541818"/>
    <w:rsid w:val="687F107F"/>
    <w:rsid w:val="68CE0DFE"/>
    <w:rsid w:val="68E92CAD"/>
    <w:rsid w:val="695732E1"/>
    <w:rsid w:val="69713E8B"/>
    <w:rsid w:val="69732C11"/>
    <w:rsid w:val="697B001E"/>
    <w:rsid w:val="69891532"/>
    <w:rsid w:val="6A270136"/>
    <w:rsid w:val="6A786C3C"/>
    <w:rsid w:val="6AAC038F"/>
    <w:rsid w:val="6ACC66C6"/>
    <w:rsid w:val="6B09652B"/>
    <w:rsid w:val="6B133D3F"/>
    <w:rsid w:val="6B5478A4"/>
    <w:rsid w:val="6B7A5565"/>
    <w:rsid w:val="6B917708"/>
    <w:rsid w:val="6BD77E7D"/>
    <w:rsid w:val="6BF670AD"/>
    <w:rsid w:val="6C547446"/>
    <w:rsid w:val="6CAC58D7"/>
    <w:rsid w:val="6CB63C68"/>
    <w:rsid w:val="6D434B50"/>
    <w:rsid w:val="6D9003EF"/>
    <w:rsid w:val="6DA35E6F"/>
    <w:rsid w:val="6E3766E2"/>
    <w:rsid w:val="6E950C7A"/>
    <w:rsid w:val="6EFFD0D2"/>
    <w:rsid w:val="6F1C7C5A"/>
    <w:rsid w:val="70291091"/>
    <w:rsid w:val="704476BC"/>
    <w:rsid w:val="70D97BAF"/>
    <w:rsid w:val="71116E10"/>
    <w:rsid w:val="713A694F"/>
    <w:rsid w:val="71912BE1"/>
    <w:rsid w:val="71AE4710"/>
    <w:rsid w:val="7205511E"/>
    <w:rsid w:val="72495163"/>
    <w:rsid w:val="72EC1B99"/>
    <w:rsid w:val="73193962"/>
    <w:rsid w:val="735402C3"/>
    <w:rsid w:val="738F6E24"/>
    <w:rsid w:val="73A50FC7"/>
    <w:rsid w:val="73C80282"/>
    <w:rsid w:val="74EA165E"/>
    <w:rsid w:val="74FB44DA"/>
    <w:rsid w:val="75630023"/>
    <w:rsid w:val="762635E5"/>
    <w:rsid w:val="76311976"/>
    <w:rsid w:val="764B251F"/>
    <w:rsid w:val="76EB7265"/>
    <w:rsid w:val="772D2B12"/>
    <w:rsid w:val="77345D20"/>
    <w:rsid w:val="775D10E3"/>
    <w:rsid w:val="777A2C11"/>
    <w:rsid w:val="78582600"/>
    <w:rsid w:val="786F2225"/>
    <w:rsid w:val="788B62D2"/>
    <w:rsid w:val="79352EE7"/>
    <w:rsid w:val="79630533"/>
    <w:rsid w:val="797152CB"/>
    <w:rsid w:val="7A1A2260"/>
    <w:rsid w:val="7A5B2CCA"/>
    <w:rsid w:val="7ABB6566"/>
    <w:rsid w:val="7ACE7785"/>
    <w:rsid w:val="7B76251D"/>
    <w:rsid w:val="7B9E45DB"/>
    <w:rsid w:val="7BAF5B7A"/>
    <w:rsid w:val="7C6A2A2A"/>
    <w:rsid w:val="7CCF3A53"/>
    <w:rsid w:val="7D1E37D2"/>
    <w:rsid w:val="7D2F3A6C"/>
    <w:rsid w:val="7D5A1439"/>
    <w:rsid w:val="7D8E2B8C"/>
    <w:rsid w:val="7D8F9C88"/>
    <w:rsid w:val="7DF57FB2"/>
    <w:rsid w:val="7DF7911F"/>
    <w:rsid w:val="7E602EE5"/>
    <w:rsid w:val="7E90A208"/>
    <w:rsid w:val="7EBF106A"/>
    <w:rsid w:val="7EBF2EFE"/>
    <w:rsid w:val="7EDC282E"/>
    <w:rsid w:val="7F055BF1"/>
    <w:rsid w:val="7F2406A4"/>
    <w:rsid w:val="7F373E42"/>
    <w:rsid w:val="7FAF608A"/>
    <w:rsid w:val="7FFB5B5E"/>
    <w:rsid w:val="96F5FE66"/>
    <w:rsid w:val="9AD8CAC1"/>
    <w:rsid w:val="9EBBE28C"/>
    <w:rsid w:val="A77F688F"/>
    <w:rsid w:val="AEC71380"/>
    <w:rsid w:val="AFB497B2"/>
    <w:rsid w:val="AFE9D854"/>
    <w:rsid w:val="B157D2C9"/>
    <w:rsid w:val="B5FC6313"/>
    <w:rsid w:val="B9861F7B"/>
    <w:rsid w:val="BCCD823B"/>
    <w:rsid w:val="BDD66B12"/>
    <w:rsid w:val="CFFDA157"/>
    <w:rsid w:val="DD3FD555"/>
    <w:rsid w:val="DFFD7B4C"/>
    <w:rsid w:val="E1BDB92F"/>
    <w:rsid w:val="E7CFE517"/>
    <w:rsid w:val="E7FFE580"/>
    <w:rsid w:val="EBFFFC88"/>
    <w:rsid w:val="EDB7443E"/>
    <w:rsid w:val="EFFFF6D4"/>
    <w:rsid w:val="F77B9471"/>
    <w:rsid w:val="FB3F8657"/>
    <w:rsid w:val="FDFFCB8C"/>
    <w:rsid w:val="FEFB0457"/>
    <w:rsid w:val="FF972EB4"/>
    <w:rsid w:val="FFFEA9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7"/>
    <w:qFormat/>
    <w:uiPriority w:val="99"/>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customStyle="1" w:styleId="6">
    <w:name w:val="样式2"/>
    <w:basedOn w:val="1"/>
    <w:qFormat/>
    <w:uiPriority w:val="0"/>
    <w:pPr>
      <w:spacing w:line="640" w:lineRule="exact"/>
      <w:ind w:firstLine="640" w:firstLineChars="200"/>
    </w:pPr>
    <w:rPr>
      <w:rFonts w:ascii="仿宋_GB2312" w:hAnsi="Times New Roman" w:eastAsia="仿宋_GB2312"/>
      <w:sz w:val="32"/>
      <w:szCs w:val="32"/>
    </w:rPr>
  </w:style>
  <w:style w:type="character" w:customStyle="1" w:styleId="7">
    <w:name w:val="页脚 字符"/>
    <w:basedOn w:val="5"/>
    <w:link w:val="2"/>
    <w:qFormat/>
    <w:uiPriority w:val="99"/>
    <w:rPr>
      <w:rFonts w:asciiTheme="minorHAnsi" w:hAnsiTheme="minorHAnsi" w:eastAsiaTheme="minorEastAsia" w:cstheme="minorBidi"/>
      <w:kern w:val="2"/>
      <w:sz w:val="18"/>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19</Pages>
  <Words>1632</Words>
  <Characters>9306</Characters>
  <Lines>77</Lines>
  <Paragraphs>21</Paragraphs>
  <TotalTime>0</TotalTime>
  <ScaleCrop>false</ScaleCrop>
  <LinksUpToDate>false</LinksUpToDate>
  <CharactersWithSpaces>10917</CharactersWithSpaces>
  <Application>WPS Office_11.8.2.11542_F1E327BC-269C-435d-A152-05C5408002CA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2014-11-02T12:08:00Z</dcterms:created>
  <dc:creator>Administrator</dc:creator>
  <cp:lastModifiedBy>sunm202311</cp:lastModifiedBy>
  <cp:lastPrinted>2024-04-17T08:09:00Z</cp:lastPrinted>
  <dcterms:modified xsi:type="dcterms:W3CDTF">2024-05-06T06:12:33Z</dcterms:modified>
  <dc:title>附件2</dc:title>
  <cp:revision>386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2052-11.8.2.11542</vt:lpwstr>
  </property>
  <property fmtid="{D5CDD505-2E9C-101B-9397-08002B2CF9AE}" pid="3" name="ICV">
    <vt:lpwstr>41165973DCE5DFFFF4CB1D666D1EED52</vt:lpwstr>
  </property>
  <property fmtid="{D5CDD505-2E9C-101B-9397-08002B2CF9AE}" pid="4" name="DOCOPENTIME">
    <vt:lpwstr>2024-04-16085250</vt:lpwstr>
  </property>
  <property fmtid="{D5CDD505-2E9C-101B-9397-08002B2CF9AE}" pid="5" name="isOA">
    <vt:lpwstr>true</vt:lpwstr>
  </property>
  <property fmtid="{D5CDD505-2E9C-101B-9397-08002B2CF9AE}" pid="6" name="DOCUNID">
    <vt:lpwstr>9b3c6165538545ec9ef11eb564bbd3b3</vt:lpwstr>
  </property>
  <property fmtid="{D5CDD505-2E9C-101B-9397-08002B2CF9AE}" pid="7" name="ActionName">
    <vt:lpwstr>ViewAttach</vt:lpwstr>
  </property>
  <property fmtid="{D5CDD505-2E9C-101B-9397-08002B2CF9AE}" pid="8" name="RevisionFlag">
    <vt:lpwstr>0</vt:lpwstr>
  </property>
</Properties>
</file>