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lang w:val="en-US" w:eastAsia="zh-CN"/>
        </w:rPr>
      </w:pPr>
      <w:r>
        <w:rPr>
          <w:rFonts w:hint="eastAsia"/>
          <w:lang w:val="en-US" w:eastAsia="zh-CN"/>
        </w:rPr>
        <w:t xml:space="preserve">               债担系统培训流程</w:t>
      </w:r>
    </w:p>
    <w:p>
      <w:pPr>
        <w:pStyle w:val="4"/>
        <w:numPr>
          <w:ilvl w:val="0"/>
          <w:numId w:val="1"/>
        </w:numPr>
        <w:bidi w:val="0"/>
        <w:outlineLvl w:val="0"/>
        <w:rPr>
          <w:rFonts w:hint="default"/>
          <w:lang w:val="en-US" w:eastAsia="zh-CN"/>
        </w:rPr>
      </w:pPr>
      <w:r>
        <w:rPr>
          <w:rFonts w:hint="eastAsia"/>
          <w:lang w:val="en-US" w:eastAsia="zh-CN"/>
        </w:rPr>
        <w:t>培训准备</w:t>
      </w:r>
    </w:p>
    <w:p>
      <w:pPr>
        <w:ind w:firstLine="420" w:firstLineChars="200"/>
        <w:rPr>
          <w:rFonts w:hint="eastAsia"/>
          <w:lang w:val="en-US" w:eastAsia="zh-CN"/>
        </w:rPr>
      </w:pPr>
      <w:r>
        <w:rPr>
          <w:rFonts w:hint="eastAsia"/>
          <w:lang w:val="en-US" w:eastAsia="zh-CN"/>
        </w:rPr>
        <w:t>每台电脑桌面上有一个文件《培训材料说明》里面分别是:</w:t>
      </w:r>
    </w:p>
    <w:p>
      <w:pPr>
        <w:ind w:firstLine="420" w:firstLineChars="200"/>
        <w:rPr>
          <w:rFonts w:hint="eastAsia"/>
          <w:lang w:val="en-US" w:eastAsia="zh-CN"/>
        </w:rPr>
      </w:pPr>
      <w:r>
        <w:rPr>
          <w:rFonts w:hint="eastAsia"/>
          <w:lang w:val="en-US" w:eastAsia="zh-CN"/>
        </w:rPr>
        <w:t>培训环境登陆地址：</w:t>
      </w:r>
      <w:r>
        <w:rPr>
          <w:rFonts w:hint="eastAsia"/>
          <w:lang w:val="en-US" w:eastAsia="zh-CN"/>
        </w:rPr>
        <w:fldChar w:fldCharType="begin"/>
      </w:r>
      <w:r>
        <w:rPr>
          <w:rFonts w:hint="eastAsia"/>
          <w:lang w:val="en-US" w:eastAsia="zh-CN"/>
        </w:rPr>
        <w:instrText xml:space="preserve"> HYPERLINK "http://124.42.33.195/rz/#/login" </w:instrText>
      </w:r>
      <w:r>
        <w:rPr>
          <w:rFonts w:hint="eastAsia"/>
          <w:lang w:val="en-US" w:eastAsia="zh-CN"/>
        </w:rPr>
        <w:fldChar w:fldCharType="separate"/>
      </w:r>
      <w:r>
        <w:rPr>
          <w:rStyle w:val="10"/>
          <w:rFonts w:hint="eastAsia"/>
          <w:lang w:val="en-US" w:eastAsia="zh-CN"/>
        </w:rPr>
        <w:t>http://124.42.33.195/rz/#/login</w:t>
      </w:r>
      <w:r>
        <w:rPr>
          <w:rFonts w:hint="eastAsia"/>
          <w:lang w:val="en-US" w:eastAsia="zh-CN"/>
        </w:rPr>
        <w:fldChar w:fldCharType="end"/>
      </w:r>
    </w:p>
    <w:p>
      <w:pPr>
        <w:ind w:firstLine="420" w:firstLineChars="200"/>
        <w:rPr>
          <w:rFonts w:hint="default"/>
          <w:lang w:val="en-US" w:eastAsia="zh-CN"/>
        </w:rPr>
      </w:pPr>
    </w:p>
    <w:p>
      <w:pPr>
        <w:ind w:firstLine="420" w:firstLineChars="200"/>
        <w:rPr>
          <w:rFonts w:hint="eastAsia"/>
          <w:lang w:val="en-US" w:eastAsia="zh-CN"/>
        </w:rPr>
      </w:pPr>
      <w:r>
        <w:rPr>
          <w:rFonts w:hint="eastAsia"/>
          <w:lang w:val="en-US" w:eastAsia="zh-CN"/>
        </w:rPr>
        <w:t xml:space="preserve">培训环境用户名: 14201 </w:t>
      </w:r>
    </w:p>
    <w:p>
      <w:pPr>
        <w:ind w:firstLine="420" w:firstLineChars="200"/>
        <w:rPr>
          <w:rFonts w:hint="eastAsia"/>
          <w:lang w:val="en-US" w:eastAsia="zh-CN"/>
        </w:rPr>
      </w:pPr>
      <w:r>
        <w:rPr>
          <w:rFonts w:hint="eastAsia"/>
          <w:lang w:val="en-US" w:eastAsia="zh-CN"/>
        </w:rPr>
        <w:t>培训环境密码:P@ssword9876</w:t>
      </w:r>
    </w:p>
    <w:p>
      <w:pPr>
        <w:ind w:firstLine="420" w:firstLineChars="200"/>
        <w:rPr>
          <w:rFonts w:hint="eastAsia"/>
          <w:lang w:val="en-US" w:eastAsia="zh-CN"/>
        </w:rPr>
      </w:pPr>
    </w:p>
    <w:p>
      <w:pPr>
        <w:ind w:firstLine="420" w:firstLineChars="200"/>
        <w:rPr>
          <w:rFonts w:hint="eastAsia"/>
          <w:lang w:val="en-US" w:eastAsia="zh-CN"/>
        </w:rPr>
      </w:pPr>
      <w:r>
        <w:rPr>
          <w:rFonts w:hint="eastAsia"/>
          <w:lang w:val="en-US" w:eastAsia="zh-CN"/>
        </w:rPr>
        <w:t>会场WIFI名称:AVIC-5F</w:t>
      </w:r>
    </w:p>
    <w:p>
      <w:pPr>
        <w:ind w:firstLine="420" w:firstLineChars="200"/>
        <w:rPr>
          <w:rFonts w:hint="eastAsia"/>
          <w:lang w:val="en-US" w:eastAsia="zh-CN"/>
        </w:rPr>
      </w:pPr>
      <w:r>
        <w:rPr>
          <w:rFonts w:hint="eastAsia"/>
          <w:lang w:val="en-US" w:eastAsia="zh-CN"/>
        </w:rPr>
        <w:t>会场WIFI密码:avic#123456</w:t>
      </w:r>
    </w:p>
    <w:p>
      <w:pPr>
        <w:ind w:firstLine="420" w:firstLineChars="200"/>
        <w:rPr>
          <w:rFonts w:hint="eastAsia"/>
          <w:lang w:val="en-US" w:eastAsia="zh-CN"/>
        </w:rPr>
      </w:pPr>
    </w:p>
    <w:p>
      <w:pPr>
        <w:ind w:firstLine="420" w:firstLineChars="200"/>
        <w:rPr>
          <w:rFonts w:hint="eastAsia"/>
          <w:lang w:val="en-US" w:eastAsia="zh-CN"/>
        </w:rPr>
      </w:pPr>
      <w:r>
        <w:rPr>
          <w:rFonts w:hint="eastAsia"/>
          <w:lang w:val="en-US" w:eastAsia="zh-CN"/>
        </w:rPr>
        <w:t xml:space="preserve">生产环境登陆地址: </w:t>
      </w:r>
      <w:r>
        <w:rPr>
          <w:rFonts w:hint="eastAsia"/>
          <w:lang w:val="en-US" w:eastAsia="zh-CN"/>
        </w:rPr>
        <w:fldChar w:fldCharType="begin"/>
      </w:r>
      <w:r>
        <w:rPr>
          <w:rFonts w:hint="eastAsia"/>
          <w:lang w:val="en-US" w:eastAsia="zh-CN"/>
        </w:rPr>
        <w:instrText xml:space="preserve"> HYPERLINK "http://sk.avicfc.com.cn" </w:instrText>
      </w:r>
      <w:r>
        <w:rPr>
          <w:rFonts w:hint="eastAsia"/>
          <w:lang w:val="en-US" w:eastAsia="zh-CN"/>
        </w:rPr>
        <w:fldChar w:fldCharType="separate"/>
      </w:r>
      <w:r>
        <w:rPr>
          <w:rStyle w:val="10"/>
          <w:rFonts w:hint="eastAsia"/>
          <w:lang w:val="en-US" w:eastAsia="zh-CN"/>
        </w:rPr>
        <w:t>http://sk.avicfc.com.cn</w:t>
      </w:r>
      <w:r>
        <w:rPr>
          <w:rFonts w:hint="eastAsia"/>
          <w:lang w:val="en-US" w:eastAsia="zh-CN"/>
        </w:rPr>
        <w:fldChar w:fldCharType="end"/>
      </w:r>
    </w:p>
    <w:p>
      <w:pPr>
        <w:ind w:firstLine="420" w:firstLineChars="200"/>
        <w:rPr>
          <w:rFonts w:hint="default"/>
          <w:lang w:val="en-US" w:eastAsia="zh-CN"/>
        </w:rPr>
      </w:pPr>
      <w:r>
        <w:rPr>
          <w:rFonts w:hint="eastAsia"/>
          <w:lang w:val="en-US" w:eastAsia="zh-CN"/>
        </w:rPr>
        <w:t>说明生产环境需要通过商网App扫码登陆 需要联系管理员配置登陆权限。</w:t>
      </w:r>
    </w:p>
    <w:p>
      <w:pPr>
        <w:ind w:firstLine="420" w:firstLineChars="200"/>
        <w:rPr>
          <w:rFonts w:hint="default"/>
          <w:lang w:val="en-US" w:eastAsia="zh-CN"/>
        </w:rPr>
      </w:pPr>
    </w:p>
    <w:p>
      <w:pPr>
        <w:pStyle w:val="4"/>
        <w:numPr>
          <w:ilvl w:val="0"/>
          <w:numId w:val="2"/>
        </w:numPr>
        <w:bidi w:val="0"/>
        <w:outlineLvl w:val="0"/>
        <w:rPr>
          <w:rFonts w:hint="default"/>
          <w:lang w:val="en-US" w:eastAsia="zh-CN"/>
        </w:rPr>
      </w:pPr>
      <w:r>
        <w:rPr>
          <w:rFonts w:hint="eastAsia"/>
          <w:lang w:val="en-US" w:eastAsia="zh-CN"/>
        </w:rPr>
        <w:t>系统介绍</w:t>
      </w:r>
    </w:p>
    <w:p>
      <w:pPr>
        <w:numPr>
          <w:ilvl w:val="0"/>
          <w:numId w:val="0"/>
        </w:numPr>
        <w:spacing w:line="360" w:lineRule="auto"/>
        <w:ind w:firstLine="420" w:firstLineChars="0"/>
        <w:rPr>
          <w:rFonts w:hint="eastAsia" w:ascii="宋体" w:hAnsi="宋体" w:cs="宋体"/>
          <w:sz w:val="24"/>
          <w:szCs w:val="24"/>
          <w:lang w:val="en-US" w:eastAsia="zh-CN"/>
        </w:rPr>
      </w:pPr>
      <w:r>
        <w:rPr>
          <w:rFonts w:hint="eastAsia" w:ascii="宋体" w:hAnsi="宋体" w:cs="宋体"/>
          <w:sz w:val="24"/>
          <w:szCs w:val="24"/>
          <w:lang w:val="en-US" w:eastAsia="zh-CN"/>
        </w:rPr>
        <w:t>深入贯彻落实国资委关于加强债务融资与担保管理的相关要求，立足集团公司债务融资管理和担保管理体系，建设集团公司债务融资和担保管理系统，通过债务管控指标审批、债务融资业务审批、担保预算管理、担保业务审批和外部融资统筹管理五个功能的设计建设，全流程全线上管控集团公司各级单位债务融资与担保业务的预算与实施，有效提升内源融资规模与比重，分类统筹管理外源融资，并汇集全集团债务融资和担保业务数据，运用大数据与风险指标监测等信息化手段动态监控与预警，支撑集团公司有效控制带息负债规模，优化债务融资结构，防范融资和担保风险，降低整体融资成本。</w:t>
      </w:r>
    </w:p>
    <w:p>
      <w:pPr>
        <w:pStyle w:val="4"/>
        <w:numPr>
          <w:ilvl w:val="0"/>
          <w:numId w:val="2"/>
        </w:numPr>
        <w:bidi w:val="0"/>
        <w:ind w:left="425" w:leftChars="0" w:hanging="425" w:firstLineChars="0"/>
        <w:outlineLvl w:val="0"/>
        <w:rPr>
          <w:rFonts w:hint="default"/>
          <w:lang w:val="en-US" w:eastAsia="zh-CN"/>
        </w:rPr>
      </w:pPr>
      <w:r>
        <w:rPr>
          <w:rFonts w:hint="eastAsia"/>
          <w:lang w:val="en-US" w:eastAsia="zh-CN"/>
        </w:rPr>
        <w:t>系统人员培训</w:t>
      </w:r>
    </w:p>
    <w:p>
      <w:pPr>
        <w:pStyle w:val="6"/>
        <w:numPr>
          <w:ilvl w:val="1"/>
          <w:numId w:val="2"/>
        </w:numPr>
        <w:bidi w:val="0"/>
        <w:outlineLvl w:val="1"/>
        <w:rPr>
          <w:rFonts w:hint="eastAsia"/>
          <w:lang w:val="en-US" w:eastAsia="zh-CN"/>
        </w:rPr>
      </w:pPr>
      <w:r>
        <w:rPr>
          <w:rFonts w:hint="eastAsia"/>
          <w:lang w:val="en-US" w:eastAsia="zh-CN"/>
        </w:rPr>
        <w:t>用户管理</w:t>
      </w:r>
    </w:p>
    <w:p>
      <w:pPr>
        <w:rPr>
          <w:rFonts w:hint="default"/>
          <w:lang w:val="en-US" w:eastAsia="zh-CN"/>
        </w:rPr>
      </w:pPr>
      <w:r>
        <w:rPr>
          <w:rFonts w:hint="eastAsia"/>
          <w:lang w:val="en-US" w:eastAsia="zh-CN"/>
        </w:rPr>
        <w:t xml:space="preserve">     系统在真正使用时用户数据需要在商网注册开通，然后从商网中同步过来。</w:t>
      </w:r>
    </w:p>
    <w:p>
      <w:pPr>
        <w:pStyle w:val="6"/>
        <w:numPr>
          <w:ilvl w:val="1"/>
          <w:numId w:val="2"/>
        </w:numPr>
        <w:bidi w:val="0"/>
        <w:outlineLvl w:val="1"/>
        <w:rPr>
          <w:rFonts w:hint="default"/>
          <w:lang w:val="en-US" w:eastAsia="zh-CN"/>
        </w:rPr>
      </w:pPr>
      <w:r>
        <w:rPr>
          <w:rFonts w:hint="eastAsia"/>
          <w:lang w:val="en-US" w:eastAsia="zh-CN"/>
        </w:rPr>
        <w:t>角色管理</w:t>
      </w:r>
    </w:p>
    <w:p>
      <w:pPr>
        <w:rPr>
          <w:rFonts w:hint="default"/>
          <w:lang w:val="en-US" w:eastAsia="zh-CN"/>
        </w:rPr>
      </w:pPr>
      <w:r>
        <w:rPr>
          <w:rFonts w:hint="eastAsia"/>
          <w:lang w:val="en-US" w:eastAsia="zh-CN"/>
        </w:rPr>
        <w:t xml:space="preserve">     角色管理是系统中针对每种角色设置不同的业务功能权限。</w:t>
      </w:r>
    </w:p>
    <w:p>
      <w:pPr>
        <w:pStyle w:val="6"/>
        <w:numPr>
          <w:ilvl w:val="1"/>
          <w:numId w:val="2"/>
        </w:numPr>
        <w:bidi w:val="0"/>
        <w:outlineLvl w:val="1"/>
        <w:rPr>
          <w:rFonts w:hint="default"/>
          <w:lang w:val="en-US" w:eastAsia="zh-CN"/>
        </w:rPr>
      </w:pPr>
      <w:r>
        <w:rPr>
          <w:rFonts w:hint="eastAsia"/>
          <w:lang w:val="en-US" w:eastAsia="zh-CN"/>
        </w:rPr>
        <w:t>岗位流程配置</w:t>
      </w:r>
    </w:p>
    <w:p>
      <w:pPr>
        <w:rPr>
          <w:rFonts w:hint="default" w:ascii="宋体" w:hAnsi="宋体" w:cs="宋体"/>
          <w:sz w:val="24"/>
          <w:szCs w:val="24"/>
          <w:lang w:val="en-US" w:eastAsia="zh-CN"/>
        </w:rPr>
      </w:pPr>
      <w:r>
        <w:rPr>
          <w:rFonts w:hint="eastAsia"/>
          <w:lang w:val="en-US" w:eastAsia="zh-CN"/>
        </w:rPr>
        <w:t xml:space="preserve">     岗位流程配置是设置每种业务的具体审批流程的设置。</w:t>
      </w:r>
    </w:p>
    <w:p>
      <w:pPr>
        <w:pStyle w:val="4"/>
        <w:numPr>
          <w:ilvl w:val="0"/>
          <w:numId w:val="2"/>
        </w:numPr>
        <w:bidi w:val="0"/>
        <w:ind w:left="425" w:leftChars="0" w:hanging="425" w:firstLineChars="0"/>
        <w:outlineLvl w:val="0"/>
        <w:rPr>
          <w:rFonts w:hint="default"/>
          <w:lang w:val="en-US" w:eastAsia="zh-CN"/>
        </w:rPr>
      </w:pPr>
      <w:r>
        <w:rPr>
          <w:rFonts w:hint="eastAsia"/>
          <w:lang w:val="en-US" w:eastAsia="zh-CN"/>
        </w:rPr>
        <w:t>业务人员培训</w:t>
      </w:r>
    </w:p>
    <w:p>
      <w:pPr>
        <w:pStyle w:val="5"/>
        <w:numPr>
          <w:ilvl w:val="1"/>
          <w:numId w:val="2"/>
        </w:numPr>
        <w:bidi w:val="0"/>
        <w:outlineLvl w:val="1"/>
        <w:rPr>
          <w:rFonts w:hint="eastAsia"/>
          <w:lang w:val="en-US" w:eastAsia="zh-CN"/>
        </w:rPr>
      </w:pPr>
      <w:r>
        <w:rPr>
          <w:rFonts w:hint="eastAsia"/>
          <w:lang w:val="en-US" w:eastAsia="zh-CN"/>
        </w:rPr>
        <w:t>业务基础数据设置</w:t>
      </w:r>
    </w:p>
    <w:p>
      <w:pPr>
        <w:rPr>
          <w:rFonts w:hint="default"/>
          <w:lang w:val="en-US" w:eastAsia="zh-CN"/>
        </w:rPr>
      </w:pPr>
      <w:r>
        <w:rPr>
          <w:rFonts w:hint="eastAsia"/>
          <w:lang w:val="en-US" w:eastAsia="zh-CN"/>
        </w:rPr>
        <w:t xml:space="preserve">      业务基础数据设置是系统各个业务的基石，再做具体业务时需要先设置基础数据功能。</w:t>
      </w:r>
    </w:p>
    <w:p>
      <w:pPr>
        <w:numPr>
          <w:ilvl w:val="2"/>
          <w:numId w:val="2"/>
        </w:numPr>
        <w:ind w:left="0" w:leftChars="0" w:firstLine="0" w:firstLineChars="0"/>
        <w:jc w:val="left"/>
        <w:outlineLvl w:val="2"/>
        <w:rPr>
          <w:rStyle w:val="11"/>
          <w:rFonts w:hint="eastAsia"/>
          <w:lang w:val="en-US" w:eastAsia="zh-CN"/>
        </w:rPr>
      </w:pPr>
      <w:r>
        <w:rPr>
          <w:rStyle w:val="11"/>
          <w:rFonts w:hint="eastAsia"/>
          <w:lang w:val="en-US" w:eastAsia="zh-CN"/>
        </w:rPr>
        <w:t>被担保人股东基础信息</w:t>
      </w:r>
    </w:p>
    <w:p>
      <w:pPr>
        <w:bidi w:val="0"/>
        <w:rPr>
          <w:rFonts w:hint="eastAsia"/>
          <w:lang w:val="en-US" w:eastAsia="zh-CN"/>
        </w:rPr>
      </w:pPr>
      <w:r>
        <w:rPr>
          <w:rStyle w:val="11"/>
          <w:rFonts w:hint="eastAsia"/>
          <w:lang w:val="en-US" w:eastAsia="zh-CN"/>
        </w:rPr>
        <w:t xml:space="preserve">     </w:t>
      </w:r>
      <w:r>
        <w:rPr>
          <w:rFonts w:hint="eastAsia"/>
          <w:lang w:val="en-US" w:eastAsia="zh-CN"/>
        </w:rPr>
        <w:t xml:space="preserve"> 被担保人股东基础信息是用于担保预算业务时的主要信息，它的主要作用在于企业填报担保预算业务信息时，提醒企业在被担保单位的持股占比、担保比例等情况。</w:t>
      </w:r>
    </w:p>
    <w:p>
      <w:pPr>
        <w:bidi w:val="0"/>
        <w:rPr>
          <w:rFonts w:hint="default"/>
          <w:lang w:val="en-US" w:eastAsia="zh-CN"/>
        </w:rPr>
      </w:pPr>
      <w:r>
        <w:rPr>
          <w:rFonts w:hint="eastAsia"/>
          <w:lang w:val="en-US" w:eastAsia="zh-CN"/>
        </w:rPr>
        <w:t xml:space="preserve">      </w:t>
      </w:r>
      <w:r>
        <w:rPr>
          <w:rStyle w:val="11"/>
          <w:rFonts w:hint="eastAsia"/>
          <w:lang w:val="en-US" w:eastAsia="zh-CN"/>
        </w:rPr>
        <w:t>注意事项</w:t>
      </w:r>
      <w:r>
        <w:rPr>
          <w:rFonts w:hint="eastAsia"/>
          <w:lang w:val="en-US" w:eastAsia="zh-CN"/>
        </w:rPr>
        <w:t>：</w:t>
      </w:r>
      <w:r>
        <w:rPr>
          <w:rFonts w:hint="eastAsia"/>
          <w:color w:val="FF0000"/>
          <w:lang w:val="en-US" w:eastAsia="zh-CN"/>
        </w:rPr>
        <w:t>在填写股东信息时，所有股东的持股比例之和不能大于100%。担保预算业务需要维护。</w:t>
      </w:r>
    </w:p>
    <w:p>
      <w:pPr>
        <w:numPr>
          <w:ilvl w:val="0"/>
          <w:numId w:val="0"/>
        </w:numPr>
        <w:ind w:leftChars="0"/>
        <w:rPr>
          <w:rStyle w:val="11"/>
          <w:rFonts w:hint="default"/>
          <w:lang w:val="en-US" w:eastAsia="zh-CN"/>
        </w:rPr>
      </w:pPr>
      <w:r>
        <w:rPr>
          <w:rStyle w:val="11"/>
          <w:rFonts w:hint="eastAsia"/>
          <w:lang w:val="en-US" w:eastAsia="zh-CN"/>
        </w:rPr>
        <w:t xml:space="preserve">    </w:t>
      </w:r>
    </w:p>
    <w:p>
      <w:pPr>
        <w:numPr>
          <w:ilvl w:val="2"/>
          <w:numId w:val="2"/>
        </w:numPr>
        <w:ind w:left="0" w:leftChars="0" w:firstLine="0" w:firstLineChars="0"/>
        <w:outlineLvl w:val="2"/>
        <w:rPr>
          <w:rStyle w:val="11"/>
          <w:rFonts w:hint="default"/>
          <w:lang w:val="en-US" w:eastAsia="zh-CN"/>
        </w:rPr>
      </w:pPr>
      <w:r>
        <w:rPr>
          <w:rStyle w:val="11"/>
          <w:rFonts w:hint="eastAsia"/>
          <w:lang w:val="en-US" w:eastAsia="zh-CN"/>
        </w:rPr>
        <w:t>预算净资产预警</w:t>
      </w:r>
    </w:p>
    <w:p>
      <w:pPr>
        <w:numPr>
          <w:ilvl w:val="0"/>
          <w:numId w:val="0"/>
        </w:numPr>
        <w:ind w:leftChars="0"/>
        <w:rPr>
          <w:rFonts w:hint="eastAsia"/>
          <w:lang w:val="en-US" w:eastAsia="zh-CN"/>
        </w:rPr>
      </w:pPr>
      <w:r>
        <w:rPr>
          <w:rStyle w:val="11"/>
          <w:rFonts w:hint="eastAsia"/>
          <w:lang w:val="en-US" w:eastAsia="zh-CN"/>
        </w:rPr>
        <w:t xml:space="preserve">      </w:t>
      </w:r>
      <w:r>
        <w:rPr>
          <w:rFonts w:hint="eastAsia"/>
          <w:lang w:val="en-US" w:eastAsia="zh-CN"/>
        </w:rPr>
        <w:t>预算净资产预警基础信息是集团用于设置“集团总担保规模与集团合并净资产的比例”、“单户制企业（含本部）担保额与本企业净资产的比例”、各个企业类型的警戒线和管控线等预警信息，这些设置用于债务融资业务、担保预算业务、分级授权等业务中的提醒和预警。</w:t>
      </w:r>
    </w:p>
    <w:p>
      <w:pPr>
        <w:numPr>
          <w:ilvl w:val="0"/>
          <w:numId w:val="0"/>
        </w:numPr>
        <w:ind w:leftChars="0" w:firstLine="723" w:firstLineChars="300"/>
        <w:rPr>
          <w:rFonts w:hint="default"/>
          <w:lang w:val="en-US" w:eastAsia="zh-CN"/>
        </w:rPr>
      </w:pPr>
      <w:r>
        <w:rPr>
          <w:rStyle w:val="12"/>
          <w:rFonts w:hint="eastAsia"/>
          <w:lang w:val="en-US" w:eastAsia="zh-CN"/>
        </w:rPr>
        <w:t>注意事项</w:t>
      </w:r>
      <w:r>
        <w:rPr>
          <w:rFonts w:hint="eastAsia"/>
          <w:lang w:val="en-US" w:eastAsia="zh-CN"/>
        </w:rPr>
        <w:t>：</w:t>
      </w:r>
      <w:r>
        <w:rPr>
          <w:rFonts w:hint="eastAsia"/>
          <w:color w:val="E54C5E" w:themeColor="accent6"/>
          <w:lang w:val="en-US" w:eastAsia="zh-CN"/>
          <w14:textFill>
            <w14:solidFill>
              <w14:schemeClr w14:val="accent6"/>
            </w14:solidFill>
          </w14:textFill>
        </w:rPr>
        <w:t>集团维护预警净资产信息。二级及以下单位只能查询预警设置信息</w:t>
      </w:r>
      <w:r>
        <w:rPr>
          <w:rFonts w:hint="eastAsia"/>
          <w:lang w:val="en-US" w:eastAsia="zh-CN"/>
        </w:rPr>
        <w:t>。</w:t>
      </w:r>
    </w:p>
    <w:p>
      <w:pPr>
        <w:numPr>
          <w:ilvl w:val="2"/>
          <w:numId w:val="2"/>
        </w:numPr>
        <w:ind w:left="0" w:leftChars="0" w:firstLine="0" w:firstLineChars="0"/>
        <w:outlineLvl w:val="2"/>
        <w:rPr>
          <w:rStyle w:val="11"/>
          <w:rFonts w:hint="default"/>
          <w:lang w:val="en-US" w:eastAsia="zh-CN"/>
        </w:rPr>
      </w:pPr>
      <w:r>
        <w:rPr>
          <w:rStyle w:val="11"/>
          <w:rFonts w:hint="eastAsia"/>
          <w:lang w:val="en-US" w:eastAsia="zh-CN"/>
        </w:rPr>
        <w:t>设置上报下达截至时间</w:t>
      </w:r>
    </w:p>
    <w:p>
      <w:pPr>
        <w:numPr>
          <w:ilvl w:val="0"/>
          <w:numId w:val="0"/>
        </w:numPr>
        <w:ind w:leftChars="0"/>
        <w:rPr>
          <w:rStyle w:val="11"/>
          <w:rFonts w:hint="default"/>
          <w:lang w:eastAsia="zh-CN"/>
        </w:rPr>
      </w:pPr>
      <w:r>
        <w:rPr>
          <w:rStyle w:val="11"/>
          <w:rFonts w:hint="default" w:ascii="Arial"/>
          <w:lang w:eastAsia="zh-CN"/>
        </w:rPr>
        <w:t xml:space="preserve">      </w:t>
      </w:r>
      <w:r>
        <w:rPr>
          <w:rFonts w:hint="default"/>
          <w:lang w:eastAsia="zh-CN"/>
        </w:rPr>
        <w:t>设置上报下达截至时间是系统中用于上级单位给下级单位设置融资业务、担保预算业务、永续债的上报及下达业务的最后截止时间，</w:t>
      </w:r>
    </w:p>
    <w:p>
      <w:pPr>
        <w:numPr>
          <w:ilvl w:val="2"/>
          <w:numId w:val="2"/>
        </w:numPr>
        <w:ind w:left="0" w:leftChars="0" w:firstLine="0" w:firstLineChars="0"/>
        <w:outlineLvl w:val="2"/>
        <w:rPr>
          <w:rStyle w:val="11"/>
          <w:rFonts w:hint="default"/>
          <w:lang w:val="en-US" w:eastAsia="zh-CN"/>
        </w:rPr>
      </w:pPr>
      <w:r>
        <w:rPr>
          <w:rStyle w:val="11"/>
          <w:rFonts w:hint="eastAsia"/>
          <w:lang w:val="en-US" w:eastAsia="zh-CN"/>
        </w:rPr>
        <w:t>企业净资产及负债率维护</w:t>
      </w:r>
    </w:p>
    <w:p>
      <w:pPr>
        <w:numPr>
          <w:ilvl w:val="0"/>
          <w:numId w:val="0"/>
        </w:numPr>
        <w:ind w:leftChars="0"/>
        <w:rPr>
          <w:rFonts w:hint="eastAsia"/>
          <w:lang w:val="en-US" w:eastAsia="zh-CN"/>
        </w:rPr>
      </w:pPr>
      <w:r>
        <w:rPr>
          <w:rStyle w:val="11"/>
          <w:rFonts w:hint="eastAsia"/>
          <w:lang w:val="en-US" w:eastAsia="zh-CN"/>
        </w:rPr>
        <w:t xml:space="preserve">      </w:t>
      </w:r>
      <w:r>
        <w:rPr>
          <w:rFonts w:hint="eastAsia"/>
          <w:lang w:val="en-US" w:eastAsia="zh-CN"/>
        </w:rPr>
        <w:t>企业净资产及负债率维护是每家单位需要在月初的时候维护上个月的企业资产信息，用于系统各个业务审批时的使用。</w:t>
      </w:r>
    </w:p>
    <w:p>
      <w:pPr>
        <w:bidi w:val="0"/>
        <w:ind w:firstLine="723" w:firstLineChars="300"/>
        <w:rPr>
          <w:rFonts w:hint="default"/>
          <w:color w:val="FF0000"/>
          <w:lang w:val="en-US" w:eastAsia="zh-CN"/>
        </w:rPr>
      </w:pPr>
      <w:r>
        <w:rPr>
          <w:rStyle w:val="11"/>
          <w:rFonts w:hint="eastAsia"/>
          <w:lang w:val="en-US" w:eastAsia="zh-CN"/>
        </w:rPr>
        <w:t>注意事项：</w:t>
      </w:r>
      <w:r>
        <w:rPr>
          <w:rFonts w:hint="eastAsia"/>
          <w:color w:val="FF0000"/>
          <w:lang w:val="en-US" w:eastAsia="zh-CN"/>
        </w:rPr>
        <w:t>1.数据口径分为合并和本部两种数据，在维护每月数据时需要分别维护这两种口径的数据，合并口径是本单位和下级单位的资产数据，本部是只包含自己本单位的资产数据。 2. 单位如果有担保业务和融资业务就必须维护。</w:t>
      </w:r>
    </w:p>
    <w:p>
      <w:pPr>
        <w:numPr>
          <w:ilvl w:val="2"/>
          <w:numId w:val="2"/>
        </w:numPr>
        <w:ind w:left="0" w:leftChars="0" w:firstLine="0" w:firstLineChars="0"/>
        <w:outlineLvl w:val="2"/>
        <w:rPr>
          <w:rStyle w:val="11"/>
          <w:rFonts w:hint="default"/>
          <w:lang w:val="en-US" w:eastAsia="zh-CN"/>
        </w:rPr>
      </w:pPr>
      <w:r>
        <w:rPr>
          <w:rStyle w:val="11"/>
          <w:rFonts w:hint="eastAsia"/>
          <w:lang w:val="en-US" w:eastAsia="zh-CN"/>
        </w:rPr>
        <w:t>分级授权</w:t>
      </w:r>
    </w:p>
    <w:p>
      <w:pPr>
        <w:numPr>
          <w:ilvl w:val="0"/>
          <w:numId w:val="0"/>
        </w:numPr>
        <w:ind w:leftChars="0"/>
        <w:rPr>
          <w:rStyle w:val="11"/>
          <w:rFonts w:hint="eastAsia"/>
          <w:lang w:val="en-US" w:eastAsia="zh-CN"/>
        </w:rPr>
      </w:pPr>
      <w:r>
        <w:rPr>
          <w:rStyle w:val="11"/>
          <w:rFonts w:hint="eastAsia"/>
          <w:lang w:val="en-US" w:eastAsia="zh-CN"/>
        </w:rPr>
        <w:t xml:space="preserve">      </w:t>
      </w:r>
      <w:r>
        <w:rPr>
          <w:rFonts w:hint="eastAsia"/>
          <w:lang w:val="en-US" w:eastAsia="zh-CN"/>
        </w:rPr>
        <w:t>分级授权是根据设置的规则来判断上级单位是否需要参与下级的审批，规则设置时需要根据不同的业务设置不同的规则，设置的规则本身也是需要流程审批的，只有审批通过的规则才会生效。</w:t>
      </w:r>
      <w:r>
        <w:rPr>
          <w:rStyle w:val="11"/>
          <w:rFonts w:hint="eastAsia"/>
          <w:lang w:val="en-US" w:eastAsia="zh-CN"/>
        </w:rPr>
        <w:t xml:space="preserve">  </w:t>
      </w:r>
    </w:p>
    <w:p>
      <w:pPr>
        <w:numPr>
          <w:ilvl w:val="0"/>
          <w:numId w:val="0"/>
        </w:numPr>
        <w:ind w:leftChars="0"/>
        <w:rPr>
          <w:rStyle w:val="11"/>
          <w:rFonts w:hint="default"/>
          <w:lang w:val="en-US" w:eastAsia="zh-CN"/>
        </w:rPr>
      </w:pPr>
      <w:r>
        <w:rPr>
          <w:rStyle w:val="11"/>
          <w:rFonts w:hint="eastAsia"/>
          <w:lang w:val="en-US" w:eastAsia="zh-CN"/>
        </w:rPr>
        <w:t xml:space="preserve">      注意事项： </w:t>
      </w:r>
      <w:r>
        <w:rPr>
          <w:rFonts w:hint="eastAsia"/>
          <w:color w:val="E54C5E" w:themeColor="accent6"/>
          <w:lang w:val="en-US" w:eastAsia="zh-CN"/>
          <w14:textFill>
            <w14:solidFill>
              <w14:schemeClr w14:val="accent6"/>
            </w14:solidFill>
          </w14:textFill>
        </w:rPr>
        <w:t>分级授权必须是从上往下设置分级条件规则</w:t>
      </w:r>
      <w:r>
        <w:rPr>
          <w:rStyle w:val="11"/>
          <w:rFonts w:hint="eastAsia"/>
          <w:lang w:val="en-US" w:eastAsia="zh-CN"/>
        </w:rPr>
        <w:t>。</w:t>
      </w:r>
    </w:p>
    <w:p>
      <w:pPr>
        <w:pStyle w:val="5"/>
        <w:numPr>
          <w:ilvl w:val="1"/>
          <w:numId w:val="2"/>
        </w:numPr>
        <w:bidi w:val="0"/>
        <w:outlineLvl w:val="1"/>
        <w:rPr>
          <w:rFonts w:hint="default"/>
          <w:lang w:val="en-US" w:eastAsia="zh-CN"/>
        </w:rPr>
      </w:pPr>
      <w:r>
        <w:rPr>
          <w:rFonts w:hint="eastAsia"/>
          <w:lang w:val="en-US" w:eastAsia="zh-CN"/>
        </w:rPr>
        <w:t>担保预算业务</w:t>
      </w:r>
    </w:p>
    <w:p>
      <w:pPr>
        <w:outlineLvl w:val="2"/>
        <w:rPr>
          <w:rFonts w:hint="eastAsia"/>
          <w:lang w:val="en-US" w:eastAsia="zh-CN"/>
        </w:rPr>
      </w:pPr>
      <w:r>
        <w:rPr>
          <w:rFonts w:hint="eastAsia"/>
          <w:lang w:val="en-US" w:eastAsia="zh-CN"/>
        </w:rPr>
        <w:t>3.2.1 担保预算上报</w:t>
      </w:r>
    </w:p>
    <w:p>
      <w:pPr>
        <w:outlineLvl w:val="2"/>
        <w:rPr>
          <w:rFonts w:hint="eastAsia"/>
          <w:lang w:val="en-US" w:eastAsia="zh-CN"/>
        </w:rPr>
      </w:pPr>
      <w:r>
        <w:rPr>
          <w:rFonts w:hint="eastAsia"/>
          <w:lang w:val="en-US" w:eastAsia="zh-CN"/>
        </w:rPr>
        <w:t>3.2.2 担保预算汇总</w:t>
      </w:r>
    </w:p>
    <w:p>
      <w:pPr>
        <w:outlineLvl w:val="2"/>
        <w:rPr>
          <w:rFonts w:hint="eastAsia"/>
          <w:lang w:val="en-US" w:eastAsia="zh-CN"/>
        </w:rPr>
      </w:pPr>
      <w:r>
        <w:rPr>
          <w:rFonts w:hint="eastAsia"/>
          <w:lang w:val="en-US" w:eastAsia="zh-CN"/>
        </w:rPr>
        <w:t>3.2.3 担保预算下达</w:t>
      </w:r>
    </w:p>
    <w:p>
      <w:pPr>
        <w:outlineLvl w:val="2"/>
        <w:rPr>
          <w:rFonts w:hint="eastAsia"/>
          <w:lang w:val="en-US" w:eastAsia="zh-CN"/>
        </w:rPr>
      </w:pPr>
      <w:r>
        <w:rPr>
          <w:rFonts w:hint="eastAsia"/>
          <w:lang w:val="en-US" w:eastAsia="zh-CN"/>
        </w:rPr>
        <w:t>3.2.4 担保预算调整</w:t>
      </w:r>
    </w:p>
    <w:p>
      <w:pPr>
        <w:outlineLvl w:val="2"/>
        <w:rPr>
          <w:rFonts w:hint="eastAsia"/>
          <w:lang w:val="en-US" w:eastAsia="zh-CN"/>
        </w:rPr>
      </w:pPr>
      <w:r>
        <w:rPr>
          <w:rFonts w:hint="eastAsia"/>
          <w:lang w:val="en-US" w:eastAsia="zh-CN"/>
        </w:rPr>
        <w:t>3.2.5 担保业务审批</w:t>
      </w:r>
    </w:p>
    <w:p>
      <w:pPr>
        <w:outlineLvl w:val="2"/>
        <w:rPr>
          <w:rFonts w:hint="eastAsia"/>
          <w:lang w:val="en-US" w:eastAsia="zh-CN"/>
        </w:rPr>
      </w:pPr>
      <w:r>
        <w:rPr>
          <w:rFonts w:hint="eastAsia"/>
          <w:lang w:val="en-US" w:eastAsia="zh-CN"/>
        </w:rPr>
        <w:t>3.2.6 担保合同登记</w:t>
      </w:r>
    </w:p>
    <w:p>
      <w:pPr>
        <w:outlineLvl w:val="2"/>
        <w:rPr>
          <w:rFonts w:hint="eastAsia"/>
          <w:lang w:val="en-US" w:eastAsia="zh-CN"/>
        </w:rPr>
      </w:pPr>
      <w:r>
        <w:rPr>
          <w:rFonts w:hint="eastAsia"/>
          <w:lang w:val="en-US" w:eastAsia="zh-CN"/>
        </w:rPr>
        <w:t>3.2.7 担保合同占用</w:t>
      </w:r>
    </w:p>
    <w:p>
      <w:pPr>
        <w:outlineLvl w:val="2"/>
        <w:rPr>
          <w:rFonts w:hint="eastAsia"/>
          <w:lang w:val="en-US" w:eastAsia="zh-CN"/>
        </w:rPr>
      </w:pPr>
      <w:r>
        <w:rPr>
          <w:rFonts w:hint="eastAsia"/>
          <w:lang w:val="en-US" w:eastAsia="zh-CN"/>
        </w:rPr>
        <w:t>3.2.8 担保合同释放</w:t>
      </w:r>
    </w:p>
    <w:p>
      <w:pPr>
        <w:rPr>
          <w:rFonts w:hint="default"/>
          <w:lang w:val="en-US" w:eastAsia="zh-CN"/>
        </w:rPr>
      </w:pPr>
      <w:r>
        <w:rPr>
          <w:rStyle w:val="12"/>
          <w:rFonts w:hint="eastAsia"/>
          <w:lang w:val="en-US" w:eastAsia="zh-CN"/>
        </w:rPr>
        <w:t>注意事项</w:t>
      </w:r>
      <w:r>
        <w:rPr>
          <w:rFonts w:hint="eastAsia"/>
          <w:lang w:val="en-US" w:eastAsia="zh-CN"/>
        </w:rPr>
        <w:t>：</w:t>
      </w:r>
      <w:r>
        <w:rPr>
          <w:rFonts w:hint="eastAsia"/>
          <w:color w:val="E54C5E" w:themeColor="accent6"/>
          <w:lang w:val="en-US" w:eastAsia="zh-CN"/>
          <w14:textFill>
            <w14:solidFill>
              <w14:schemeClr w14:val="accent6"/>
            </w14:solidFill>
          </w14:textFill>
        </w:rPr>
        <w:t>担保预算业务需要维护被单担保人和担保人两家企业的企业净资产及负债率信息。担保业务审批时需要管控年度的年度预算下达数据才能做业务审批。</w:t>
      </w:r>
    </w:p>
    <w:p>
      <w:pPr>
        <w:pStyle w:val="5"/>
        <w:numPr>
          <w:ilvl w:val="1"/>
          <w:numId w:val="2"/>
        </w:numPr>
        <w:bidi w:val="0"/>
        <w:outlineLvl w:val="1"/>
        <w:rPr>
          <w:rFonts w:hint="eastAsia"/>
          <w:lang w:val="en-US" w:eastAsia="zh-CN"/>
        </w:rPr>
      </w:pPr>
      <w:r>
        <w:rPr>
          <w:rFonts w:hint="eastAsia"/>
          <w:lang w:val="en-US" w:eastAsia="zh-CN"/>
        </w:rPr>
        <w:t>债务融资业务</w:t>
      </w:r>
    </w:p>
    <w:p>
      <w:pPr>
        <w:outlineLvl w:val="2"/>
        <w:rPr>
          <w:rFonts w:hint="default"/>
          <w:lang w:val="en-US" w:eastAsia="zh-CN"/>
        </w:rPr>
      </w:pPr>
      <w:r>
        <w:rPr>
          <w:rFonts w:hint="eastAsia"/>
          <w:lang w:val="en-US" w:eastAsia="zh-CN"/>
        </w:rPr>
        <w:t>3.3.1 融资管控指标上报</w:t>
      </w:r>
    </w:p>
    <w:p>
      <w:pPr>
        <w:outlineLvl w:val="2"/>
        <w:rPr>
          <w:rFonts w:hint="default"/>
          <w:lang w:val="en-US" w:eastAsia="zh-CN"/>
        </w:rPr>
      </w:pPr>
      <w:r>
        <w:rPr>
          <w:rFonts w:hint="eastAsia"/>
          <w:lang w:val="en-US" w:eastAsia="zh-CN"/>
        </w:rPr>
        <w:t>3.3.2 融资管控指标汇总</w:t>
      </w:r>
    </w:p>
    <w:p>
      <w:pPr>
        <w:outlineLvl w:val="2"/>
        <w:rPr>
          <w:rFonts w:hint="default"/>
          <w:lang w:val="en-US" w:eastAsia="zh-CN"/>
        </w:rPr>
      </w:pPr>
      <w:r>
        <w:rPr>
          <w:rFonts w:hint="eastAsia"/>
          <w:lang w:val="en-US" w:eastAsia="zh-CN"/>
        </w:rPr>
        <w:t>3.3.3 融资管控指标下达</w:t>
      </w:r>
    </w:p>
    <w:p>
      <w:pPr>
        <w:outlineLvl w:val="2"/>
        <w:rPr>
          <w:rFonts w:hint="default"/>
          <w:lang w:val="en-US" w:eastAsia="zh-CN"/>
        </w:rPr>
      </w:pPr>
      <w:r>
        <w:rPr>
          <w:rFonts w:hint="eastAsia"/>
          <w:lang w:val="en-US" w:eastAsia="zh-CN"/>
        </w:rPr>
        <w:t>3.4.4 融资业务审批（内部、外部、其他、债券融资发行审批）</w:t>
      </w:r>
    </w:p>
    <w:p>
      <w:pPr>
        <w:outlineLvl w:val="2"/>
        <w:rPr>
          <w:rFonts w:hint="default"/>
          <w:lang w:val="en-US" w:eastAsia="zh-CN"/>
        </w:rPr>
      </w:pPr>
      <w:r>
        <w:rPr>
          <w:rFonts w:hint="eastAsia"/>
          <w:lang w:val="en-US" w:eastAsia="zh-CN"/>
        </w:rPr>
        <w:t>3.3.5 债务融资业务合同登记（内部、外部、其他）</w:t>
      </w:r>
    </w:p>
    <w:p>
      <w:pPr>
        <w:outlineLvl w:val="2"/>
        <w:rPr>
          <w:rFonts w:hint="default"/>
          <w:lang w:val="en-US" w:eastAsia="zh-CN"/>
        </w:rPr>
      </w:pPr>
      <w:r>
        <w:rPr>
          <w:rFonts w:hint="eastAsia"/>
          <w:lang w:val="en-US" w:eastAsia="zh-CN"/>
        </w:rPr>
        <w:t>3.3.6 提款登记</w:t>
      </w:r>
    </w:p>
    <w:p>
      <w:pPr>
        <w:outlineLvl w:val="2"/>
        <w:rPr>
          <w:rFonts w:hint="default"/>
          <w:lang w:val="en-US" w:eastAsia="zh-CN"/>
        </w:rPr>
      </w:pPr>
      <w:r>
        <w:rPr>
          <w:rFonts w:hint="eastAsia"/>
          <w:lang w:val="en-US" w:eastAsia="zh-CN"/>
        </w:rPr>
        <w:t>3.3.7 债券融资注册登记录入</w:t>
      </w:r>
    </w:p>
    <w:p>
      <w:pPr>
        <w:outlineLvl w:val="2"/>
        <w:rPr>
          <w:rFonts w:hint="eastAsia"/>
          <w:lang w:val="en-US" w:eastAsia="zh-CN"/>
        </w:rPr>
      </w:pPr>
      <w:r>
        <w:rPr>
          <w:rFonts w:hint="eastAsia"/>
          <w:lang w:val="en-US" w:eastAsia="zh-CN"/>
        </w:rPr>
        <w:t>3.3.8 债券融资发行登记</w:t>
      </w:r>
    </w:p>
    <w:p>
      <w:pPr>
        <w:outlineLvl w:val="2"/>
        <w:rPr>
          <w:rFonts w:hint="eastAsia"/>
          <w:lang w:val="en-US" w:eastAsia="zh-CN"/>
        </w:rPr>
      </w:pPr>
      <w:r>
        <w:rPr>
          <w:rFonts w:hint="eastAsia"/>
          <w:lang w:val="en-US" w:eastAsia="zh-CN"/>
        </w:rPr>
        <w:t>3.3.9 赎回/兑付登记</w:t>
      </w:r>
    </w:p>
    <w:p>
      <w:pPr>
        <w:rPr>
          <w:rFonts w:hint="eastAsia"/>
          <w:color w:val="E54C5E" w:themeColor="accent6"/>
          <w:lang w:val="en-US" w:eastAsia="zh-CN"/>
          <w14:textFill>
            <w14:solidFill>
              <w14:schemeClr w14:val="accent6"/>
            </w14:solidFill>
          </w14:textFill>
        </w:rPr>
      </w:pPr>
      <w:r>
        <w:rPr>
          <w:rStyle w:val="12"/>
          <w:rFonts w:hint="eastAsia"/>
          <w:lang w:val="en-US" w:eastAsia="zh-CN"/>
        </w:rPr>
        <w:t>注意事项</w:t>
      </w:r>
      <w:r>
        <w:rPr>
          <w:rFonts w:hint="eastAsia"/>
          <w:lang w:val="en-US" w:eastAsia="zh-CN"/>
        </w:rPr>
        <w:t>：</w:t>
      </w:r>
      <w:r>
        <w:rPr>
          <w:rFonts w:hint="eastAsia"/>
          <w:color w:val="E54C5E" w:themeColor="accent6"/>
          <w:lang w:val="en-US" w:eastAsia="zh-CN"/>
          <w14:textFill>
            <w14:solidFill>
              <w14:schemeClr w14:val="accent6"/>
            </w14:solidFill>
          </w14:textFill>
        </w:rPr>
        <w:t>1.融资业务默认获取的是当前年的管控指标数据，比如2023年做融资债券业务，那么必须有2023年的管控指标。</w:t>
      </w:r>
    </w:p>
    <w:p>
      <w:pPr>
        <w:rPr>
          <w:rFonts w:hint="default"/>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2.需要维护基础数据中的“企业净资产及负债率维护”模块中进行数据的维护。</w:t>
      </w:r>
    </w:p>
    <w:p>
      <w:pPr>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融资业务的顺序：1.融资业务审批，2.融资合同登记，3.融资提款登记，4.融资还本付息。</w:t>
      </w:r>
    </w:p>
    <w:p>
      <w:pPr>
        <w:rPr>
          <w:rFonts w:hint="default"/>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债券业务的顺序：1.债券融资注册登记，2.债券融资发行审批，3.债券发行登记，4.赎回、兑付登记。</w:t>
      </w:r>
    </w:p>
    <w:p>
      <w:pPr>
        <w:rPr>
          <w:rFonts w:hint="eastAsia"/>
          <w:lang w:val="en-US" w:eastAsia="zh-CN"/>
        </w:rPr>
      </w:pPr>
    </w:p>
    <w:p>
      <w:pPr>
        <w:rPr>
          <w:rFonts w:hint="default"/>
          <w:lang w:val="en-US" w:eastAsia="zh-CN"/>
        </w:rPr>
      </w:pPr>
    </w:p>
    <w:p>
      <w:pPr>
        <w:rPr>
          <w:rFonts w:hint="eastAsia"/>
          <w:lang w:val="en-US" w:eastAsia="zh-CN"/>
        </w:rPr>
      </w:pPr>
    </w:p>
    <w:p>
      <w:pPr>
        <w:pStyle w:val="5"/>
        <w:numPr>
          <w:ilvl w:val="1"/>
          <w:numId w:val="2"/>
        </w:numPr>
        <w:bidi w:val="0"/>
        <w:ind w:left="0" w:leftChars="0" w:firstLine="0" w:firstLineChars="0"/>
        <w:outlineLvl w:val="1"/>
        <w:rPr>
          <w:rFonts w:hint="eastAsia"/>
          <w:lang w:val="en-US" w:eastAsia="zh-CN"/>
        </w:rPr>
      </w:pPr>
      <w:r>
        <w:rPr>
          <w:rFonts w:hint="eastAsia"/>
          <w:lang w:val="en-US" w:eastAsia="zh-CN"/>
        </w:rPr>
        <w:t>永续债业务</w:t>
      </w:r>
    </w:p>
    <w:p>
      <w:pPr>
        <w:outlineLvl w:val="2"/>
        <w:rPr>
          <w:rFonts w:hint="default"/>
          <w:lang w:val="en-US" w:eastAsia="zh-CN"/>
        </w:rPr>
      </w:pPr>
      <w:r>
        <w:rPr>
          <w:rFonts w:hint="eastAsia"/>
          <w:lang w:val="en-US" w:eastAsia="zh-CN"/>
        </w:rPr>
        <w:t>3.4.1 永续债计划上报</w:t>
      </w:r>
    </w:p>
    <w:p>
      <w:pPr>
        <w:outlineLvl w:val="2"/>
        <w:rPr>
          <w:rFonts w:hint="default"/>
          <w:lang w:val="en-US" w:eastAsia="zh-CN"/>
        </w:rPr>
      </w:pPr>
      <w:r>
        <w:rPr>
          <w:rFonts w:hint="eastAsia"/>
          <w:lang w:val="en-US" w:eastAsia="zh-CN"/>
        </w:rPr>
        <w:t>3.3.2 永续债计划汇总</w:t>
      </w:r>
    </w:p>
    <w:p>
      <w:pPr>
        <w:outlineLvl w:val="2"/>
        <w:rPr>
          <w:rFonts w:hint="eastAsia"/>
          <w:lang w:val="en-US" w:eastAsia="zh-CN"/>
        </w:rPr>
      </w:pPr>
      <w:r>
        <w:rPr>
          <w:rFonts w:hint="eastAsia"/>
          <w:lang w:val="en-US" w:eastAsia="zh-CN"/>
        </w:rPr>
        <w:t>3.4.3 永续债计划下达</w:t>
      </w:r>
    </w:p>
    <w:p>
      <w:pPr>
        <w:rPr>
          <w:rFonts w:hint="default"/>
          <w:lang w:val="en-US" w:eastAsia="zh-CN"/>
        </w:rPr>
      </w:pPr>
      <w:r>
        <w:rPr>
          <w:rStyle w:val="12"/>
          <w:rFonts w:hint="eastAsia"/>
          <w:lang w:val="en-US" w:eastAsia="zh-CN"/>
        </w:rPr>
        <w:t>注意事项</w:t>
      </w:r>
      <w:r>
        <w:rPr>
          <w:rFonts w:hint="eastAsia"/>
          <w:lang w:val="en-US" w:eastAsia="zh-CN"/>
        </w:rPr>
        <w:t>：</w:t>
      </w:r>
      <w:r>
        <w:rPr>
          <w:rFonts w:hint="eastAsia"/>
          <w:color w:val="C00000"/>
          <w:lang w:val="en-US" w:eastAsia="zh-CN"/>
        </w:rPr>
        <w:t>永续债业务是在债券业务中</w:t>
      </w:r>
      <w:r>
        <w:rPr>
          <w:rFonts w:hint="default"/>
          <w:color w:val="C00000"/>
          <w:lang w:val="en-US" w:eastAsia="zh-CN"/>
        </w:rPr>
        <w:t>”</w:t>
      </w:r>
      <w:r>
        <w:rPr>
          <w:rFonts w:hint="eastAsia"/>
          <w:color w:val="C00000"/>
          <w:lang w:val="en-US" w:eastAsia="zh-CN"/>
        </w:rPr>
        <w:t>是否永续债</w:t>
      </w:r>
      <w:r>
        <w:rPr>
          <w:rFonts w:hint="default"/>
          <w:color w:val="C00000"/>
          <w:lang w:val="en-US" w:eastAsia="zh-CN"/>
        </w:rPr>
        <w:t>”</w:t>
      </w:r>
      <w:r>
        <w:rPr>
          <w:rFonts w:hint="eastAsia"/>
          <w:color w:val="C00000"/>
          <w:lang w:val="en-US" w:eastAsia="zh-CN"/>
        </w:rPr>
        <w:t>选择是的时候会用到</w:t>
      </w:r>
      <w:r>
        <w:rPr>
          <w:rFonts w:hint="eastAsia"/>
          <w:lang w:val="en-US" w:eastAsia="zh-CN"/>
        </w:rPr>
        <w:t>。</w:t>
      </w:r>
    </w:p>
    <w:p>
      <w:pPr>
        <w:rPr>
          <w:rFonts w:hint="eastAsia"/>
          <w:lang w:val="en-US" w:eastAsia="zh-CN"/>
        </w:rPr>
      </w:pPr>
    </w:p>
    <w:p>
      <w:pPr>
        <w:pStyle w:val="5"/>
        <w:numPr>
          <w:ilvl w:val="1"/>
          <w:numId w:val="2"/>
        </w:numPr>
        <w:bidi w:val="0"/>
        <w:outlineLvl w:val="1"/>
        <w:rPr>
          <w:rFonts w:hint="default"/>
          <w:lang w:val="en-US" w:eastAsia="zh-CN"/>
        </w:rPr>
      </w:pPr>
      <w:r>
        <w:rPr>
          <w:rFonts w:hint="eastAsia"/>
          <w:lang w:val="en-US" w:eastAsia="zh-CN"/>
        </w:rPr>
        <w:t>借款业务</w:t>
      </w:r>
    </w:p>
    <w:p>
      <w:pPr>
        <w:outlineLvl w:val="2"/>
        <w:rPr>
          <w:rFonts w:hint="default"/>
          <w:lang w:val="en-US" w:eastAsia="zh-CN"/>
        </w:rPr>
      </w:pPr>
      <w:r>
        <w:rPr>
          <w:rFonts w:hint="eastAsia"/>
          <w:lang w:val="en-US" w:eastAsia="zh-CN"/>
        </w:rPr>
        <w:t>3.5.1 借款业务审批</w:t>
      </w:r>
    </w:p>
    <w:p>
      <w:pPr>
        <w:outlineLvl w:val="2"/>
        <w:rPr>
          <w:rFonts w:hint="default"/>
          <w:lang w:val="en-US" w:eastAsia="zh-CN"/>
        </w:rPr>
      </w:pPr>
      <w:r>
        <w:rPr>
          <w:rFonts w:hint="eastAsia"/>
          <w:lang w:val="en-US" w:eastAsia="zh-CN"/>
        </w:rPr>
        <w:t>3.5.2 借款业务合同登记</w:t>
      </w:r>
    </w:p>
    <w:p>
      <w:pPr>
        <w:outlineLvl w:val="2"/>
        <w:rPr>
          <w:rFonts w:hint="eastAsia"/>
          <w:lang w:val="en-US" w:eastAsia="zh-CN"/>
        </w:rPr>
      </w:pPr>
      <w:r>
        <w:rPr>
          <w:rFonts w:hint="eastAsia"/>
          <w:lang w:val="en-US" w:eastAsia="zh-CN"/>
        </w:rPr>
        <w:t>3.5.3 放款登记</w:t>
      </w:r>
    </w:p>
    <w:p>
      <w:pPr>
        <w:outlineLvl w:val="2"/>
        <w:rPr>
          <w:rFonts w:hint="eastAsia"/>
          <w:lang w:val="en-US" w:eastAsia="zh-CN"/>
        </w:rPr>
      </w:pPr>
      <w:r>
        <w:rPr>
          <w:rFonts w:hint="eastAsia"/>
          <w:lang w:val="en-US" w:eastAsia="zh-CN"/>
        </w:rPr>
        <w:t>3.5.4 收款收息</w:t>
      </w:r>
    </w:p>
    <w:p>
      <w:pPr>
        <w:rPr>
          <w:rFonts w:hint="eastAsia"/>
          <w:lang w:val="en-US" w:eastAsia="zh-CN"/>
        </w:rPr>
      </w:pPr>
      <w:r>
        <w:rPr>
          <w:rStyle w:val="12"/>
          <w:rFonts w:hint="eastAsia"/>
          <w:lang w:val="en-US" w:eastAsia="zh-CN"/>
        </w:rPr>
        <w:t>注意事项</w:t>
      </w:r>
      <w:r>
        <w:rPr>
          <w:rFonts w:hint="eastAsia"/>
          <w:lang w:val="en-US" w:eastAsia="zh-CN"/>
        </w:rPr>
        <w:t>：</w:t>
      </w:r>
      <w:r>
        <w:rPr>
          <w:rFonts w:hint="eastAsia"/>
          <w:lang w:val="en-US" w:eastAsia="zh-CN"/>
          <w14:textFill>
            <w14:gradFill>
              <w14:gsLst>
                <w14:gs w14:pos="0">
                  <w14:srgbClr w14:val="E30000"/>
                </w14:gs>
                <w14:gs w14:pos="100000">
                  <w14:srgbClr w14:val="760303"/>
                </w14:gs>
              </w14:gsLst>
              <w14:lin w14:scaled="0"/>
            </w14:gradFill>
          </w14:textFill>
        </w:rPr>
        <w:t>借款业务和融资的内部业务会相互生成对方的数据，比如205机构的债务人是101机构，那么101机构会生成一条内部业务的暂存数据</w:t>
      </w:r>
      <w:r>
        <w:rPr>
          <w:rFonts w:hint="eastAsia"/>
          <w:lang w:val="en-US" w:eastAsia="zh-CN"/>
        </w:rPr>
        <w:t>。</w:t>
      </w:r>
    </w:p>
    <w:p>
      <w:pPr>
        <w:rPr>
          <w:rFonts w:hint="eastAsia"/>
          <w:lang w:val="en-US" w:eastAsia="zh-CN"/>
        </w:rPr>
      </w:pPr>
    </w:p>
    <w:p>
      <w:pPr>
        <w:pStyle w:val="5"/>
        <w:numPr>
          <w:ilvl w:val="1"/>
          <w:numId w:val="2"/>
        </w:numPr>
        <w:bidi w:val="0"/>
        <w:ind w:left="0" w:leftChars="0" w:firstLine="0" w:firstLineChars="0"/>
        <w:outlineLvl w:val="1"/>
        <w:rPr>
          <w:rFonts w:hint="default"/>
          <w:lang w:val="en-US" w:eastAsia="zh-CN"/>
        </w:rPr>
      </w:pPr>
      <w:r>
        <w:rPr>
          <w:rFonts w:hint="eastAsia"/>
          <w:lang w:val="en-US" w:eastAsia="zh-CN"/>
        </w:rPr>
        <w:t>授信业务</w:t>
      </w:r>
    </w:p>
    <w:p>
      <w:pPr>
        <w:ind w:firstLine="630" w:firstLineChars="300"/>
        <w:rPr>
          <w:rFonts w:hint="eastAsia" w:ascii="宋体" w:hAnsi="宋体" w:cs="宋体"/>
        </w:rPr>
      </w:pPr>
      <w:r>
        <w:rPr>
          <w:rFonts w:hint="eastAsia" w:ascii="宋体" w:hAnsi="宋体" w:cs="宋体"/>
        </w:rPr>
        <w:t>授信信息用于维护金融机构授信协议信息，包含金融机构、授信类型、授信金额等。</w:t>
      </w:r>
    </w:p>
    <w:p>
      <w:pPr>
        <w:rPr>
          <w:rFonts w:hint="default" w:ascii="宋体" w:hAnsi="宋体" w:cs="宋体" w:eastAsiaTheme="minorEastAsia"/>
          <w:lang w:val="en-US" w:eastAsia="zh-CN"/>
        </w:rPr>
      </w:pPr>
      <w:r>
        <w:rPr>
          <w:rStyle w:val="12"/>
          <w:rFonts w:hint="eastAsia"/>
          <w:lang w:val="en-US" w:eastAsia="zh-CN"/>
        </w:rPr>
        <w:t>注意事项</w:t>
      </w:r>
      <w:r>
        <w:rPr>
          <w:rFonts w:hint="eastAsia" w:ascii="宋体" w:hAnsi="宋体" w:cs="宋体"/>
          <w:lang w:val="en-US" w:eastAsia="zh-CN"/>
        </w:rPr>
        <w:t>：</w:t>
      </w:r>
      <w:r>
        <w:rPr>
          <w:rFonts w:hint="eastAsia" w:ascii="宋体" w:hAnsi="宋体" w:cs="宋体"/>
          <w:color w:val="FF0000"/>
          <w:lang w:val="en-US" w:eastAsia="zh-CN"/>
        </w:rPr>
        <w:t>融资合同登记业务中“是否占用授信”选择是的时候，授信的业务是必须做的。</w:t>
      </w:r>
    </w:p>
    <w:p>
      <w:pPr>
        <w:pStyle w:val="5"/>
        <w:numPr>
          <w:ilvl w:val="1"/>
          <w:numId w:val="2"/>
        </w:numPr>
        <w:bidi w:val="0"/>
        <w:outlineLvl w:val="1"/>
        <w:rPr>
          <w:rFonts w:hint="default"/>
          <w:lang w:val="en-US" w:eastAsia="zh-CN"/>
        </w:rPr>
      </w:pPr>
      <w:r>
        <w:rPr>
          <w:rFonts w:hint="eastAsia"/>
          <w:lang w:val="en-US" w:eastAsia="zh-CN"/>
        </w:rPr>
        <w:t>债担数据概览</w:t>
      </w:r>
    </w:p>
    <w:p>
      <w:pPr>
        <w:pStyle w:val="5"/>
        <w:numPr>
          <w:ilvl w:val="1"/>
          <w:numId w:val="2"/>
        </w:numPr>
        <w:bidi w:val="0"/>
        <w:outlineLvl w:val="1"/>
        <w:rPr>
          <w:rFonts w:hint="default"/>
          <w:lang w:val="en-US" w:eastAsia="zh-CN"/>
        </w:rPr>
      </w:pPr>
      <w:r>
        <w:rPr>
          <w:rFonts w:hint="eastAsia"/>
          <w:lang w:val="en-US" w:eastAsia="zh-CN"/>
        </w:rPr>
        <w:t>债务融资台账</w:t>
      </w:r>
      <w:bookmarkStart w:id="0" w:name="_GoBack"/>
      <w:bookmarkEnd w:id="0"/>
    </w:p>
    <w:p>
      <w:pPr>
        <w:numPr>
          <w:ilvl w:val="2"/>
          <w:numId w:val="2"/>
        </w:numPr>
        <w:ind w:left="0" w:leftChars="0" w:firstLine="0" w:firstLineChars="0"/>
        <w:outlineLvl w:val="2"/>
        <w:rPr>
          <w:rFonts w:hint="default"/>
          <w:lang w:val="en-US" w:eastAsia="zh-CN"/>
        </w:rPr>
      </w:pPr>
      <w:r>
        <w:rPr>
          <w:rFonts w:hint="eastAsia"/>
          <w:lang w:val="en-US" w:eastAsia="zh-CN"/>
        </w:rPr>
        <w:t>合同业务的新增、到期、历史台账查询。</w:t>
      </w:r>
    </w:p>
    <w:p>
      <w:pPr>
        <w:numPr>
          <w:ilvl w:val="2"/>
          <w:numId w:val="2"/>
        </w:numPr>
        <w:ind w:left="0" w:leftChars="0" w:firstLine="0" w:firstLineChars="0"/>
        <w:outlineLvl w:val="2"/>
        <w:rPr>
          <w:rFonts w:hint="default"/>
          <w:lang w:val="en-US" w:eastAsia="zh-CN"/>
        </w:rPr>
      </w:pPr>
      <w:r>
        <w:rPr>
          <w:rFonts w:hint="eastAsia"/>
          <w:lang w:val="en-US" w:eastAsia="zh-CN"/>
        </w:rPr>
        <w:t>融资贷款业务的新增、还本付息、历史余额台账查询。</w:t>
      </w:r>
    </w:p>
    <w:p>
      <w:pPr>
        <w:numPr>
          <w:ilvl w:val="2"/>
          <w:numId w:val="2"/>
        </w:numPr>
        <w:ind w:left="0" w:leftChars="0" w:firstLine="0" w:firstLineChars="0"/>
        <w:outlineLvl w:val="2"/>
        <w:rPr>
          <w:rFonts w:hint="default"/>
          <w:lang w:val="en-US" w:eastAsia="zh-CN"/>
        </w:rPr>
      </w:pPr>
      <w:r>
        <w:rPr>
          <w:rFonts w:hint="eastAsia"/>
          <w:lang w:val="en-US" w:eastAsia="zh-CN"/>
        </w:rPr>
        <w:t>担保业务的新增、释放、历史余额台账查询。</w:t>
      </w:r>
    </w:p>
    <w:p>
      <w:pPr>
        <w:numPr>
          <w:ilvl w:val="2"/>
          <w:numId w:val="2"/>
        </w:numPr>
        <w:ind w:left="0" w:leftChars="0" w:firstLine="0" w:firstLineChars="0"/>
        <w:outlineLvl w:val="2"/>
        <w:rPr>
          <w:rFonts w:hint="default"/>
          <w:lang w:val="en-US" w:eastAsia="zh-CN"/>
        </w:rPr>
      </w:pPr>
      <w:r>
        <w:rPr>
          <w:rFonts w:hint="eastAsia"/>
          <w:lang w:val="en-US" w:eastAsia="zh-CN"/>
        </w:rPr>
        <w:t>融资业务、担保预算业务、永续债业务的上报下达明细台账查询。</w:t>
      </w:r>
    </w:p>
    <w:p>
      <w:pPr>
        <w:numPr>
          <w:ilvl w:val="2"/>
          <w:numId w:val="2"/>
        </w:numPr>
        <w:ind w:left="0" w:leftChars="0" w:firstLine="0" w:firstLineChars="0"/>
        <w:outlineLvl w:val="2"/>
        <w:rPr>
          <w:rFonts w:hint="default"/>
          <w:lang w:val="en-US" w:eastAsia="zh-CN"/>
        </w:rPr>
      </w:pPr>
      <w:r>
        <w:rPr>
          <w:rFonts w:hint="eastAsia"/>
          <w:lang w:val="en-US" w:eastAsia="zh-CN"/>
        </w:rPr>
        <w:t>借款业务新增、终止、历史余额台账查询。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D0FFA6"/>
    <w:multiLevelType w:val="singleLevel"/>
    <w:tmpl w:val="8BD0FFA6"/>
    <w:lvl w:ilvl="0" w:tentative="0">
      <w:start w:val="0"/>
      <w:numFmt w:val="decimal"/>
      <w:suff w:val="space"/>
      <w:lvlText w:val="%1."/>
      <w:lvlJc w:val="left"/>
    </w:lvl>
  </w:abstractNum>
  <w:abstractNum w:abstractNumId="1">
    <w:nsid w:val="F476C593"/>
    <w:multiLevelType w:val="multilevel"/>
    <w:tmpl w:val="F476C593"/>
    <w:lvl w:ilvl="0" w:tentative="0">
      <w:start w:val="1"/>
      <w:numFmt w:val="decimal"/>
      <w:lvlText w:val="%1."/>
      <w:lvlJc w:val="left"/>
      <w:pPr>
        <w:ind w:left="425" w:hanging="425"/>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JkMWRiZTViYjEyZTYyYjQ2MzQ1ZWVhOGJmZWZiODcifQ=="/>
  </w:docVars>
  <w:rsids>
    <w:rsidRoot w:val="00000000"/>
    <w:rsid w:val="00BE32F3"/>
    <w:rsid w:val="064222D0"/>
    <w:rsid w:val="096B5FE2"/>
    <w:rsid w:val="0AD41965"/>
    <w:rsid w:val="0BF16C73"/>
    <w:rsid w:val="0DEE0F90"/>
    <w:rsid w:val="0E042561"/>
    <w:rsid w:val="0F424D71"/>
    <w:rsid w:val="135B2C24"/>
    <w:rsid w:val="14ED32FE"/>
    <w:rsid w:val="15FA6724"/>
    <w:rsid w:val="169C3C7F"/>
    <w:rsid w:val="1A030B87"/>
    <w:rsid w:val="1BDE2644"/>
    <w:rsid w:val="21004E0A"/>
    <w:rsid w:val="227F49B8"/>
    <w:rsid w:val="2AE13EFE"/>
    <w:rsid w:val="2E2959A0"/>
    <w:rsid w:val="30F54260"/>
    <w:rsid w:val="32F522F5"/>
    <w:rsid w:val="36F92D7F"/>
    <w:rsid w:val="37DE5A4E"/>
    <w:rsid w:val="3A0B244B"/>
    <w:rsid w:val="3BC5604C"/>
    <w:rsid w:val="4502139D"/>
    <w:rsid w:val="485B09F4"/>
    <w:rsid w:val="492359B6"/>
    <w:rsid w:val="4E5B7525"/>
    <w:rsid w:val="50AF7B2F"/>
    <w:rsid w:val="5472334E"/>
    <w:rsid w:val="5583158B"/>
    <w:rsid w:val="591A3FB4"/>
    <w:rsid w:val="5A7B6CD4"/>
    <w:rsid w:val="60DB04CD"/>
    <w:rsid w:val="62AD036C"/>
    <w:rsid w:val="6390559E"/>
    <w:rsid w:val="646709F5"/>
    <w:rsid w:val="657F58CB"/>
    <w:rsid w:val="66615630"/>
    <w:rsid w:val="681A5D7E"/>
    <w:rsid w:val="696C085C"/>
    <w:rsid w:val="69A43B52"/>
    <w:rsid w:val="6D3E250F"/>
    <w:rsid w:val="71DE1BCB"/>
    <w:rsid w:val="7419513C"/>
    <w:rsid w:val="748A7DE8"/>
    <w:rsid w:val="75241FEA"/>
    <w:rsid w:val="76790114"/>
    <w:rsid w:val="7860158C"/>
    <w:rsid w:val="7A036672"/>
    <w:rsid w:val="7A680BCB"/>
    <w:rsid w:val="7A7D0B8D"/>
    <w:rsid w:val="7AD82A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5">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6">
    <w:name w:val="heading 6"/>
    <w:basedOn w:val="1"/>
    <w:next w:val="1"/>
    <w:link w:val="1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7">
    <w:name w:val="heading 7"/>
    <w:basedOn w:val="1"/>
    <w:next w:val="1"/>
    <w:link w:val="12"/>
    <w:semiHidden/>
    <w:unhideWhenUsed/>
    <w:qFormat/>
    <w:uiPriority w:val="0"/>
    <w:pPr>
      <w:keepNext/>
      <w:keepLines/>
      <w:spacing w:before="240" w:beforeLines="0" w:beforeAutospacing="0" w:after="64" w:afterLines="0" w:afterAutospacing="0" w:line="317" w:lineRule="auto"/>
      <w:outlineLvl w:val="6"/>
    </w:pPr>
    <w:rPr>
      <w:b/>
      <w:sz w:val="24"/>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character" w:styleId="10">
    <w:name w:val="Hyperlink"/>
    <w:basedOn w:val="9"/>
    <w:uiPriority w:val="0"/>
    <w:rPr>
      <w:color w:val="0000FF"/>
      <w:u w:val="single"/>
    </w:rPr>
  </w:style>
  <w:style w:type="character" w:customStyle="1" w:styleId="11">
    <w:name w:val="标题 6 Char"/>
    <w:link w:val="6"/>
    <w:qFormat/>
    <w:uiPriority w:val="0"/>
    <w:rPr>
      <w:rFonts w:ascii="Arial" w:hAnsi="Arial" w:eastAsia="黑体"/>
      <w:b/>
      <w:sz w:val="24"/>
    </w:rPr>
  </w:style>
  <w:style w:type="character" w:customStyle="1" w:styleId="12">
    <w:name w:val="标题 7 Char"/>
    <w:link w:val="7"/>
    <w:uiPriority w:val="0"/>
    <w:rPr>
      <w:b/>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2023-10-07T05:43:00Z</dcterms:created>
  <dc:creator>wt</dc:creator>
  <cp:lastModifiedBy>WPS_1647017683</cp:lastModifiedBy>
  <dcterms:modified xsi:type="dcterms:W3CDTF">2023-10-15T15:46:51Z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46B5350895C746ECB1F758B35DEE32C1_12</vt:lpwstr>
  </property>
</Properties>
</file>