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158EA">
      <w:pPr>
        <w:numPr>
          <w:ilvl w:val="0"/>
          <w:numId w:val="1"/>
        </w:numPr>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用户问题</w:t>
      </w:r>
    </w:p>
    <w:p w14:paraId="74532806">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问题1：新用户如何设置。</w:t>
      </w:r>
    </w:p>
    <w:p w14:paraId="331268A5">
      <w:pPr>
        <w:snapToGrid/>
        <w:spacing w:line="240" w:lineRule="auto"/>
        <w:rPr>
          <w:color w:val="FF0000"/>
        </w:rPr>
      </w:pPr>
      <w:r>
        <w:rPr>
          <w:rFonts w:hint="eastAsia" w:ascii="宋体" w:hAnsi="宋体" w:eastAsia="宋体" w:cs="宋体"/>
          <w:b/>
          <w:bCs/>
          <w:sz w:val="24"/>
          <w:szCs w:val="24"/>
          <w:lang w:val="en-US" w:eastAsia="zh-CN"/>
        </w:rPr>
        <w:t>解决方式：</w:t>
      </w:r>
      <w:r>
        <w:rPr>
          <w:rFonts w:hint="eastAsia" w:ascii="宋体" w:hAnsi="宋体" w:eastAsia="宋体" w:cs="宋体"/>
          <w:b w:val="0"/>
          <w:bCs w:val="0"/>
          <w:sz w:val="24"/>
          <w:szCs w:val="24"/>
          <w:lang w:val="en-US" w:eastAsia="zh-CN"/>
        </w:rPr>
        <w:t>1、</w:t>
      </w:r>
      <w:r>
        <w:rPr>
          <w:rFonts w:hint="eastAsia" w:ascii="宋体" w:hAnsi="宋体" w:eastAsia="宋体" w:cs="宋体"/>
          <w:b w:val="0"/>
          <w:bCs w:val="0"/>
          <w:color w:val="FF0000"/>
          <w:sz w:val="24"/>
          <w:szCs w:val="24"/>
          <w:lang w:val="en-US" w:eastAsia="zh-CN"/>
        </w:rPr>
        <w:t>在司库门户中新增用户</w:t>
      </w:r>
      <w:r>
        <w:rPr>
          <w:rFonts w:hint="eastAsia" w:ascii="宋体" w:hAnsi="宋体" w:eastAsia="宋体" w:cs="宋体"/>
          <w:b w:val="0"/>
          <w:bCs w:val="0"/>
          <w:sz w:val="24"/>
          <w:szCs w:val="24"/>
          <w:lang w:val="en-US" w:eastAsia="zh-CN"/>
        </w:rPr>
        <w:t>，并</w:t>
      </w:r>
      <w:r>
        <w:rPr>
          <w:rFonts w:hint="eastAsia" w:ascii="宋体" w:hAnsi="宋体" w:eastAsia="宋体" w:cs="宋体"/>
          <w:b w:val="0"/>
          <w:bCs w:val="0"/>
          <w:color w:val="0000FF"/>
          <w:sz w:val="24"/>
          <w:szCs w:val="24"/>
          <w:lang w:val="en-US" w:eastAsia="zh-CN"/>
        </w:rPr>
        <w:t>分配债务融资与担保系统准入权限</w:t>
      </w:r>
      <w:r>
        <w:rPr>
          <w:rFonts w:hint="eastAsia" w:ascii="宋体" w:hAnsi="宋体" w:eastAsia="宋体" w:cs="宋体"/>
          <w:b w:val="0"/>
          <w:bCs w:val="0"/>
          <w:sz w:val="24"/>
          <w:szCs w:val="24"/>
          <w:lang w:val="en-US" w:eastAsia="zh-CN"/>
        </w:rPr>
        <w:t>。</w:t>
      </w:r>
      <w:r>
        <w:rPr>
          <w:rFonts w:hint="eastAsia" w:ascii="宋体" w:hAnsi="宋体" w:eastAsia="宋体" w:cs="宋体"/>
          <w:b w:val="0"/>
          <w:bCs w:val="0"/>
          <w:color w:val="FF0000"/>
          <w:sz w:val="24"/>
          <w:szCs w:val="24"/>
          <w:lang w:val="en-US" w:eastAsia="zh-CN"/>
        </w:rPr>
        <w:t>（如果不会从门户系统操作，请联系</w:t>
      </w:r>
      <w:r>
        <w:rPr>
          <w:rFonts w:ascii="宋体" w:hAnsi="宋体" w:eastAsia="宋体" w:cs="宋体"/>
          <w:i w:val="0"/>
          <w:strike w:val="0"/>
          <w:color w:val="FF0000"/>
          <w:spacing w:val="0"/>
          <w:sz w:val="24"/>
          <w:u w:val="none"/>
        </w:rPr>
        <w:t xml:space="preserve">司库门户系统建设项目组，联系人信息如下：  </w:t>
      </w:r>
    </w:p>
    <w:p w14:paraId="6EF9FF57">
      <w:pPr>
        <w:snapToGrid/>
        <w:spacing w:line="240" w:lineRule="auto"/>
        <w:rPr>
          <w:rFonts w:hint="eastAsia" w:ascii="宋体" w:hAnsi="宋体" w:eastAsia="宋体" w:cs="宋体"/>
          <w:b w:val="0"/>
          <w:bCs w:val="0"/>
          <w:color w:val="FF0000"/>
          <w:sz w:val="24"/>
          <w:szCs w:val="24"/>
          <w:lang w:val="en-US" w:eastAsia="zh-CN"/>
        </w:rPr>
      </w:pPr>
      <w:r>
        <w:rPr>
          <w:rFonts w:ascii="宋体" w:hAnsi="宋体" w:eastAsia="宋体" w:cs="宋体"/>
          <w:i w:val="0"/>
          <w:strike w:val="0"/>
          <w:color w:val="FF0000"/>
          <w:spacing w:val="0"/>
          <w:sz w:val="24"/>
          <w:u w:val="none"/>
        </w:rPr>
        <w:t>邓朋超：13911248363</w:t>
      </w:r>
      <w:r>
        <w:rPr>
          <w:rFonts w:hint="eastAsia" w:ascii="宋体" w:hAnsi="宋体" w:eastAsia="宋体" w:cs="宋体"/>
          <w:i w:val="0"/>
          <w:strike w:val="0"/>
          <w:color w:val="FF0000"/>
          <w:spacing w:val="0"/>
          <w:sz w:val="24"/>
          <w:u w:val="none"/>
        </w:rPr>
        <w:t>）</w:t>
      </w:r>
    </w:p>
    <w:p w14:paraId="214A2CBD">
      <w:pPr>
        <w:pBdr>
          <w:bottom w:val="none" w:color="auto" w:sz="0" w:space="0"/>
        </w:pBdr>
        <w:snapToGrid/>
        <w:spacing w:line="24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color w:val="0000FF"/>
          <w:sz w:val="24"/>
          <w:szCs w:val="24"/>
          <w:lang w:val="en-US" w:eastAsia="zh-CN"/>
        </w:rPr>
        <w:t>一个小时后会自动同步到预算系统</w:t>
      </w:r>
      <w:r>
        <w:rPr>
          <w:rFonts w:hint="eastAsia" w:ascii="宋体" w:hAnsi="宋体" w:eastAsia="宋体" w:cs="宋体"/>
          <w:b w:val="0"/>
          <w:bCs w:val="0"/>
          <w:sz w:val="24"/>
          <w:szCs w:val="24"/>
          <w:lang w:val="en-US" w:eastAsia="zh-CN"/>
        </w:rPr>
        <w:t>。3、在预算系统的【系统管理】-【权限管理】-【用户调整】中，按照姓名或者员工编号查询后【</w:t>
      </w:r>
      <w:r>
        <w:rPr>
          <w:rFonts w:hint="eastAsia" w:ascii="宋体" w:hAnsi="宋体" w:eastAsia="宋体" w:cs="宋体"/>
          <w:b w:val="0"/>
          <w:bCs w:val="0"/>
          <w:color w:val="0000FF"/>
          <w:sz w:val="24"/>
          <w:szCs w:val="24"/>
          <w:lang w:val="en-US" w:eastAsia="zh-CN"/>
        </w:rPr>
        <w:t>调整部门</w:t>
      </w:r>
      <w:r>
        <w:rPr>
          <w:rFonts w:hint="eastAsia" w:ascii="宋体" w:hAnsi="宋体" w:eastAsia="宋体" w:cs="宋体"/>
          <w:b w:val="0"/>
          <w:bCs w:val="0"/>
          <w:sz w:val="24"/>
          <w:szCs w:val="24"/>
          <w:lang w:val="en-US" w:eastAsia="zh-CN"/>
        </w:rPr>
        <w:t>】到对应的单位和部门，</w:t>
      </w:r>
      <w:r>
        <w:rPr>
          <w:rFonts w:hint="eastAsia" w:ascii="宋体" w:hAnsi="宋体" w:eastAsia="宋体" w:cs="宋体"/>
          <w:b/>
          <w:bCs w:val="0"/>
          <w:color w:val="FF0000"/>
          <w:sz w:val="24"/>
          <w:szCs w:val="24"/>
          <w:lang w:val="en-US" w:eastAsia="zh-CN"/>
        </w:rPr>
        <w:t>注意：查询条件，用户名、员工编号：输入商网8位编码；姓名：输入中文名字</w:t>
      </w:r>
      <w:r>
        <w:rPr>
          <w:rFonts w:hint="eastAsia" w:ascii="宋体" w:hAnsi="宋体" w:eastAsia="宋体" w:cs="宋体"/>
          <w:b w:val="0"/>
          <w:bCs w:val="0"/>
          <w:sz w:val="24"/>
          <w:szCs w:val="24"/>
          <w:lang w:val="en-US" w:eastAsia="zh-CN"/>
        </w:rPr>
        <w:t>。4、在【系统管理】-【权限管理】-【用户管理】，选中该用户【修改】，</w:t>
      </w:r>
      <w:r>
        <w:rPr>
          <w:rFonts w:hint="eastAsia" w:ascii="宋体" w:hAnsi="宋体" w:eastAsia="宋体" w:cs="宋体"/>
          <w:b w:val="0"/>
          <w:bCs w:val="0"/>
          <w:color w:val="0000FF"/>
          <w:sz w:val="24"/>
          <w:szCs w:val="24"/>
          <w:lang w:val="en-US" w:eastAsia="zh-CN"/>
        </w:rPr>
        <w:t>分配管辖部门、角色设置、岗位设置。</w:t>
      </w:r>
    </w:p>
    <w:p w14:paraId="1F9A2C9A">
      <w:pPr>
        <w:numPr>
          <w:ilvl w:val="0"/>
          <w:numId w:val="0"/>
        </w:numPr>
      </w:pPr>
      <w:r>
        <w:drawing>
          <wp:inline distT="0" distB="0" distL="114300" distR="114300">
            <wp:extent cx="5268595" cy="2568575"/>
            <wp:effectExtent l="0" t="0" r="825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8595" cy="2568575"/>
                    </a:xfrm>
                    <a:prstGeom prst="rect">
                      <a:avLst/>
                    </a:prstGeom>
                    <a:noFill/>
                    <a:ln>
                      <a:noFill/>
                    </a:ln>
                  </pic:spPr>
                </pic:pic>
              </a:graphicData>
            </a:graphic>
          </wp:inline>
        </w:drawing>
      </w:r>
    </w:p>
    <w:p w14:paraId="19067E37">
      <w:pPr>
        <w:numPr>
          <w:ilvl w:val="0"/>
          <w:numId w:val="0"/>
        </w:numPr>
        <w:rPr>
          <w:rFonts w:hint="eastAsia"/>
          <w:lang w:val="en-US" w:eastAsia="zh-CN"/>
        </w:rPr>
      </w:pPr>
      <w:r>
        <w:rPr>
          <w:rFonts w:hint="eastAsia"/>
          <w:lang w:val="en-US" w:eastAsia="zh-CN"/>
        </w:rPr>
        <w:drawing>
          <wp:inline distT="0" distB="0" distL="114300" distR="114300">
            <wp:extent cx="5270500" cy="2350770"/>
            <wp:effectExtent l="0" t="0" r="635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270500" cy="2350770"/>
                    </a:xfrm>
                    <a:prstGeom prst="rect">
                      <a:avLst/>
                    </a:prstGeom>
                    <a:noFill/>
                    <a:ln>
                      <a:noFill/>
                    </a:ln>
                  </pic:spPr>
                </pic:pic>
              </a:graphicData>
            </a:graphic>
          </wp:inline>
        </w:drawing>
      </w:r>
    </w:p>
    <w:p w14:paraId="18BE9712">
      <w:pPr>
        <w:numPr>
          <w:ilvl w:val="0"/>
          <w:numId w:val="0"/>
        </w:numPr>
        <w:rPr>
          <w:rFonts w:hint="eastAsia" w:ascii="宋体" w:hAnsi="宋体" w:eastAsia="宋体" w:cs="宋体"/>
          <w:b/>
          <w:bCs/>
          <w:sz w:val="24"/>
          <w:szCs w:val="24"/>
          <w:lang w:val="en-US" w:eastAsia="zh-CN"/>
        </w:rPr>
      </w:pPr>
    </w:p>
    <w:p w14:paraId="394A8EE5">
      <w:pPr>
        <w:numPr>
          <w:ilvl w:val="0"/>
          <w:numId w:val="1"/>
        </w:numPr>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债务融资与担保流程配置</w:t>
      </w:r>
    </w:p>
    <w:p w14:paraId="4C0A94A6">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1.第一步：用户配置（从商网同步过来，自己无法增加删减 </w:t>
      </w:r>
    </w:p>
    <w:p w14:paraId="5676FFC0">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用户） </w:t>
      </w:r>
    </w:p>
    <w:p w14:paraId="2B0E4895">
      <w:pPr>
        <w:numPr>
          <w:ilvl w:val="0"/>
          <w:numId w:val="0"/>
        </w:numPr>
        <w:ind w:leftChars="0"/>
        <w:outlineLvl w:val="1"/>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2.</w:t>
      </w:r>
      <w:r>
        <w:rPr>
          <w:rFonts w:hint="eastAsia" w:ascii="宋体" w:hAnsi="宋体" w:eastAsia="宋体" w:cs="宋体"/>
          <w:b/>
          <w:bCs/>
          <w:sz w:val="24"/>
          <w:szCs w:val="24"/>
          <w:lang w:val="en-US" w:eastAsia="zh-CN"/>
        </w:rPr>
        <w:t xml:space="preserve">第二步：配置角色（主要用于查看菜单栏功能） </w:t>
      </w:r>
    </w:p>
    <w:p w14:paraId="3B979F1B">
      <w:pPr>
        <w:numPr>
          <w:ilvl w:val="0"/>
          <w:numId w:val="0"/>
        </w:numPr>
        <w:ind w:leftChars="0"/>
        <w:outlineLvl w:val="1"/>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3.</w:t>
      </w:r>
      <w:r>
        <w:rPr>
          <w:rFonts w:hint="eastAsia" w:ascii="宋体" w:hAnsi="宋体" w:eastAsia="宋体" w:cs="宋体"/>
          <w:b/>
          <w:bCs/>
          <w:sz w:val="24"/>
          <w:szCs w:val="24"/>
          <w:lang w:val="en-US" w:eastAsia="zh-CN"/>
        </w:rPr>
        <w:t xml:space="preserve">第三步：配置岗位（例：经办、复核、总会，根据各单位 </w:t>
      </w:r>
    </w:p>
    <w:p w14:paraId="6BD3DBE3">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管理需要自行建立）</w:t>
      </w:r>
    </w:p>
    <w:p w14:paraId="30E250BB">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4.流程配置：</w:t>
      </w:r>
    </w:p>
    <w:p w14:paraId="6878F18C">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没有分级授权的流程配置： </w:t>
      </w:r>
    </w:p>
    <w:p w14:paraId="02DB7596">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在公司本部下的部门层级开始设置流程：</w:t>
      </w:r>
    </w:p>
    <w:p w14:paraId="01EC4BB0">
      <w:pPr>
        <w:numPr>
          <w:ilvl w:val="0"/>
          <w:numId w:val="0"/>
        </w:numPr>
      </w:pPr>
      <w:r>
        <w:drawing>
          <wp:inline distT="0" distB="0" distL="114300" distR="114300">
            <wp:extent cx="5273040" cy="2583815"/>
            <wp:effectExtent l="0" t="0" r="3810"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73040" cy="2583815"/>
                    </a:xfrm>
                    <a:prstGeom prst="rect">
                      <a:avLst/>
                    </a:prstGeom>
                    <a:noFill/>
                    <a:ln>
                      <a:noFill/>
                    </a:ln>
                  </pic:spPr>
                </pic:pic>
              </a:graphicData>
            </a:graphic>
          </wp:inline>
        </w:drawing>
      </w:r>
    </w:p>
    <w:p w14:paraId="04CBE99A">
      <w:pPr>
        <w:numPr>
          <w:ilvl w:val="0"/>
          <w:numId w:val="0"/>
        </w:numPr>
      </w:pPr>
      <w:r>
        <w:drawing>
          <wp:inline distT="0" distB="0" distL="114300" distR="114300">
            <wp:extent cx="5274310" cy="2586355"/>
            <wp:effectExtent l="0" t="0" r="2540"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74310" cy="2586355"/>
                    </a:xfrm>
                    <a:prstGeom prst="rect">
                      <a:avLst/>
                    </a:prstGeom>
                    <a:noFill/>
                    <a:ln>
                      <a:noFill/>
                    </a:ln>
                  </pic:spPr>
                </pic:pic>
              </a:graphicData>
            </a:graphic>
          </wp:inline>
        </w:drawing>
      </w:r>
    </w:p>
    <w:p w14:paraId="25BECF61">
      <w:pPr>
        <w:numPr>
          <w:ilvl w:val="0"/>
          <w:numId w:val="0"/>
        </w:numPr>
      </w:pPr>
      <w:r>
        <w:drawing>
          <wp:inline distT="0" distB="0" distL="114300" distR="114300">
            <wp:extent cx="5273040" cy="2583815"/>
            <wp:effectExtent l="0" t="0" r="3810" b="698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3040" cy="2583815"/>
                    </a:xfrm>
                    <a:prstGeom prst="rect">
                      <a:avLst/>
                    </a:prstGeom>
                    <a:noFill/>
                    <a:ln>
                      <a:noFill/>
                    </a:ln>
                  </pic:spPr>
                </pic:pic>
              </a:graphicData>
            </a:graphic>
          </wp:inline>
        </w:drawing>
      </w:r>
    </w:p>
    <w:p w14:paraId="0BC4B1A6">
      <w:pPr>
        <w:numPr>
          <w:ilvl w:val="0"/>
          <w:numId w:val="0"/>
        </w:numPr>
      </w:pPr>
      <w:r>
        <w:drawing>
          <wp:inline distT="0" distB="0" distL="114300" distR="114300">
            <wp:extent cx="5274310" cy="2586355"/>
            <wp:effectExtent l="0" t="0" r="2540"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5274310" cy="2586355"/>
                    </a:xfrm>
                    <a:prstGeom prst="rect">
                      <a:avLst/>
                    </a:prstGeom>
                    <a:noFill/>
                    <a:ln>
                      <a:noFill/>
                    </a:ln>
                  </pic:spPr>
                </pic:pic>
              </a:graphicData>
            </a:graphic>
          </wp:inline>
        </w:drawing>
      </w:r>
    </w:p>
    <w:p w14:paraId="667E6AF1">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有分级授权的流程配置： </w:t>
      </w:r>
    </w:p>
    <w:p w14:paraId="301A4872">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目前系统中有六个业务流程需要分级授权： </w:t>
      </w:r>
    </w:p>
    <w:p w14:paraId="41765183">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债务融资：债务融资内部审批，债务融资外部审批，债务融资其他审批。 </w:t>
      </w:r>
    </w:p>
    <w:p w14:paraId="53ED4EEE">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担保预算：担保预算调整审批，担保业务审批。 </w:t>
      </w:r>
    </w:p>
    <w:p w14:paraId="7327BC45">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借款业务：借款业务审批。 </w:t>
      </w:r>
    </w:p>
    <w:p w14:paraId="0689FD74">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以上六个流程需要从公司节点上配置流程审批的岗位。 </w:t>
      </w:r>
    </w:p>
    <w:p w14:paraId="4113E3A7">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以沈阳飞机工业有限公司，二级板块为例： </w:t>
      </w:r>
    </w:p>
    <w:p w14:paraId="35723013">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第一大步骤： 在公司层面进行配置流程岗位</w:t>
      </w:r>
    </w:p>
    <w:p w14:paraId="4D906BCC">
      <w:pPr>
        <w:numPr>
          <w:ilvl w:val="0"/>
          <w:numId w:val="0"/>
        </w:numPr>
      </w:pPr>
      <w:r>
        <w:drawing>
          <wp:inline distT="0" distB="0" distL="114300" distR="114300">
            <wp:extent cx="5273040" cy="2583815"/>
            <wp:effectExtent l="0" t="0" r="381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73040" cy="2583815"/>
                    </a:xfrm>
                    <a:prstGeom prst="rect">
                      <a:avLst/>
                    </a:prstGeom>
                    <a:noFill/>
                    <a:ln>
                      <a:noFill/>
                    </a:ln>
                  </pic:spPr>
                </pic:pic>
              </a:graphicData>
            </a:graphic>
          </wp:inline>
        </w:drawing>
      </w:r>
    </w:p>
    <w:p w14:paraId="2593FBF4">
      <w:pPr>
        <w:numPr>
          <w:ilvl w:val="0"/>
          <w:numId w:val="0"/>
        </w:numPr>
      </w:pPr>
      <w:r>
        <w:drawing>
          <wp:inline distT="0" distB="0" distL="114300" distR="114300">
            <wp:extent cx="5273040" cy="2583815"/>
            <wp:effectExtent l="0" t="0" r="3810" b="698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3040" cy="2583815"/>
                    </a:xfrm>
                    <a:prstGeom prst="rect">
                      <a:avLst/>
                    </a:prstGeom>
                    <a:noFill/>
                    <a:ln>
                      <a:noFill/>
                    </a:ln>
                  </pic:spPr>
                </pic:pic>
              </a:graphicData>
            </a:graphic>
          </wp:inline>
        </w:drawing>
      </w:r>
    </w:p>
    <w:p w14:paraId="3D440F62">
      <w:pPr>
        <w:numPr>
          <w:ilvl w:val="0"/>
          <w:numId w:val="0"/>
        </w:numPr>
      </w:pPr>
      <w:r>
        <w:drawing>
          <wp:inline distT="0" distB="0" distL="114300" distR="114300">
            <wp:extent cx="5273040" cy="2583815"/>
            <wp:effectExtent l="0" t="0" r="381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273040" cy="2583815"/>
                    </a:xfrm>
                    <a:prstGeom prst="rect">
                      <a:avLst/>
                    </a:prstGeom>
                    <a:noFill/>
                    <a:ln>
                      <a:noFill/>
                    </a:ln>
                  </pic:spPr>
                </pic:pic>
              </a:graphicData>
            </a:graphic>
          </wp:inline>
        </w:drawing>
      </w:r>
    </w:p>
    <w:p w14:paraId="176C5658">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第二大步骤：在公司本部配置流程岗位。</w:t>
      </w:r>
    </w:p>
    <w:p w14:paraId="1A273212">
      <w:pPr>
        <w:numPr>
          <w:ilvl w:val="0"/>
          <w:numId w:val="0"/>
        </w:numPr>
      </w:pPr>
      <w:r>
        <w:drawing>
          <wp:inline distT="0" distB="0" distL="114300" distR="114300">
            <wp:extent cx="5273040" cy="2583815"/>
            <wp:effectExtent l="0" t="0" r="3810" b="698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273040" cy="2583815"/>
                    </a:xfrm>
                    <a:prstGeom prst="rect">
                      <a:avLst/>
                    </a:prstGeom>
                    <a:noFill/>
                    <a:ln>
                      <a:noFill/>
                    </a:ln>
                  </pic:spPr>
                </pic:pic>
              </a:graphicData>
            </a:graphic>
          </wp:inline>
        </w:drawing>
      </w:r>
    </w:p>
    <w:p w14:paraId="2E987F86">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第三大步骤：在公司本部下的部门配置流程：</w:t>
      </w:r>
    </w:p>
    <w:p w14:paraId="5FC7ABEA">
      <w:pPr>
        <w:numPr>
          <w:ilvl w:val="0"/>
          <w:numId w:val="0"/>
        </w:numPr>
      </w:pPr>
      <w:r>
        <w:drawing>
          <wp:inline distT="0" distB="0" distL="114300" distR="114300">
            <wp:extent cx="5266690" cy="2578735"/>
            <wp:effectExtent l="0" t="0" r="10160" b="1206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5266690" cy="2578735"/>
                    </a:xfrm>
                    <a:prstGeom prst="rect">
                      <a:avLst/>
                    </a:prstGeom>
                    <a:noFill/>
                    <a:ln>
                      <a:noFill/>
                    </a:ln>
                  </pic:spPr>
                </pic:pic>
              </a:graphicData>
            </a:graphic>
          </wp:inline>
        </w:drawing>
      </w:r>
    </w:p>
    <w:p w14:paraId="75B66AF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完成以上步骤后，需要到菜单基础信息维护里面的分级授权里面设置管理下级的规则。 </w:t>
      </w:r>
    </w:p>
    <w:p w14:paraId="6B7051A0">
      <w:pPr>
        <w:keepNext w:val="0"/>
        <w:keepLines w:val="0"/>
        <w:widowControl/>
        <w:suppressLineNumbers w:val="0"/>
        <w:jc w:val="left"/>
      </w:pPr>
      <w:r>
        <w:rPr>
          <w:rFonts w:hint="eastAsia" w:ascii="宋体" w:hAnsi="宋体" w:eastAsia="宋体" w:cs="宋体"/>
          <w:color w:val="000000"/>
          <w:kern w:val="0"/>
          <w:sz w:val="21"/>
          <w:szCs w:val="21"/>
          <w:lang w:val="en-US" w:eastAsia="zh-CN" w:bidi="ar"/>
        </w:rPr>
        <w:t>注意分级授权也是需要走流程的的。</w:t>
      </w:r>
    </w:p>
    <w:p w14:paraId="3F5715A0">
      <w:pPr>
        <w:numPr>
          <w:ilvl w:val="0"/>
          <w:numId w:val="0"/>
        </w:numPr>
      </w:pPr>
      <w:r>
        <w:drawing>
          <wp:inline distT="0" distB="0" distL="114300" distR="114300">
            <wp:extent cx="2438400" cy="4638675"/>
            <wp:effectExtent l="0" t="0" r="0"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2438400" cy="4638675"/>
                    </a:xfrm>
                    <a:prstGeom prst="rect">
                      <a:avLst/>
                    </a:prstGeom>
                    <a:noFill/>
                    <a:ln>
                      <a:noFill/>
                    </a:ln>
                  </pic:spPr>
                </pic:pic>
              </a:graphicData>
            </a:graphic>
          </wp:inline>
        </w:drawing>
      </w:r>
    </w:p>
    <w:p w14:paraId="6C5ECE0C">
      <w:pPr>
        <w:numPr>
          <w:ilvl w:val="0"/>
          <w:numId w:val="0"/>
        </w:numPr>
      </w:pPr>
      <w:r>
        <w:drawing>
          <wp:inline distT="0" distB="0" distL="114300" distR="114300">
            <wp:extent cx="2314575" cy="3352800"/>
            <wp:effectExtent l="0" t="0" r="9525"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2314575" cy="3352800"/>
                    </a:xfrm>
                    <a:prstGeom prst="rect">
                      <a:avLst/>
                    </a:prstGeom>
                    <a:noFill/>
                    <a:ln>
                      <a:noFill/>
                    </a:ln>
                  </pic:spPr>
                </pic:pic>
              </a:graphicData>
            </a:graphic>
          </wp:inline>
        </w:drawing>
      </w:r>
    </w:p>
    <w:p w14:paraId="3115C87A">
      <w:pPr>
        <w:numPr>
          <w:ilvl w:val="0"/>
          <w:numId w:val="0"/>
        </w:numPr>
      </w:pPr>
      <w:r>
        <w:drawing>
          <wp:inline distT="0" distB="0" distL="114300" distR="114300">
            <wp:extent cx="2343150" cy="2447925"/>
            <wp:effectExtent l="0" t="0" r="0" b="952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8"/>
                    <a:stretch>
                      <a:fillRect/>
                    </a:stretch>
                  </pic:blipFill>
                  <pic:spPr>
                    <a:xfrm>
                      <a:off x="0" y="0"/>
                      <a:ext cx="2343150" cy="2447925"/>
                    </a:xfrm>
                    <a:prstGeom prst="rect">
                      <a:avLst/>
                    </a:prstGeom>
                    <a:noFill/>
                    <a:ln>
                      <a:noFill/>
                    </a:ln>
                  </pic:spPr>
                </pic:pic>
              </a:graphicData>
            </a:graphic>
          </wp:inline>
        </w:drawing>
      </w:r>
    </w:p>
    <w:p w14:paraId="5CFC3B48">
      <w:pPr>
        <w:numPr>
          <w:ilvl w:val="0"/>
          <w:numId w:val="0"/>
        </w:numPr>
        <w:rPr>
          <w:rFonts w:hint="eastAsia"/>
          <w:lang w:val="en-US" w:eastAsia="zh-CN"/>
        </w:rPr>
      </w:pPr>
    </w:p>
    <w:p w14:paraId="3D5D2C77">
      <w:pPr>
        <w:numPr>
          <w:ilvl w:val="0"/>
          <w:numId w:val="1"/>
        </w:numPr>
        <w:ind w:left="0" w:leftChars="0" w:firstLine="0" w:firstLineChars="0"/>
        <w:outlineLvl w:val="0"/>
        <w:rPr>
          <w:rFonts w:hint="eastAsia" w:ascii="宋体" w:hAnsi="宋体" w:eastAsia="宋体" w:cs="宋体"/>
          <w:b/>
          <w:bCs/>
          <w:sz w:val="24"/>
          <w:szCs w:val="24"/>
          <w:lang w:val="en-US" w:eastAsia="zh-CN"/>
        </w:rPr>
      </w:pPr>
      <w:bookmarkStart w:id="0" w:name="_Toc4031"/>
      <w:bookmarkStart w:id="1" w:name="_Toc15448"/>
      <w:r>
        <w:rPr>
          <w:rFonts w:hint="eastAsia" w:ascii="宋体" w:hAnsi="宋体" w:eastAsia="宋体" w:cs="宋体"/>
          <w:b/>
          <w:bCs/>
          <w:sz w:val="24"/>
          <w:szCs w:val="24"/>
          <w:lang w:val="en-US" w:eastAsia="zh-CN"/>
        </w:rPr>
        <w:t>如何</w:t>
      </w:r>
      <w:bookmarkEnd w:id="0"/>
      <w:bookmarkEnd w:id="1"/>
      <w:r>
        <w:rPr>
          <w:rFonts w:hint="eastAsia" w:ascii="宋体" w:hAnsi="宋体" w:eastAsia="宋体" w:cs="宋体"/>
          <w:b/>
          <w:bCs/>
          <w:sz w:val="24"/>
          <w:szCs w:val="24"/>
          <w:lang w:val="en-US" w:eastAsia="zh-CN"/>
        </w:rPr>
        <w:t>债务融资管控上报</w:t>
      </w:r>
    </w:p>
    <w:p w14:paraId="7C30D907">
      <w:pPr>
        <w:widowControl w:val="0"/>
        <w:numPr>
          <w:ilvl w:val="2"/>
          <w:numId w:val="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2" w:name="_Toc30121"/>
      <w:bookmarkStart w:id="3" w:name="_Toc23467"/>
      <w:r>
        <w:rPr>
          <w:rFonts w:hint="eastAsia" w:ascii="Times New Roman" w:hAnsi="Times New Roman" w:eastAsia="宋体" w:cs="Times New Roman"/>
          <w:b/>
          <w:kern w:val="2"/>
          <w:sz w:val="28"/>
          <w:szCs w:val="24"/>
          <w:lang w:val="en-US" w:eastAsia="zh-CN" w:bidi="ar-SA"/>
        </w:rPr>
        <w:t>菜单路径</w:t>
      </w:r>
      <w:bookmarkEnd w:id="2"/>
      <w:bookmarkEnd w:id="3"/>
    </w:p>
    <w:p w14:paraId="64A80D97">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债务融资管控指标上报</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债务融资指标上报</w:t>
      </w:r>
      <w:r>
        <w:rPr>
          <w:rFonts w:hint="eastAsia" w:ascii="宋体" w:hAnsi="宋体" w:eastAsia="宋体" w:cs="宋体"/>
          <w:kern w:val="2"/>
          <w:sz w:val="24"/>
          <w:szCs w:val="24"/>
          <w:vertAlign w:val="baseline"/>
          <w:lang w:val="en-US" w:eastAsia="zh-CN" w:bidi="ar-SA"/>
        </w:rPr>
        <w:t>】。</w:t>
      </w:r>
    </w:p>
    <w:p w14:paraId="10C60096">
      <w:pPr>
        <w:widowControl w:val="0"/>
        <w:numPr>
          <w:ilvl w:val="2"/>
          <w:numId w:val="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4" w:name="_Toc13763"/>
      <w:bookmarkStart w:id="5" w:name="_Toc14926"/>
      <w:r>
        <w:rPr>
          <w:rFonts w:hint="eastAsia" w:ascii="Times New Roman" w:hAnsi="Times New Roman" w:eastAsia="宋体" w:cs="Times New Roman"/>
          <w:b/>
          <w:kern w:val="2"/>
          <w:sz w:val="28"/>
          <w:szCs w:val="24"/>
          <w:lang w:val="en-US" w:eastAsia="zh-CN" w:bidi="ar-SA"/>
        </w:rPr>
        <w:t>操作步骤</w:t>
      </w:r>
      <w:bookmarkEnd w:id="4"/>
      <w:bookmarkEnd w:id="5"/>
    </w:p>
    <w:p w14:paraId="3EF7A0D3">
      <w:pPr>
        <w:widowControl w:val="0"/>
        <w:numPr>
          <w:ilvl w:val="0"/>
          <w:numId w:val="3"/>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债务管控指标上报</w:t>
      </w:r>
      <w:r>
        <w:rPr>
          <w:rFonts w:hint="eastAsia" w:ascii="宋体" w:hAnsi="Times New Roman" w:eastAsia="宋体" w:cs="宋体"/>
          <w:kern w:val="0"/>
          <w:sz w:val="24"/>
          <w:szCs w:val="21"/>
          <w:lang w:val="en-US" w:eastAsia="zh-CN" w:bidi="ar-SA"/>
        </w:rPr>
        <w:t>】，进入该菜单的主操作界面。</w:t>
      </w:r>
    </w:p>
    <w:p w14:paraId="6249093C">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45480" cy="2320290"/>
            <wp:effectExtent l="0" t="0" r="7620"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9"/>
                    <a:stretch>
                      <a:fillRect/>
                    </a:stretch>
                  </pic:blipFill>
                  <pic:spPr>
                    <a:xfrm>
                      <a:off x="0" y="0"/>
                      <a:ext cx="5745480" cy="2320290"/>
                    </a:xfrm>
                    <a:prstGeom prst="rect">
                      <a:avLst/>
                    </a:prstGeom>
                    <a:noFill/>
                    <a:ln>
                      <a:noFill/>
                    </a:ln>
                  </pic:spPr>
                </pic:pic>
              </a:graphicData>
            </a:graphic>
          </wp:inline>
        </w:drawing>
      </w:r>
    </w:p>
    <w:p w14:paraId="3B06717E">
      <w:pPr>
        <w:widowControl w:val="0"/>
        <w:numPr>
          <w:ilvl w:val="0"/>
          <w:numId w:val="3"/>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债务管控指标上报</w:t>
      </w:r>
      <w:r>
        <w:rPr>
          <w:rFonts w:hint="eastAsia" w:ascii="宋体" w:hAnsi="Times New Roman" w:eastAsia="宋体" w:cs="宋体"/>
          <w:kern w:val="0"/>
          <w:sz w:val="24"/>
          <w:szCs w:val="21"/>
          <w:lang w:val="en-US" w:eastAsia="zh-CN" w:bidi="ar-SA"/>
        </w:rPr>
        <w:t>的明细界面。</w:t>
      </w:r>
    </w:p>
    <w:p w14:paraId="6A4E0D01">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3735" cy="3037840"/>
            <wp:effectExtent l="0" t="0" r="18415" b="1016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0"/>
                    <a:stretch>
                      <a:fillRect/>
                    </a:stretch>
                  </pic:blipFill>
                  <pic:spPr>
                    <a:xfrm>
                      <a:off x="0" y="0"/>
                      <a:ext cx="5753735" cy="3037840"/>
                    </a:xfrm>
                    <a:prstGeom prst="rect">
                      <a:avLst/>
                    </a:prstGeom>
                    <a:noFill/>
                    <a:ln>
                      <a:noFill/>
                    </a:ln>
                  </pic:spPr>
                </pic:pic>
              </a:graphicData>
            </a:graphic>
          </wp:inline>
        </w:drawing>
      </w:r>
    </w:p>
    <w:p w14:paraId="500219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14:paraId="31158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720" w:firstLineChars="3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企业行业类别，企业资产负债率需要到菜单基础数据维护的企业净资产及负载率维护中进行维护管控年度的上一年十二月份的数据进行维护，选择完管控年度会自动带出，如果没有维护选择完管控年度会弹框提醒</w:t>
      </w:r>
      <w:r>
        <w:rPr>
          <w:rFonts w:hint="eastAsia" w:ascii="Times New Roman" w:hAnsi="Times New Roman" w:eastAsia="宋体" w:cs="Times New Roman"/>
          <w:kern w:val="2"/>
          <w:sz w:val="24"/>
          <w:szCs w:val="24"/>
          <w:lang w:val="en-US" w:eastAsia="zh-CN" w:bidi="ar-SA"/>
        </w:rPr>
        <w:t>。</w:t>
      </w:r>
    </w:p>
    <w:p w14:paraId="1AC3265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【保存】：暂存数据。</w:t>
      </w:r>
    </w:p>
    <w:p w14:paraId="579F5D7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14:paraId="6BAFA44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cs="Times New Roman"/>
          <w:color w:val="auto"/>
          <w:kern w:val="2"/>
          <w:sz w:val="24"/>
          <w:szCs w:val="24"/>
          <w:lang w:val="en-US" w:eastAsia="zh-CN" w:bidi="ar-SA"/>
        </w:rPr>
        <w:t>审批人审批完成，流程执行完毕数据会到债务管控指标汇总页面。</w:t>
      </w:r>
    </w:p>
    <w:p w14:paraId="3038F369">
      <w:pPr>
        <w:widowControl w:val="0"/>
        <w:ind w:lef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参考《4. 2025年度债务管控指标上报汇总流程指南》</w:t>
      </w:r>
    </w:p>
    <w:p w14:paraId="72B79345">
      <w:pPr>
        <w:widowControl w:val="0"/>
        <w:ind w:left="0"/>
        <w:jc w:val="both"/>
        <w:rPr>
          <w:rFonts w:hint="default" w:ascii="宋体" w:hAnsi="宋体" w:eastAsia="宋体" w:cs="宋体"/>
          <w:b/>
          <w:bCs/>
          <w:sz w:val="24"/>
          <w:szCs w:val="24"/>
          <w:lang w:val="en-US" w:eastAsia="zh-CN"/>
        </w:rPr>
      </w:pPr>
      <w:r>
        <w:drawing>
          <wp:inline distT="0" distB="0" distL="114300" distR="114300">
            <wp:extent cx="5256530" cy="2372995"/>
            <wp:effectExtent l="0" t="0" r="1270" b="825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1"/>
                    <a:stretch>
                      <a:fillRect/>
                    </a:stretch>
                  </pic:blipFill>
                  <pic:spPr>
                    <a:xfrm>
                      <a:off x="0" y="0"/>
                      <a:ext cx="5256530" cy="2372995"/>
                    </a:xfrm>
                    <a:prstGeom prst="rect">
                      <a:avLst/>
                    </a:prstGeom>
                    <a:noFill/>
                    <a:ln>
                      <a:noFill/>
                    </a:ln>
                  </pic:spPr>
                </pic:pic>
              </a:graphicData>
            </a:graphic>
          </wp:inline>
        </w:drawing>
      </w:r>
      <w:bookmarkStart w:id="6" w:name="_GoBack"/>
      <w:bookmarkEnd w:id="6"/>
    </w:p>
    <w:p w14:paraId="1364485C">
      <w:pPr>
        <w:numPr>
          <w:ilvl w:val="0"/>
          <w:numId w:val="1"/>
        </w:numPr>
        <w:ind w:left="0" w:leftChars="0" w:firstLine="0" w:firstLineChars="0"/>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如何担保预算上报</w:t>
      </w:r>
    </w:p>
    <w:p w14:paraId="19B43178">
      <w:pPr>
        <w:widowControl w:val="0"/>
        <w:ind w:left="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参考系统首页操作手册《5. 2025年度担保预算上报汇总流程指南》</w:t>
      </w:r>
    </w:p>
    <w:p w14:paraId="48F6C09A">
      <w:pPr>
        <w:widowControl w:val="0"/>
        <w:ind w:left="0"/>
        <w:jc w:val="both"/>
      </w:pPr>
      <w:r>
        <w:drawing>
          <wp:inline distT="0" distB="0" distL="114300" distR="114300">
            <wp:extent cx="5256530" cy="2372995"/>
            <wp:effectExtent l="0" t="0" r="1270" b="825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1"/>
                    <a:stretch>
                      <a:fillRect/>
                    </a:stretch>
                  </pic:blipFill>
                  <pic:spPr>
                    <a:xfrm>
                      <a:off x="0" y="0"/>
                      <a:ext cx="5256530" cy="2372995"/>
                    </a:xfrm>
                    <a:prstGeom prst="rect">
                      <a:avLst/>
                    </a:prstGeom>
                    <a:noFill/>
                    <a:ln>
                      <a:noFill/>
                    </a:ln>
                  </pic:spPr>
                </pic:pic>
              </a:graphicData>
            </a:graphic>
          </wp:inline>
        </w:drawing>
      </w:r>
    </w:p>
    <w:p w14:paraId="62AACC20">
      <w:pPr>
        <w:widowControl w:val="0"/>
        <w:ind w:left="0"/>
        <w:jc w:val="both"/>
        <w:rPr>
          <w:rFonts w:hint="default"/>
          <w:lang w:val="en-US" w:eastAsia="zh-CN"/>
        </w:rPr>
      </w:pPr>
    </w:p>
    <w:p w14:paraId="30628B62">
      <w:pPr>
        <w:numPr>
          <w:ilvl w:val="0"/>
          <w:numId w:val="1"/>
        </w:numPr>
        <w:ind w:left="0" w:leftChars="0" w:firstLine="0" w:firstLineChars="0"/>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融资需求计划填报</w:t>
      </w:r>
    </w:p>
    <w:p w14:paraId="71A1C911">
      <w:pPr>
        <w:widowControl w:val="0"/>
        <w:numPr>
          <w:ilvl w:val="0"/>
          <w:numId w:val="0"/>
        </w:numPr>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融资需求计划功能已经上线，西飞、机载、国际三个板块试点运行，请有融资需求的单位在资金收支预算系统中填报融资需求计划。无融资需求，也必须进行零申报。</w:t>
      </w:r>
    </w:p>
    <w:p w14:paraId="4E8DB584">
      <w:pPr>
        <w:widowControl w:val="0"/>
        <w:numPr>
          <w:ilvl w:val="0"/>
          <w:numId w:val="0"/>
        </w:numPr>
        <w:jc w:val="both"/>
        <w:rPr>
          <w:rFonts w:hint="eastAsia" w:ascii="宋体" w:hAnsi="宋体" w:eastAsia="宋体" w:cs="宋体"/>
          <w:b/>
          <w:bCs/>
          <w:sz w:val="24"/>
          <w:szCs w:val="24"/>
          <w:lang w:val="en-US" w:eastAsia="zh-CN"/>
        </w:rPr>
      </w:pPr>
    </w:p>
    <w:p w14:paraId="587EB7F0">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问题1：填写融资需求计划和填报预算的先后顺序</w:t>
      </w:r>
    </w:p>
    <w:p w14:paraId="703CCE85">
      <w:pPr>
        <w:widowControl w:val="0"/>
        <w:numPr>
          <w:ilvl w:val="0"/>
          <w:numId w:val="0"/>
        </w:numPr>
        <w:pBdr>
          <w:bottom w:val="none" w:color="auto" w:sz="0" w:space="0"/>
        </w:pBdr>
        <w:jc w:val="both"/>
        <w:rPr>
          <w:rFonts w:hint="eastAsia" w:ascii="宋体" w:hAnsi="宋体" w:eastAsia="宋体" w:cs="宋体"/>
          <w:b w:val="0"/>
          <w:bCs/>
          <w:sz w:val="24"/>
          <w:szCs w:val="24"/>
          <w:lang w:val="en-US" w:eastAsia="zh-CN"/>
        </w:rPr>
      </w:pPr>
      <w:r>
        <w:rPr>
          <w:rFonts w:hint="eastAsia" w:ascii="宋体" w:hAnsi="宋体" w:eastAsia="宋体" w:cs="宋体"/>
          <w:b/>
          <w:bCs/>
          <w:sz w:val="24"/>
          <w:szCs w:val="24"/>
          <w:lang w:val="en-US" w:eastAsia="zh-CN"/>
        </w:rPr>
        <w:t>解决方式：</w:t>
      </w:r>
      <w:r>
        <w:rPr>
          <w:rFonts w:hint="eastAsia" w:ascii="宋体" w:hAnsi="宋体" w:eastAsia="宋体" w:cs="宋体"/>
          <w:b w:val="0"/>
          <w:bCs/>
          <w:sz w:val="24"/>
          <w:szCs w:val="24"/>
          <w:lang w:val="en-US" w:eastAsia="zh-CN"/>
        </w:rPr>
        <w:t>1、</w:t>
      </w:r>
      <w:r>
        <w:rPr>
          <w:rFonts w:hint="eastAsia" w:ascii="宋体" w:hAnsi="宋体" w:eastAsia="宋体" w:cs="宋体"/>
          <w:b w:val="0"/>
          <w:bCs/>
          <w:color w:val="FF0000"/>
          <w:sz w:val="24"/>
          <w:szCs w:val="24"/>
          <w:lang w:val="en-US" w:eastAsia="zh-CN"/>
        </w:rPr>
        <w:t>财务部</w:t>
      </w:r>
      <w:r>
        <w:rPr>
          <w:rFonts w:hint="eastAsia" w:ascii="宋体" w:hAnsi="宋体" w:eastAsia="宋体" w:cs="宋体"/>
          <w:b w:val="0"/>
          <w:bCs/>
          <w:sz w:val="24"/>
          <w:szCs w:val="24"/>
          <w:lang w:val="en-US" w:eastAsia="zh-CN"/>
        </w:rPr>
        <w:t>先填写融资需求计划（</w:t>
      </w:r>
      <w:r>
        <w:rPr>
          <w:rFonts w:hint="eastAsia" w:ascii="宋体" w:hAnsi="宋体" w:eastAsia="宋体" w:cs="宋体"/>
          <w:b w:val="0"/>
          <w:bCs/>
          <w:color w:val="FF0000"/>
          <w:sz w:val="24"/>
          <w:szCs w:val="24"/>
          <w:lang w:val="en-US" w:eastAsia="zh-CN"/>
        </w:rPr>
        <w:t>需求周期：2025年10月-2025年11月</w:t>
      </w:r>
      <w:r>
        <w:rPr>
          <w:rFonts w:hint="eastAsia" w:ascii="宋体" w:hAnsi="宋体" w:eastAsia="宋体" w:cs="宋体"/>
          <w:b w:val="0"/>
          <w:bCs/>
          <w:sz w:val="24"/>
          <w:szCs w:val="24"/>
          <w:lang w:val="en-US" w:eastAsia="zh-CN"/>
        </w:rPr>
        <w:t>），</w:t>
      </w:r>
      <w:r>
        <w:rPr>
          <w:rFonts w:hint="eastAsia" w:ascii="宋体" w:hAnsi="宋体" w:eastAsia="宋体" w:cs="宋体"/>
          <w:b w:val="0"/>
          <w:bCs/>
          <w:color w:val="FF0000"/>
          <w:sz w:val="24"/>
          <w:szCs w:val="24"/>
          <w:lang w:val="en-US" w:eastAsia="zh-CN"/>
        </w:rPr>
        <w:t>如果没有需求，也必须进行零申报填写</w:t>
      </w:r>
      <w:r>
        <w:rPr>
          <w:rFonts w:hint="eastAsia" w:ascii="宋体" w:hAnsi="宋体" w:eastAsia="宋体" w:cs="宋体"/>
          <w:b w:val="0"/>
          <w:bCs/>
          <w:sz w:val="24"/>
          <w:szCs w:val="24"/>
          <w:lang w:val="en-US" w:eastAsia="zh-CN"/>
        </w:rPr>
        <w:t>；2、进行预算编制填写；3、进行汇总操作</w:t>
      </w:r>
    </w:p>
    <w:p w14:paraId="23F95C43">
      <w:pPr>
        <w:numPr>
          <w:ilvl w:val="0"/>
          <w:numId w:val="0"/>
        </w:numPr>
        <w:ind w:leftChars="0"/>
        <w:outlineLvl w:val="1"/>
        <w:rPr>
          <w:rFonts w:hint="eastAsia" w:ascii="宋体" w:hAnsi="宋体" w:eastAsia="宋体" w:cs="宋体"/>
          <w:b/>
          <w:bCs/>
          <w:sz w:val="24"/>
          <w:szCs w:val="24"/>
          <w:lang w:val="en-US" w:eastAsia="zh-CN"/>
        </w:rPr>
      </w:pPr>
    </w:p>
    <w:p w14:paraId="0FE8C96A">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问题2：如果未做融资需求计划，先做的预算编制，汇总报错如何操作？</w:t>
      </w:r>
    </w:p>
    <w:p w14:paraId="5BE066B2">
      <w:pPr>
        <w:widowControl w:val="0"/>
        <w:ind w:left="0"/>
        <w:jc w:val="both"/>
        <w:rPr>
          <w:rFonts w:hint="eastAsia" w:ascii="宋体" w:hAnsi="宋体" w:eastAsia="宋体" w:cs="宋体"/>
          <w:b w:val="0"/>
          <w:bCs/>
          <w:sz w:val="24"/>
          <w:szCs w:val="24"/>
          <w:lang w:val="en-US" w:eastAsia="zh-CN"/>
        </w:rPr>
      </w:pPr>
      <w:r>
        <w:rPr>
          <w:rFonts w:hint="eastAsia" w:ascii="宋体" w:hAnsi="宋体" w:eastAsia="宋体" w:cs="宋体"/>
          <w:b/>
          <w:bCs/>
          <w:sz w:val="24"/>
          <w:szCs w:val="24"/>
          <w:lang w:val="en-US" w:eastAsia="zh-CN"/>
        </w:rPr>
        <w:t>解决方式：</w:t>
      </w:r>
      <w:r>
        <w:rPr>
          <w:rFonts w:hint="eastAsia" w:ascii="宋体" w:hAnsi="宋体" w:eastAsia="宋体" w:cs="宋体"/>
          <w:b w:val="0"/>
          <w:bCs/>
          <w:sz w:val="24"/>
          <w:szCs w:val="24"/>
          <w:lang w:val="en-US" w:eastAsia="zh-CN"/>
        </w:rPr>
        <w:t>1、</w:t>
      </w:r>
      <w:r>
        <w:rPr>
          <w:rFonts w:hint="eastAsia" w:ascii="宋体" w:hAnsi="宋体" w:eastAsia="宋体" w:cs="宋体"/>
          <w:b w:val="0"/>
          <w:bCs/>
          <w:color w:val="FF0000"/>
          <w:sz w:val="24"/>
          <w:szCs w:val="24"/>
          <w:lang w:val="en-US" w:eastAsia="zh-CN"/>
        </w:rPr>
        <w:t>财务部</w:t>
      </w:r>
      <w:r>
        <w:rPr>
          <w:rFonts w:hint="eastAsia" w:ascii="宋体" w:hAnsi="宋体" w:eastAsia="宋体" w:cs="宋体"/>
          <w:b w:val="0"/>
          <w:bCs/>
          <w:sz w:val="24"/>
          <w:szCs w:val="24"/>
          <w:lang w:val="en-US" w:eastAsia="zh-CN"/>
        </w:rPr>
        <w:t>先填写融资需求计划（</w:t>
      </w:r>
      <w:r>
        <w:rPr>
          <w:rFonts w:hint="eastAsia" w:ascii="宋体" w:hAnsi="宋体" w:eastAsia="宋体" w:cs="宋体"/>
          <w:b w:val="0"/>
          <w:bCs/>
          <w:color w:val="FF0000"/>
          <w:sz w:val="24"/>
          <w:szCs w:val="24"/>
          <w:lang w:val="en-US" w:eastAsia="zh-CN"/>
        </w:rPr>
        <w:t>需求周期：2025年10月-2025年11月</w:t>
      </w:r>
      <w:r>
        <w:rPr>
          <w:rFonts w:hint="eastAsia" w:ascii="宋体" w:hAnsi="宋体" w:eastAsia="宋体" w:cs="宋体"/>
          <w:b w:val="0"/>
          <w:bCs/>
          <w:sz w:val="24"/>
          <w:szCs w:val="24"/>
          <w:lang w:val="en-US" w:eastAsia="zh-CN"/>
        </w:rPr>
        <w:t>）；2、从单位汇总查询到预算编制，退回到经办进行作废操作；</w:t>
      </w:r>
    </w:p>
    <w:p w14:paraId="4DF4ECDA">
      <w:pPr>
        <w:widowControl w:val="0"/>
        <w:ind w:left="0"/>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3、再点击</w:t>
      </w:r>
      <w:r>
        <w:rPr>
          <w:rFonts w:hint="eastAsia" w:ascii="宋体" w:hAnsi="宋体" w:eastAsia="宋体" w:cs="宋体"/>
          <w:b w:val="0"/>
          <w:bCs/>
          <w:color w:val="DE3C36"/>
          <w:sz w:val="24"/>
          <w:szCs w:val="24"/>
          <w:lang w:val="en-US" w:eastAsia="zh-CN"/>
        </w:rPr>
        <w:t>【</w:t>
      </w:r>
      <w:r>
        <w:rPr>
          <w:rFonts w:hint="eastAsia" w:ascii="宋体" w:hAnsi="宋体" w:eastAsia="宋体" w:cs="宋体"/>
          <w:b/>
          <w:bCs/>
          <w:color w:val="FF0000"/>
          <w:sz w:val="24"/>
          <w:szCs w:val="24"/>
          <w:lang w:val="en-US" w:eastAsia="zh-CN"/>
        </w:rPr>
        <w:t>新增】</w:t>
      </w:r>
      <w:r>
        <w:rPr>
          <w:rFonts w:hint="eastAsia" w:ascii="宋体" w:hAnsi="宋体" w:eastAsia="宋体" w:cs="宋体"/>
          <w:b w:val="0"/>
          <w:bCs/>
          <w:color w:val="000000"/>
          <w:sz w:val="24"/>
          <w:szCs w:val="24"/>
          <w:lang w:val="en-US" w:eastAsia="zh-CN"/>
        </w:rPr>
        <w:t>按钮</w:t>
      </w:r>
      <w:r>
        <w:rPr>
          <w:rFonts w:hint="eastAsia" w:ascii="宋体" w:hAnsi="宋体" w:eastAsia="宋体" w:cs="宋体"/>
          <w:b w:val="0"/>
          <w:bCs/>
          <w:sz w:val="24"/>
          <w:szCs w:val="24"/>
          <w:lang w:val="en-US" w:eastAsia="zh-CN"/>
        </w:rPr>
        <w:t>发起预算编制流程。</w:t>
      </w:r>
    </w:p>
    <w:p w14:paraId="57A49F37">
      <w:pPr>
        <w:widowControl w:val="0"/>
        <w:ind w:left="0"/>
        <w:jc w:val="both"/>
        <w:rPr>
          <w:rFonts w:hint="eastAsia" w:ascii="宋体" w:hAnsi="宋体" w:eastAsia="宋体" w:cs="宋体"/>
          <w:b w:val="0"/>
          <w:bCs/>
          <w:sz w:val="24"/>
          <w:szCs w:val="24"/>
          <w:lang w:val="en-US" w:eastAsia="zh-CN"/>
        </w:rPr>
      </w:pPr>
    </w:p>
    <w:p w14:paraId="53FF993A">
      <w:pPr>
        <w:widowControl w:val="0"/>
        <w:ind w:left="0"/>
        <w:jc w:val="both"/>
        <w:rPr>
          <w:rFonts w:hint="eastAsia" w:ascii="宋体" w:hAnsi="宋体" w:eastAsia="宋体" w:cs="宋体"/>
          <w:b w:val="0"/>
          <w:bCs/>
          <w:sz w:val="24"/>
          <w:szCs w:val="24"/>
          <w:lang w:val="en-US" w:eastAsia="zh-CN"/>
        </w:rPr>
      </w:pPr>
      <w:r>
        <w:rPr>
          <w:rFonts w:hint="eastAsia" w:ascii="宋体" w:hAnsi="宋体" w:eastAsia="宋体" w:cs="宋体"/>
          <w:b/>
          <w:bCs/>
          <w:color w:val="FF0000"/>
          <w:sz w:val="24"/>
          <w:szCs w:val="24"/>
          <w:lang w:val="en-US" w:eastAsia="zh-CN"/>
        </w:rPr>
        <w:t>退回操作步骤</w:t>
      </w:r>
      <w:r>
        <w:rPr>
          <w:rFonts w:hint="eastAsia" w:ascii="宋体" w:hAnsi="宋体" w:eastAsia="宋体" w:cs="宋体"/>
          <w:b w:val="0"/>
          <w:bCs/>
          <w:sz w:val="24"/>
          <w:szCs w:val="24"/>
          <w:lang w:val="en-US" w:eastAsia="zh-CN"/>
        </w:rPr>
        <w:t>：财务经办在【单位汇总】，查询到对应部门的预算后，点击【退回】，预算编制经办在【预算编制】处查询到该月计划后，点击【作废】。</w:t>
      </w:r>
    </w:p>
    <w:p w14:paraId="57C557C5">
      <w:pPr>
        <w:widowControl w:val="0"/>
        <w:ind w:left="0"/>
        <w:jc w:val="both"/>
        <w:rPr>
          <w:rFonts w:hint="eastAsia" w:ascii="宋体" w:hAnsi="宋体" w:eastAsia="宋体" w:cs="宋体"/>
          <w:b/>
          <w:bCs/>
          <w:sz w:val="24"/>
          <w:szCs w:val="24"/>
          <w:lang w:val="en-US" w:eastAsia="zh-CN"/>
        </w:rPr>
      </w:pPr>
    </w:p>
    <w:p w14:paraId="76DD479F">
      <w:pPr>
        <w:numPr>
          <w:ilvl w:val="0"/>
          <w:numId w:val="0"/>
        </w:numPr>
        <w:ind w:leftChars="0"/>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问题3：如果填写融资需求计划？</w:t>
      </w:r>
    </w:p>
    <w:p w14:paraId="4A79278E">
      <w:pPr>
        <w:widowControl w:val="0"/>
        <w:ind w:lef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解决方式：</w:t>
      </w:r>
      <w:r>
        <w:rPr>
          <w:rFonts w:hint="eastAsia" w:ascii="宋体" w:hAnsi="宋体" w:eastAsia="宋体" w:cs="宋体"/>
          <w:b w:val="0"/>
          <w:bCs/>
          <w:sz w:val="24"/>
          <w:szCs w:val="24"/>
          <w:lang w:val="en-US" w:eastAsia="zh-CN"/>
        </w:rPr>
        <w:t>可通过群聊找到文件列表：预算-融资需求计划操作手册</w:t>
      </w:r>
    </w:p>
    <w:p w14:paraId="52436ABF">
      <w:pPr>
        <w:widowControl w:val="0"/>
        <w:ind w:lef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drawing>
          <wp:inline distT="0" distB="0" distL="0" distR="0">
            <wp:extent cx="4619625" cy="3023235"/>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22"/>
                    <a:srcRect l="-7095" t="1849" r="-443" b="308"/>
                    <a:stretch>
                      <a:fillRect/>
                    </a:stretch>
                  </pic:blipFill>
                  <pic:spPr>
                    <a:xfrm>
                      <a:off x="0" y="0"/>
                      <a:ext cx="4619625" cy="3023501"/>
                    </a:xfrm>
                    <a:prstGeom prst="rect">
                      <a:avLst/>
                    </a:prstGeom>
                  </pic:spPr>
                </pic:pic>
              </a:graphicData>
            </a:graphic>
          </wp:inline>
        </w:drawing>
      </w:r>
    </w:p>
    <w:p w14:paraId="5A109DA8">
      <w:pPr>
        <w:widowControl w:val="0"/>
        <w:ind w:left="0"/>
        <w:jc w:val="both"/>
        <w:rPr>
          <w:rFonts w:hint="default" w:ascii="宋体" w:hAnsi="宋体" w:eastAsia="宋体" w:cs="宋体"/>
          <w:b/>
          <w:bCs/>
          <w:sz w:val="24"/>
          <w:szCs w:val="24"/>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Bold">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9A9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ABB3C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hz8nQzAgAAYg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hz8nQzAgAAYgQAAA4AAAAAAAAAAQAgAAAAHwEAAGRycy9lMm9Eb2MueG1sUEsF&#10;BgAAAAAGAAYAWQEAAMQFAAAAAA==&#10;">
              <v:fill on="f" focussize="0,0"/>
              <v:stroke on="f" weight="0.5pt"/>
              <v:imagedata o:title=""/>
              <o:lock v:ext="edit" aspectratio="f"/>
              <v:textbox inset="0mm,0mm,0mm,0mm" style="mso-fit-shape-to-text:t;">
                <w:txbxContent>
                  <w:p w14:paraId="71ABB3C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1">
    <w:nsid w:val="23770C9B"/>
    <w:multiLevelType w:val="singleLevel"/>
    <w:tmpl w:val="23770C9B"/>
    <w:lvl w:ilvl="0" w:tentative="0">
      <w:start w:val="1"/>
      <w:numFmt w:val="decimalEnclosedCircleChinese"/>
      <w:suff w:val="nothing"/>
      <w:lvlText w:val="%1　"/>
      <w:lvlJc w:val="left"/>
      <w:pPr>
        <w:ind w:left="0" w:firstLine="400"/>
      </w:pPr>
      <w:rPr>
        <w:rFonts w:hint="eastAsia"/>
      </w:rPr>
    </w:lvl>
  </w:abstractNum>
  <w:abstractNum w:abstractNumId="2">
    <w:nsid w:val="295A33E9"/>
    <w:multiLevelType w:val="singleLevel"/>
    <w:tmpl w:val="295A33E9"/>
    <w:lvl w:ilvl="0" w:tentative="0">
      <w:start w:val="1"/>
      <w:numFmt w:val="chineseCounting"/>
      <w:suff w:val="nothing"/>
      <w:lvlText w:val="%1、"/>
      <w:lvlJc w:val="left"/>
      <w:rPr>
        <w:rFonts w:hint="eastAsia"/>
      </w:rPr>
    </w:lvl>
  </w:abstractNum>
  <w:abstractNum w:abstractNumId="3">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3MTJjNGVjMGYyZDAwY2I5ZmI3Mjg3ZGY5MDI4YTIifQ=="/>
  </w:docVars>
  <w:rsids>
    <w:rsidRoot w:val="00000000"/>
    <w:rsid w:val="01DF7502"/>
    <w:rsid w:val="02F71A4A"/>
    <w:rsid w:val="03BA3133"/>
    <w:rsid w:val="03D460F0"/>
    <w:rsid w:val="0518473D"/>
    <w:rsid w:val="05A97997"/>
    <w:rsid w:val="05AD1B88"/>
    <w:rsid w:val="05DC202D"/>
    <w:rsid w:val="062743A8"/>
    <w:rsid w:val="092C6D2E"/>
    <w:rsid w:val="09424685"/>
    <w:rsid w:val="0A2A19F9"/>
    <w:rsid w:val="0A356BD8"/>
    <w:rsid w:val="0AA477FB"/>
    <w:rsid w:val="0AA6659B"/>
    <w:rsid w:val="0AF3003D"/>
    <w:rsid w:val="0B155E37"/>
    <w:rsid w:val="0B785A87"/>
    <w:rsid w:val="0B8330B4"/>
    <w:rsid w:val="0BF422BF"/>
    <w:rsid w:val="0C521CE0"/>
    <w:rsid w:val="0CF12D1E"/>
    <w:rsid w:val="0D0914F1"/>
    <w:rsid w:val="0D632719"/>
    <w:rsid w:val="0D9B4ECC"/>
    <w:rsid w:val="0EFF568A"/>
    <w:rsid w:val="0F846DB7"/>
    <w:rsid w:val="0FAB26A4"/>
    <w:rsid w:val="0FF62EB0"/>
    <w:rsid w:val="0FFB078E"/>
    <w:rsid w:val="106D0892"/>
    <w:rsid w:val="11E14D7E"/>
    <w:rsid w:val="123C3118"/>
    <w:rsid w:val="12AB5C65"/>
    <w:rsid w:val="12EE3177"/>
    <w:rsid w:val="13173543"/>
    <w:rsid w:val="13364095"/>
    <w:rsid w:val="13F439B8"/>
    <w:rsid w:val="147C1FA1"/>
    <w:rsid w:val="16333AFF"/>
    <w:rsid w:val="16345FD2"/>
    <w:rsid w:val="16DE2934"/>
    <w:rsid w:val="16E744D6"/>
    <w:rsid w:val="172A1FAB"/>
    <w:rsid w:val="174C1FEB"/>
    <w:rsid w:val="1763326A"/>
    <w:rsid w:val="17A53A18"/>
    <w:rsid w:val="17D752C9"/>
    <w:rsid w:val="19BD63E6"/>
    <w:rsid w:val="19EE0BC0"/>
    <w:rsid w:val="1A2832E5"/>
    <w:rsid w:val="1A705B1D"/>
    <w:rsid w:val="1A7B1124"/>
    <w:rsid w:val="1B2F5920"/>
    <w:rsid w:val="1C342D08"/>
    <w:rsid w:val="1E4E69BE"/>
    <w:rsid w:val="1E6F40E6"/>
    <w:rsid w:val="1EB129D6"/>
    <w:rsid w:val="1EBA3561"/>
    <w:rsid w:val="1F013E1C"/>
    <w:rsid w:val="204F29E6"/>
    <w:rsid w:val="21AE532C"/>
    <w:rsid w:val="21B971FF"/>
    <w:rsid w:val="21C77D00"/>
    <w:rsid w:val="23F578E0"/>
    <w:rsid w:val="2527796E"/>
    <w:rsid w:val="25973E36"/>
    <w:rsid w:val="263A18FE"/>
    <w:rsid w:val="27E10E54"/>
    <w:rsid w:val="28EE67D0"/>
    <w:rsid w:val="2AAF2C20"/>
    <w:rsid w:val="2AD2275F"/>
    <w:rsid w:val="2B50107C"/>
    <w:rsid w:val="2D2D7AAC"/>
    <w:rsid w:val="2D9C5783"/>
    <w:rsid w:val="2E753D1C"/>
    <w:rsid w:val="2F0C503A"/>
    <w:rsid w:val="2F8B3CA6"/>
    <w:rsid w:val="2FD25F97"/>
    <w:rsid w:val="2FF52D1A"/>
    <w:rsid w:val="31E25A32"/>
    <w:rsid w:val="327626B1"/>
    <w:rsid w:val="32FF44C0"/>
    <w:rsid w:val="33DE2199"/>
    <w:rsid w:val="34145964"/>
    <w:rsid w:val="342217A4"/>
    <w:rsid w:val="34BA60C2"/>
    <w:rsid w:val="34D9485C"/>
    <w:rsid w:val="394930A0"/>
    <w:rsid w:val="3A930090"/>
    <w:rsid w:val="3AA2333D"/>
    <w:rsid w:val="3ABF0097"/>
    <w:rsid w:val="3B86683F"/>
    <w:rsid w:val="3BF07AFD"/>
    <w:rsid w:val="3C4D7C9A"/>
    <w:rsid w:val="3D0B3042"/>
    <w:rsid w:val="3E6D7B2B"/>
    <w:rsid w:val="40787DC0"/>
    <w:rsid w:val="41237CA3"/>
    <w:rsid w:val="41CC2464"/>
    <w:rsid w:val="41D1106F"/>
    <w:rsid w:val="44405FFD"/>
    <w:rsid w:val="44E43D50"/>
    <w:rsid w:val="458319E2"/>
    <w:rsid w:val="46152D40"/>
    <w:rsid w:val="46C643F5"/>
    <w:rsid w:val="4702653C"/>
    <w:rsid w:val="47812B1E"/>
    <w:rsid w:val="47CE7389"/>
    <w:rsid w:val="48D23CCA"/>
    <w:rsid w:val="48EE46F3"/>
    <w:rsid w:val="492F19EC"/>
    <w:rsid w:val="49AB7DDB"/>
    <w:rsid w:val="49B87FF3"/>
    <w:rsid w:val="4A984485"/>
    <w:rsid w:val="4BA27C60"/>
    <w:rsid w:val="4C7C4B97"/>
    <w:rsid w:val="4C830758"/>
    <w:rsid w:val="4D250650"/>
    <w:rsid w:val="4D9A4AB3"/>
    <w:rsid w:val="4E783EEE"/>
    <w:rsid w:val="4F117740"/>
    <w:rsid w:val="4FE7054C"/>
    <w:rsid w:val="4FF359B6"/>
    <w:rsid w:val="5074327B"/>
    <w:rsid w:val="50E147C8"/>
    <w:rsid w:val="51B22352"/>
    <w:rsid w:val="51F25939"/>
    <w:rsid w:val="51FC27C7"/>
    <w:rsid w:val="528A121C"/>
    <w:rsid w:val="53D62F89"/>
    <w:rsid w:val="54517E27"/>
    <w:rsid w:val="54DE3429"/>
    <w:rsid w:val="556A3F82"/>
    <w:rsid w:val="56605CD2"/>
    <w:rsid w:val="57A72F1F"/>
    <w:rsid w:val="592B0AF5"/>
    <w:rsid w:val="595E1DE6"/>
    <w:rsid w:val="59A86EE7"/>
    <w:rsid w:val="5A047ED0"/>
    <w:rsid w:val="5B0E5771"/>
    <w:rsid w:val="5B4876F8"/>
    <w:rsid w:val="5B8D1990"/>
    <w:rsid w:val="5BAA7871"/>
    <w:rsid w:val="5BC50439"/>
    <w:rsid w:val="5BEE5479"/>
    <w:rsid w:val="5C172D08"/>
    <w:rsid w:val="5ECC0902"/>
    <w:rsid w:val="5F0A32F0"/>
    <w:rsid w:val="602D0E72"/>
    <w:rsid w:val="604762F2"/>
    <w:rsid w:val="60E97790"/>
    <w:rsid w:val="60F976DF"/>
    <w:rsid w:val="618C48B8"/>
    <w:rsid w:val="61C847A6"/>
    <w:rsid w:val="62374879"/>
    <w:rsid w:val="628A46F6"/>
    <w:rsid w:val="62ED7B9D"/>
    <w:rsid w:val="630C0DBD"/>
    <w:rsid w:val="636344A8"/>
    <w:rsid w:val="6514048F"/>
    <w:rsid w:val="65CC0E9B"/>
    <w:rsid w:val="664A7443"/>
    <w:rsid w:val="673D3C76"/>
    <w:rsid w:val="677E06DA"/>
    <w:rsid w:val="67A62BDD"/>
    <w:rsid w:val="682C436F"/>
    <w:rsid w:val="69AE2CE3"/>
    <w:rsid w:val="69BB3005"/>
    <w:rsid w:val="6A0C28D1"/>
    <w:rsid w:val="6A735A2B"/>
    <w:rsid w:val="6B397FBC"/>
    <w:rsid w:val="6B841233"/>
    <w:rsid w:val="6BA8544F"/>
    <w:rsid w:val="6BAB233A"/>
    <w:rsid w:val="6C017887"/>
    <w:rsid w:val="6C174A12"/>
    <w:rsid w:val="6D32338F"/>
    <w:rsid w:val="6D8B6DD7"/>
    <w:rsid w:val="6D9B05A1"/>
    <w:rsid w:val="6DF711D4"/>
    <w:rsid w:val="6E3F298E"/>
    <w:rsid w:val="6EB63465"/>
    <w:rsid w:val="6ECD414C"/>
    <w:rsid w:val="6F286236"/>
    <w:rsid w:val="6F526408"/>
    <w:rsid w:val="6F941CA1"/>
    <w:rsid w:val="70027824"/>
    <w:rsid w:val="71B638E7"/>
    <w:rsid w:val="71F16310"/>
    <w:rsid w:val="72D16FE9"/>
    <w:rsid w:val="730C0200"/>
    <w:rsid w:val="73683E42"/>
    <w:rsid w:val="73BE1EAC"/>
    <w:rsid w:val="74584E27"/>
    <w:rsid w:val="74627784"/>
    <w:rsid w:val="747648E0"/>
    <w:rsid w:val="7660185F"/>
    <w:rsid w:val="77187292"/>
    <w:rsid w:val="786C6B39"/>
    <w:rsid w:val="7A810FFC"/>
    <w:rsid w:val="7B3A08B4"/>
    <w:rsid w:val="7C004C4F"/>
    <w:rsid w:val="7C02074C"/>
    <w:rsid w:val="7C050DE5"/>
    <w:rsid w:val="7DDB33F6"/>
    <w:rsid w:val="7DE36584"/>
    <w:rsid w:val="7E734922"/>
    <w:rsid w:val="7EE607D2"/>
    <w:rsid w:val="7F527D83"/>
    <w:rsid w:val="7FBD2911"/>
    <w:rsid w:val="7FE008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8">
    <w:name w:val="标题 3 Char"/>
    <w:link w:val="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3751</Words>
  <Characters>3865</Characters>
  <TotalTime>0</TotalTime>
  <ScaleCrop>false</ScaleCrop>
  <LinksUpToDate>false</LinksUpToDate>
  <CharactersWithSpaces>3870</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2025-09-22T09:23:00Z</dcterms:created>
  <dc:creator>lxj_6</dc:creator>
  <cp:lastModifiedBy>lxj</cp:lastModifiedBy>
  <dcterms:modified xsi:type="dcterms:W3CDTF">2025-09-23T00:19:31Z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eyJoZGlkIjoiMDhkNTc5NDk1MzJjNGRmZDY4OWY4Y2I3OWNlZGIzOWQiLCJ1c2VySWQiOiI4OTAzNjk1NDQifQ==</vt:lpwstr>
  </property>
  <property fmtid="{D5CDD505-2E9C-101B-9397-08002B2CF9AE}" pid="3" name="KSOProductBuildVer">
    <vt:lpwstr>2052-12.1.0.22529</vt:lpwstr>
  </property>
  <property fmtid="{D5CDD505-2E9C-101B-9397-08002B2CF9AE}" pid="4" name="ICV">
    <vt:lpwstr>4652A5969392438C959E0201E57407BA_12</vt:lpwstr>
  </property>
</Properties>
</file>