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</w:pPr>
      <w:bookmarkStart w:id="0" w:name="_GoBack"/>
      <w:bookmarkEnd w:id="0"/>
      <w:r>
        <w:rPr>
          <w:rFonts w:hint="eastAsia"/>
          <w:lang w:val="en-US" w:eastAsia="zh-CN"/>
        </w:rPr>
        <w:t>债务融资事项监控</w:t>
      </w:r>
    </w:p>
    <w:p>
      <w:r>
        <w:drawing>
          <wp:inline distT="0" distB="0" distL="114300" distR="114300">
            <wp:extent cx="5262880" cy="2072005"/>
            <wp:effectExtent l="0" t="0" r="139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资产负债率指标是否显示全部公司， 还是只显示超过的公司单位。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带息负债指标是否显示全部公司，还是只显示超过指标的公司单位。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融资结构分析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7165" cy="1374140"/>
            <wp:effectExtent l="0" t="0" r="63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外部融资银行是否可以只显示债务最多的十家银行或证券机构。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966595"/>
            <wp:effectExtent l="0" t="0" r="1016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期限结构是否调整为按类型显示公司债务。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利息成本分析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到期债务监测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62525" cy="1868805"/>
            <wp:effectExtent l="0" t="0" r="952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到期债务目前没有包含债券 是否要包含债券。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担保事项监控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5895" cy="352425"/>
            <wp:effectExtent l="0" t="0" r="190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上月末是否可以替换为担保存量全额实际值。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A1C33"/>
    <w:multiLevelType w:val="singleLevel"/>
    <w:tmpl w:val="8A6A1C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3ZjM4MTNlMjUzOTk1MTNiMzMwZDQ0MjVjZmRhOWIifQ=="/>
  </w:docVars>
  <w:rsids>
    <w:rsidRoot w:val="07266535"/>
    <w:rsid w:val="07266535"/>
    <w:rsid w:val="66A0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2024-01-08T16:26:00Z</dcterms:created>
  <dc:creator>WPS_1647017683</dc:creator>
  <cp:lastModifiedBy>WPS_1647017683</cp:lastModifiedBy>
  <dcterms:modified xsi:type="dcterms:W3CDTF">2024-01-09T05:46:55Z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5911A2CBB85B44459FA62B5EEEB6D50C_13</vt:lpwstr>
  </property>
</Properties>
</file>