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sz w:val="32"/>
          <w:szCs w:val="32"/>
        </w:rPr>
      </w:pPr>
      <w:bookmarkStart w:id="0" w:name="_Toc182121124"/>
      <w:bookmarkStart w:id="1" w:name="_Toc184480090"/>
    </w:p>
    <w:p>
      <w:pPr>
        <w:rPr>
          <w:rFonts w:ascii="Arial" w:hAnsi="Arial" w:eastAsia="黑体" w:cs="Arial"/>
          <w:b/>
          <w:sz w:val="32"/>
        </w:rPr>
      </w:pPr>
      <w:r>
        <w:rPr>
          <w:rFonts w:ascii="Arial" w:hAnsi="Arial" w:eastAsia="黑体" w:cs="Arial"/>
          <w:sz w:val="32"/>
          <w:szCs w:val="32"/>
        </w:rPr>
        <w:t xml:space="preserve"> </w:t>
      </w:r>
    </w:p>
    <w:p>
      <w:pPr>
        <w:rPr>
          <w:rFonts w:ascii="Arial" w:hAnsi="Arial" w:eastAsia="黑体" w:cs="Arial"/>
          <w:b/>
          <w:sz w:val="32"/>
        </w:rPr>
      </w:pPr>
    </w:p>
    <w:p>
      <w:pPr>
        <w:rPr>
          <w:rFonts w:ascii="Arial" w:hAnsi="Arial" w:eastAsia="黑体" w:cs="Arial"/>
          <w:b/>
          <w:sz w:val="32"/>
        </w:rPr>
      </w:pPr>
    </w:p>
    <w:p>
      <w:pPr>
        <w:rPr>
          <w:rFonts w:ascii="Arial" w:hAnsi="Arial" w:eastAsia="黑体" w:cs="Arial"/>
          <w:b/>
          <w:sz w:val="32"/>
        </w:rPr>
      </w:pPr>
    </w:p>
    <w:p>
      <w:pPr>
        <w:rPr>
          <w:rFonts w:ascii="Arial" w:hAnsi="Arial" w:eastAsia="黑体" w:cs="Arial"/>
          <w:b/>
          <w:sz w:val="32"/>
        </w:rPr>
      </w:pPr>
    </w:p>
    <w:p>
      <w:pPr>
        <w:rPr>
          <w:rFonts w:ascii="Arial" w:hAnsi="Arial" w:eastAsia="黑体" w:cs="Arial"/>
          <w:b/>
          <w:sz w:val="32"/>
        </w:rPr>
      </w:pPr>
    </w:p>
    <w:p>
      <w:pPr>
        <w:jc w:val="center"/>
        <w:rPr>
          <w:rFonts w:ascii="Arial" w:hAnsi="Arial" w:eastAsia="黑体" w:cs="Arial"/>
          <w:b/>
          <w:sz w:val="32"/>
        </w:rPr>
      </w:pPr>
    </w:p>
    <w:p>
      <w:pPr>
        <w:keepNext w:val="0"/>
        <w:keepLines w:val="0"/>
        <w:widowControl/>
        <w:suppressLineNumbers w:val="0"/>
        <w:spacing w:line="360" w:lineRule="auto"/>
        <w:jc w:val="center"/>
      </w:pPr>
      <w:r>
        <w:rPr>
          <w:rFonts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  <w:t>中国航空工业集团有限公司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</w:pPr>
      <w:r>
        <w:rPr>
          <w:rFonts w:hint="eastAsia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  <w:t>资金收支预算</w:t>
      </w:r>
      <w:r>
        <w:rPr>
          <w:rFonts w:hint="default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  <w:t>系统操作手册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</w:pPr>
      <w:r>
        <w:rPr>
          <w:rFonts w:hint="eastAsia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  <w:t>（业务人员）</w:t>
      </w:r>
    </w:p>
    <w:p>
      <w:pPr>
        <w:rPr>
          <w:rFonts w:ascii="Arial" w:hAnsi="Arial" w:eastAsia="黑体" w:cs="Arial"/>
          <w:b/>
          <w:sz w:val="32"/>
        </w:rPr>
      </w:pPr>
    </w:p>
    <w:p>
      <w:pPr>
        <w:rPr>
          <w:rFonts w:ascii="Arial" w:hAnsi="Arial" w:eastAsia="黑体" w:cs="Arial"/>
          <w:b/>
          <w:sz w:val="32"/>
        </w:rPr>
      </w:pPr>
    </w:p>
    <w:p>
      <w:pPr>
        <w:tabs>
          <w:tab w:val="left" w:pos="4395"/>
        </w:tabs>
        <w:spacing w:line="1600" w:lineRule="exact"/>
        <w:jc w:val="center"/>
        <w:rPr>
          <w:rFonts w:ascii="Arial" w:hAnsi="Arial" w:eastAsia="黑体" w:cs="Arial"/>
          <w:b/>
          <w:sz w:val="72"/>
          <w:szCs w:val="7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992505</wp:posOffset>
                </wp:positionV>
                <wp:extent cx="3695700" cy="895350"/>
                <wp:effectExtent l="13970" t="13970" r="24130" b="241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1660" y="5703570"/>
                          <a:ext cx="3695700" cy="895350"/>
                        </a:xfrm>
                        <a:prstGeom prst="rect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PingFang SC" w:hAnsi="PingFang SC" w:eastAsia="PingFang SC" w:cs="PingFang SC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中国航空工业集团有限公司版权所有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hint="default" w:ascii="PingFang SC" w:hAnsi="PingFang SC" w:eastAsia="PingFang SC" w:cs="PingFang SC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仅限用于</w:t>
                            </w:r>
                            <w:r>
                              <w:rPr>
                                <w:rFonts w:ascii="HYShuSongErKW" w:hAnsi="HYShuSongErKW" w:eastAsia="HYShuSongErKW" w:cs="HYShuSongErKW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集团公司</w:t>
                            </w:r>
                            <w:r>
                              <w:rPr>
                                <w:rFonts w:hint="default" w:ascii="PingFang SC" w:hAnsi="PingFang SC" w:eastAsia="PingFang SC" w:cs="PingFang SC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及所属单位进行</w:t>
                            </w:r>
                            <w:r>
                              <w:rPr>
                                <w:rFonts w:hint="eastAsia" w:ascii="PingFang SC" w:hAnsi="PingFang SC" w:eastAsia="PingFang SC" w:cs="PingFang SC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资金收支预算</w:t>
                            </w:r>
                            <w:r>
                              <w:rPr>
                                <w:rFonts w:hint="default" w:ascii="PingFang SC" w:hAnsi="PingFang SC" w:eastAsia="PingFang SC" w:cs="PingFang SC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管理参考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2pt;margin-top:78.15pt;height:70.5pt;width:291pt;z-index:251659264;v-text-anchor:middle;mso-width-relative:page;mso-height-relative:page;" fillcolor="#FFFFFF [3201]" filled="t" stroked="t" coordsize="21600,21600" o:gfxdata="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C4vUo&#10;1wAAAAsBAAAPAAAAAAAAAAEAIAAAACIAAABkcnMvZG93bnJldi54bWxQSwECFAAUAAAACACHTuJA&#10;kyCdwZQCAAAtBQAADgAAAAAAAAABACAAAAAmAQAAZHJzL2Uyb0RvYy54bWxQSwUGAAAAAAYABgBZ&#10;AQAALAYAAAAA&#10;">
                <v:fill on="t" focussize="0,0"/>
                <v:stroke weight="2.25pt" color="#41719C [3204]" linestyle="thinThin" miterlimit="8" joinstyle="miter" dashstyle="1 1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pacing w:line="360" w:lineRule="auto"/>
                        <w:jc w:val="center"/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中国航空工业集团有限公司版权所有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pacing w:line="360" w:lineRule="auto"/>
                        <w:jc w:val="center"/>
                      </w:pPr>
                      <w:r>
                        <w:rPr>
                          <w:rFonts w:hint="default" w:ascii="PingFang SC" w:hAnsi="PingFang SC" w:eastAsia="PingFang SC" w:cs="PingFang SC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仅限用于</w:t>
                      </w:r>
                      <w:r>
                        <w:rPr>
                          <w:rFonts w:ascii="HYShuSongErKW" w:hAnsi="HYShuSongErKW" w:eastAsia="HYShuSongErKW" w:cs="HYShuSongErKW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集团公司</w:t>
                      </w:r>
                      <w:r>
                        <w:rPr>
                          <w:rFonts w:hint="default" w:ascii="PingFang SC" w:hAnsi="PingFang SC" w:eastAsia="PingFang SC" w:cs="PingFang SC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及所属单位进行</w:t>
                      </w:r>
                      <w:r>
                        <w:rPr>
                          <w:rFonts w:hint="eastAsia" w:ascii="PingFang SC" w:hAnsi="PingFang SC" w:eastAsia="PingFang SC" w:cs="PingFang SC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资金收支预算</w:t>
                      </w:r>
                      <w:r>
                        <w:rPr>
                          <w:rFonts w:hint="default" w:ascii="PingFang SC" w:hAnsi="PingFang SC" w:eastAsia="PingFang SC" w:cs="PingFang SC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管理参考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jc w:val="center"/>
        <w:rPr>
          <w:rFonts w:ascii="Arial" w:hAnsi="Arial" w:eastAsia="黑体" w:cs="Arial"/>
          <w:sz w:val="32"/>
          <w:szCs w:val="32"/>
        </w:rPr>
      </w:pPr>
    </w:p>
    <w:p>
      <w:pPr>
        <w:jc w:val="center"/>
        <w:rPr>
          <w:rFonts w:ascii="Arial" w:hAnsi="Arial" w:eastAsia="黑体" w:cs="Arial"/>
          <w:sz w:val="32"/>
          <w:szCs w:val="32"/>
        </w:rPr>
      </w:pPr>
    </w:p>
    <w:p>
      <w:pPr>
        <w:keepNext w:val="0"/>
        <w:keepLines w:val="0"/>
        <w:widowControl/>
        <w:suppressLineNumbers w:val="0"/>
        <w:jc w:val="center"/>
      </w:pPr>
      <w:r>
        <w:rPr>
          <w:rFonts w:ascii="Helvetica Neue" w:hAnsi="Helvetica Neue" w:eastAsia="Helvetica Neue" w:cs="Helvetica Neue"/>
          <w:color w:val="000008"/>
          <w:kern w:val="0"/>
          <w:sz w:val="31"/>
          <w:szCs w:val="31"/>
          <w:lang w:val="en-US" w:eastAsia="zh-CN" w:bidi="ar"/>
        </w:rPr>
        <w:t>202</w:t>
      </w:r>
      <w:r>
        <w:rPr>
          <w:rFonts w:hint="eastAsia" w:ascii="Helvetica Neue" w:hAnsi="Helvetica Neue" w:eastAsia="Helvetica Neue" w:cs="Helvetica Neue"/>
          <w:color w:val="000008"/>
          <w:kern w:val="0"/>
          <w:sz w:val="31"/>
          <w:szCs w:val="31"/>
          <w:lang w:val="en-US" w:eastAsia="zh-CN" w:bidi="ar"/>
        </w:rPr>
        <w:t>3</w:t>
      </w:r>
      <w:r>
        <w:rPr>
          <w:rFonts w:ascii="Helvetica Neue" w:hAnsi="Helvetica Neue" w:eastAsia="Helvetica Neue" w:cs="Helvetica Neue"/>
          <w:color w:val="000008"/>
          <w:kern w:val="0"/>
          <w:sz w:val="31"/>
          <w:szCs w:val="31"/>
          <w:lang w:val="en-US" w:eastAsia="zh-CN" w:bidi="ar"/>
        </w:rPr>
        <w:t xml:space="preserve"> </w:t>
      </w:r>
      <w:r>
        <w:rPr>
          <w:rFonts w:ascii="HYShuSongErKW" w:hAnsi="HYShuSongErKW" w:eastAsia="HYShuSongErKW" w:cs="HYShuSongErKW"/>
          <w:b/>
          <w:bCs/>
          <w:color w:val="000008"/>
          <w:kern w:val="0"/>
          <w:sz w:val="31"/>
          <w:szCs w:val="31"/>
          <w:lang w:val="en-US" w:eastAsia="zh-CN" w:bidi="ar"/>
        </w:rPr>
        <w:t xml:space="preserve">年 </w:t>
      </w:r>
      <w:r>
        <w:rPr>
          <w:rFonts w:hint="eastAsia" w:ascii="HYShuSongErKW" w:hAnsi="HYShuSongErKW" w:eastAsia="HYShuSongErKW" w:cs="HYShuSongErKW"/>
          <w:b/>
          <w:bCs/>
          <w:color w:val="000008"/>
          <w:kern w:val="0"/>
          <w:sz w:val="31"/>
          <w:szCs w:val="31"/>
          <w:lang w:val="en-US" w:eastAsia="zh-CN" w:bidi="ar"/>
        </w:rPr>
        <w:t>6</w:t>
      </w:r>
      <w:r>
        <w:rPr>
          <w:rFonts w:hint="default" w:ascii="Helvetica Neue" w:hAnsi="Helvetica Neue" w:eastAsia="Helvetica Neue" w:cs="Helvetica Neue"/>
          <w:color w:val="000008"/>
          <w:kern w:val="0"/>
          <w:sz w:val="31"/>
          <w:szCs w:val="31"/>
          <w:lang w:val="en-US" w:eastAsia="zh-CN" w:bidi="ar"/>
        </w:rPr>
        <w:t xml:space="preserve"> </w:t>
      </w:r>
      <w:r>
        <w:rPr>
          <w:rFonts w:hint="default" w:ascii="HYShuSongErKW" w:hAnsi="HYShuSongErKW" w:eastAsia="HYShuSongErKW" w:cs="HYShuSongErKW"/>
          <w:b/>
          <w:bCs/>
          <w:color w:val="000008"/>
          <w:kern w:val="0"/>
          <w:sz w:val="31"/>
          <w:szCs w:val="31"/>
          <w:lang w:val="en-US" w:eastAsia="zh-CN" w:bidi="ar"/>
        </w:rPr>
        <w:t>月</w:t>
      </w:r>
    </w:p>
    <w:p>
      <w:pPr>
        <w:jc w:val="center"/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spacing w:line="240" w:lineRule="atLeast"/>
        <w:jc w:val="center"/>
        <w:rPr>
          <w:rFonts w:ascii="Arial" w:hAnsi="Arial" w:eastAsia="黑体" w:cs="Arial"/>
          <w:b/>
          <w:sz w:val="32"/>
        </w:rPr>
      </w:pPr>
    </w:p>
    <w:p>
      <w:pPr>
        <w:spacing w:line="400" w:lineRule="exact"/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180340</wp:posOffset>
                </wp:positionV>
                <wp:extent cx="6143625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.65pt;margin-top:14.2pt;height:0pt;width:483.75pt;z-index:251661312;mso-width-relative:page;mso-height-relative:page;" filled="f" stroked="t" coordsize="21600,21600" o:gfxdata="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6&#10;kuBB2AAAAAcBAAAPAAAAAAAAAAEAIAAAACIAAABkcnMvZG93bnJldi54bWxQSwECFAAUAAAACACH&#10;TuJAkiNWVusBAAC2AwAADgAAAAAAAAABACAAAAAnAQAAZHJzL2Uyb0RvYy54bWxQSwUGAAAAAAYA&#10;BgBZAQAAhAUAAAAA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180340</wp:posOffset>
                </wp:positionV>
                <wp:extent cx="605536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536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35pt;margin-top:14.2pt;height:0pt;width:476.8pt;z-index:251660288;mso-width-relative:page;mso-height-relative:page;" filled="f" stroked="t" coordsize="21600,21600" o:gfxdata="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y&#10;eSbd2QAAAAgBAAAPAAAAAAAAAAEAIAAAACIAAABkcnMvZG93bnJldi54bWxQSwECFAAUAAAACACH&#10;TuJAM6jf0eoBAAC2AwAADgAAAAAAAAABACAAAAAoAQAAZHJzL2Uyb0RvYy54bWxQSwUGAAAAAAYA&#10;BgBZAQAAhAUAAAAA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  <w:szCs w:val="32"/>
        </w:rPr>
        <w:br w:type="page"/>
      </w:r>
      <w:bookmarkStart w:id="2" w:name="OLE_LINK4"/>
      <w:bookmarkStart w:id="3" w:name="OLE_LINK3"/>
    </w:p>
    <w:bookmarkEnd w:id="2"/>
    <w:bookmarkEnd w:id="3"/>
    <w:p>
      <w:pPr>
        <w:jc w:val="center"/>
        <w:rPr>
          <w:rFonts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目录</w:t>
      </w:r>
    </w:p>
    <w:p>
      <w:pPr>
        <w:ind w:firstLine="542" w:firstLineChars="300"/>
        <w:jc w:val="center"/>
        <w:rPr>
          <w:rFonts w:ascii="黑体" w:hAnsi="黑体" w:eastAsia="黑体"/>
          <w:b/>
          <w:sz w:val="18"/>
          <w:szCs w:val="18"/>
        </w:rPr>
      </w:pPr>
    </w:p>
    <w:p>
      <w:pPr>
        <w:ind w:firstLine="542" w:firstLineChars="300"/>
        <w:jc w:val="center"/>
        <w:rPr>
          <w:rFonts w:ascii="黑体" w:hAnsi="黑体" w:eastAsia="黑体"/>
          <w:b/>
          <w:sz w:val="18"/>
          <w:szCs w:val="18"/>
        </w:rPr>
      </w:pPr>
    </w:p>
    <w:p>
      <w:pPr>
        <w:spacing w:line="360" w:lineRule="auto"/>
        <w:ind w:firstLine="542" w:firstLineChars="300"/>
        <w:jc w:val="center"/>
        <w:rPr>
          <w:rFonts w:ascii="黑体" w:hAnsi="黑体" w:eastAsia="黑体"/>
          <w:b/>
          <w:sz w:val="18"/>
          <w:szCs w:val="18"/>
        </w:rPr>
      </w:pP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b/>
          <w:sz w:val="24"/>
          <w:szCs w:val="24"/>
        </w:rPr>
        <w:fldChar w:fldCharType="begin"/>
      </w:r>
      <w:r>
        <w:rPr>
          <w:rFonts w:ascii="Arial" w:hAnsi="Arial" w:cs="Arial"/>
          <w:b/>
          <w:sz w:val="24"/>
          <w:szCs w:val="24"/>
        </w:rPr>
        <w:instrText xml:space="preserve"> TOC \o "1-2" \h \z \u </w:instrText>
      </w:r>
      <w:r>
        <w:rPr>
          <w:rFonts w:ascii="Arial" w:hAnsi="Arial" w:cs="Arial"/>
          <w:b/>
          <w:sz w:val="24"/>
          <w:szCs w:val="24"/>
        </w:rPr>
        <w:fldChar w:fldCharType="separate"/>
      </w: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_Toc1798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>一、 系统概述</w:t>
      </w:r>
      <w:r>
        <w:tab/>
      </w:r>
      <w:r>
        <w:fldChar w:fldCharType="begin"/>
      </w:r>
      <w:r>
        <w:instrText xml:space="preserve"> PAGEREF _Toc1798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_Toc4058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1.1 </w:t>
      </w:r>
      <w:r>
        <w:rPr>
          <w:rFonts w:hint="eastAsia"/>
        </w:rPr>
        <w:t>系统介绍</w:t>
      </w:r>
      <w:r>
        <w:tab/>
      </w:r>
      <w:r>
        <w:fldChar w:fldCharType="begin"/>
      </w:r>
      <w:r>
        <w:instrText xml:space="preserve"> PAGEREF _Toc4058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_Toc29080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1.2 </w:t>
      </w:r>
      <w:r>
        <w:rPr>
          <w:rFonts w:hint="eastAsia"/>
        </w:rPr>
        <w:t>软硬件环境</w:t>
      </w:r>
      <w:r>
        <w:tab/>
      </w:r>
      <w:r>
        <w:fldChar w:fldCharType="begin"/>
      </w:r>
      <w:r>
        <w:instrText xml:space="preserve"> PAGEREF _Toc29080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_Toc32353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>二、 系统</w:t>
      </w:r>
      <w:r>
        <w:rPr>
          <w:rFonts w:hint="eastAsia" w:ascii="Arial" w:hAnsi="Arial" w:cs="Arial"/>
          <w:lang w:eastAsia="zh-CN"/>
        </w:rPr>
        <w:t>登录</w:t>
      </w:r>
      <w:r>
        <w:tab/>
      </w:r>
      <w:r>
        <w:fldChar w:fldCharType="begin"/>
      </w:r>
      <w:r>
        <w:instrText xml:space="preserve"> PAGEREF _Toc32353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_Toc3567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2.1 </w:t>
      </w:r>
      <w:r>
        <w:rPr>
          <w:rFonts w:hint="eastAsia"/>
          <w:lang w:eastAsia="zh-CN"/>
        </w:rPr>
        <w:t>登录地址</w:t>
      </w:r>
      <w:r>
        <w:tab/>
      </w:r>
      <w:r>
        <w:fldChar w:fldCharType="begin"/>
      </w:r>
      <w:r>
        <w:instrText xml:space="preserve"> PAGEREF _Toc3567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_Toc6584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2.2 </w:t>
      </w:r>
      <w:r>
        <w:rPr>
          <w:rFonts w:hint="eastAsia"/>
          <w:lang w:eastAsia="zh-CN"/>
        </w:rPr>
        <w:t>登录首页</w:t>
      </w:r>
      <w:r>
        <w:tab/>
      </w:r>
      <w:r>
        <w:fldChar w:fldCharType="begin"/>
      </w:r>
      <w:r>
        <w:instrText xml:space="preserve"> PAGEREF _Toc6584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_Toc29297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>三、 通用功能</w:t>
      </w:r>
      <w:r>
        <w:tab/>
      </w:r>
      <w:r>
        <w:fldChar w:fldCharType="begin"/>
      </w:r>
      <w:r>
        <w:instrText xml:space="preserve"> PAGEREF _Toc29297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_Toc12730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  <w:bCs/>
          <w:lang w:val="en-US" w:eastAsia="zh-CN"/>
        </w:rPr>
        <w:t xml:space="preserve">3.1 </w:t>
      </w:r>
      <w:r>
        <w:rPr>
          <w:rFonts w:hint="eastAsia"/>
          <w:bCs/>
          <w:lang w:val="en-US" w:eastAsia="zh-CN"/>
        </w:rPr>
        <w:t>页面风格</w:t>
      </w:r>
      <w:r>
        <w:tab/>
      </w:r>
      <w:r>
        <w:fldChar w:fldCharType="begin"/>
      </w:r>
      <w:r>
        <w:instrText xml:space="preserve"> PAGEREF _Toc12730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_Toc7793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3.2 </w:t>
      </w:r>
      <w:r>
        <w:rPr>
          <w:rFonts w:hint="eastAsia"/>
          <w:lang w:val="en-US" w:eastAsia="zh-CN"/>
        </w:rPr>
        <w:t>通用按钮约定</w:t>
      </w:r>
      <w:r>
        <w:tab/>
      </w:r>
      <w:r>
        <w:fldChar w:fldCharType="begin"/>
      </w:r>
      <w:r>
        <w:instrText xml:space="preserve"> PAGEREF _Toc7793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_Toc967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 xml:space="preserve">四、 </w:t>
      </w:r>
      <w:r>
        <w:rPr>
          <w:rFonts w:hint="eastAsia" w:ascii="Arial" w:hAnsi="Arial" w:cs="Arial"/>
          <w:lang w:val="en-US" w:eastAsia="zh-CN"/>
        </w:rPr>
        <w:t>常见业务场景及操作步骤</w:t>
      </w:r>
      <w:r>
        <w:tab/>
      </w:r>
      <w:r>
        <w:fldChar w:fldCharType="begin"/>
      </w:r>
      <w:r>
        <w:instrText xml:space="preserve"> PAGEREF _Toc967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_Toc4031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一、 如何编制预算计划</w:t>
      </w:r>
      <w:r>
        <w:tab/>
      </w:r>
      <w:r>
        <w:fldChar w:fldCharType="begin"/>
      </w:r>
      <w:r>
        <w:instrText xml:space="preserve"> PAGEREF _Toc4031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_Toc15516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_Toc15516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_Toc30121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_Toc30121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_Toc13763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_Toc13763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_Toc29985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二、 如何汇总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单位</w:t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预算计划</w:t>
      </w:r>
      <w:r>
        <w:tab/>
      </w:r>
      <w:r>
        <w:fldChar w:fldCharType="begin"/>
      </w:r>
      <w:r>
        <w:instrText xml:space="preserve"> PAGEREF _Toc29985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_Toc13238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_Toc13238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_Toc20189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_Toc20189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_Toc20970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_Toc20970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_Toc32684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三、 如何汇总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逐级</w:t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预算计划</w:t>
      </w:r>
      <w:r>
        <w:tab/>
      </w:r>
      <w:r>
        <w:fldChar w:fldCharType="begin"/>
      </w:r>
      <w:r>
        <w:instrText xml:space="preserve"> PAGEREF _Toc32684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_Toc29787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_Toc29787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_Toc29790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_Toc29790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_Toc4690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_Toc4690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_Toc30186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四、 如何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编制预算调整</w:t>
      </w:r>
      <w:r>
        <w:tab/>
      </w:r>
      <w:r>
        <w:fldChar w:fldCharType="begin"/>
      </w:r>
      <w:r>
        <w:instrText xml:space="preserve"> PAGEREF _Toc30186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_Toc3194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_Toc3194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_Toc22451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_Toc22451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_Toc4223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_Toc4223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_Toc290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 xml:space="preserve">五、 </w:t>
      </w:r>
      <w:r>
        <w:rPr>
          <w:rFonts w:hint="eastAsia" w:ascii="Arial" w:hAnsi="Times New Roman" w:eastAsia="宋体" w:cs="Times New Roman"/>
          <w:kern w:val="2"/>
          <w:szCs w:val="24"/>
          <w:highlight w:val="none"/>
          <w:lang w:val="en-US" w:eastAsia="zh-CN" w:bidi="ar-SA"/>
        </w:rPr>
        <w:t>客观事项剔除</w:t>
      </w:r>
      <w:r>
        <w:tab/>
      </w:r>
      <w:r>
        <w:fldChar w:fldCharType="begin"/>
      </w:r>
      <w:r>
        <w:instrText xml:space="preserve"> PAGEREF _Toc290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_Toc24272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_Toc24272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_Toc29939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_Toc29939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_Toc11061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_Toc11061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_Toc19418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六、 如何查询业务数据</w:t>
      </w:r>
      <w:r>
        <w:tab/>
      </w:r>
      <w:r>
        <w:fldChar w:fldCharType="begin"/>
      </w:r>
      <w:r>
        <w:instrText xml:space="preserve"> PAGEREF _Toc19418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_Toc22364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_Toc22364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_Toc1395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_Toc1395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_Toc32395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bCs/>
          <w:kern w:val="2"/>
          <w:szCs w:val="24"/>
          <w:lang w:val="en-US" w:eastAsia="zh-CN" w:bidi="ar-SA"/>
        </w:rPr>
        <w:t>路径一</w:t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：统计查询功能菜单</w:t>
      </w:r>
      <w:r>
        <w:tab/>
      </w:r>
      <w:r>
        <w:fldChar w:fldCharType="begin"/>
      </w:r>
      <w:r>
        <w:instrText xml:space="preserve"> PAGEREF _Toc32395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_Toc27035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bCs/>
          <w:kern w:val="2"/>
          <w:szCs w:val="24"/>
          <w:lang w:val="en-US" w:eastAsia="zh-CN" w:bidi="ar-SA"/>
        </w:rPr>
        <w:t>路径二</w:t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：【首页】</w:t>
      </w:r>
      <w:r>
        <w:tab/>
      </w:r>
      <w:r>
        <w:fldChar w:fldCharType="begin"/>
      </w:r>
      <w:r>
        <w:instrText xml:space="preserve"> PAGEREF _Toc27035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spacing w:line="360" w:lineRule="auto"/>
        <w:ind w:firstLine="630" w:firstLineChars="300"/>
        <w:rPr>
          <w:szCs w:val="21"/>
        </w:rPr>
      </w:pPr>
      <w:r>
        <w:rPr>
          <w:rFonts w:ascii="Arial" w:hAnsi="Arial" w:cs="Arial"/>
          <w:szCs w:val="24"/>
        </w:rPr>
        <w:fldChar w:fldCharType="end"/>
      </w:r>
    </w:p>
    <w:p>
      <w:pPr>
        <w:ind w:firstLine="630" w:firstLineChars="300"/>
        <w:rPr>
          <w:szCs w:val="21"/>
        </w:rPr>
        <w:sectPr>
          <w:headerReference r:id="rId5" w:type="first"/>
          <w:footerReference r:id="rId7" w:type="first"/>
          <w:headerReference r:id="rId3" w:type="default"/>
          <w:footerReference r:id="rId6" w:type="default"/>
          <w:headerReference r:id="rId4" w:type="even"/>
          <w:pgSz w:w="11907" w:h="16839"/>
          <w:pgMar w:top="851" w:right="1077" w:bottom="851" w:left="1077" w:header="851" w:footer="851" w:gutter="0"/>
          <w:pgNumType w:fmt="decimal"/>
          <w:cols w:space="720" w:num="1"/>
          <w:titlePg/>
          <w:docGrid w:linePitch="272" w:charSpace="0"/>
        </w:sectPr>
      </w:pPr>
    </w:p>
    <w:bookmarkEnd w:id="0"/>
    <w:bookmarkEnd w:id="1"/>
    <w:p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ascii="Arial" w:hAnsi="Arial" w:cs="Arial"/>
        </w:rPr>
      </w:pPr>
      <w:bookmarkStart w:id="4" w:name="_Toc1798"/>
      <w:bookmarkStart w:id="5" w:name="_Toc247620708"/>
      <w:r>
        <w:rPr>
          <w:rFonts w:hint="eastAsia" w:ascii="Arial" w:hAnsi="Arial" w:cs="Arial"/>
        </w:rPr>
        <w:t>系统概述</w:t>
      </w:r>
      <w:bookmarkEnd w:id="4"/>
      <w:bookmarkEnd w:id="5"/>
      <w:bookmarkStart w:id="6" w:name="_Toc239151931"/>
    </w:p>
    <w:p>
      <w:pPr>
        <w:pStyle w:val="35"/>
        <w:keepNext/>
        <w:keepLines/>
        <w:widowControl/>
        <w:numPr>
          <w:ilvl w:val="0"/>
          <w:numId w:val="6"/>
        </w:numPr>
        <w:spacing w:before="260" w:after="260"/>
        <w:ind w:firstLineChars="0"/>
        <w:jc w:val="left"/>
        <w:outlineLvl w:val="1"/>
        <w:rPr>
          <w:rFonts w:ascii="黑体" w:hAnsi="Arial" w:eastAsia="黑体"/>
          <w:b/>
          <w:vanish/>
          <w:kern w:val="0"/>
          <w:sz w:val="30"/>
          <w:lang w:val="zh-CN"/>
        </w:rPr>
      </w:pPr>
      <w:bookmarkStart w:id="7" w:name="_Toc309309059"/>
      <w:bookmarkEnd w:id="7"/>
      <w:bookmarkStart w:id="8" w:name="_Toc311734357"/>
      <w:bookmarkEnd w:id="8"/>
      <w:bookmarkStart w:id="9" w:name="_Toc309309021"/>
      <w:bookmarkEnd w:id="9"/>
      <w:bookmarkStart w:id="10" w:name="_Toc236733088"/>
      <w:bookmarkStart w:id="11" w:name="_Ref152043981"/>
      <w:bookmarkStart w:id="12" w:name="_Toc247620709"/>
    </w:p>
    <w:p>
      <w:pPr>
        <w:pStyle w:val="35"/>
        <w:keepNext/>
        <w:keepLines/>
        <w:widowControl/>
        <w:numPr>
          <w:ilvl w:val="0"/>
          <w:numId w:val="6"/>
        </w:numPr>
        <w:spacing w:before="260" w:after="260"/>
        <w:ind w:firstLineChars="0"/>
        <w:jc w:val="left"/>
        <w:outlineLvl w:val="1"/>
        <w:rPr>
          <w:rFonts w:ascii="黑体" w:hAnsi="Arial" w:eastAsia="黑体"/>
          <w:b/>
          <w:vanish/>
          <w:kern w:val="0"/>
          <w:sz w:val="30"/>
          <w:lang w:val="zh-CN"/>
        </w:rPr>
      </w:pPr>
      <w:bookmarkStart w:id="13" w:name="_Toc309309022"/>
      <w:bookmarkEnd w:id="13"/>
      <w:bookmarkStart w:id="14" w:name="_Toc311734358"/>
      <w:bookmarkEnd w:id="14"/>
      <w:bookmarkStart w:id="15" w:name="_Toc309309060"/>
      <w:bookmarkEnd w:id="15"/>
    </w:p>
    <w:bookmarkEnd w:id="10"/>
    <w:bookmarkEnd w:id="11"/>
    <w:bookmarkEnd w:id="12"/>
    <w:p>
      <w:pPr>
        <w:pStyle w:val="3"/>
        <w:widowControl/>
        <w:numPr>
          <w:ilvl w:val="1"/>
          <w:numId w:val="7"/>
        </w:numPr>
        <w:spacing w:before="260" w:beforeAutospacing="0" w:after="260" w:afterAutospacing="0" w:line="240" w:lineRule="auto"/>
      </w:pPr>
      <w:bookmarkStart w:id="16" w:name="_Toc4058"/>
      <w:bookmarkStart w:id="17" w:name="_Toc9259"/>
      <w:r>
        <w:rPr>
          <w:rFonts w:hint="eastAsia"/>
        </w:rPr>
        <w:t>系统介绍</w:t>
      </w:r>
      <w:bookmarkEnd w:id="16"/>
      <w:bookmarkEnd w:id="17"/>
    </w:p>
    <w:p>
      <w:pPr>
        <w:spacing w:line="360" w:lineRule="auto"/>
        <w:ind w:firstLine="420"/>
        <w:rPr>
          <w:rFonts w:hint="eastAsia" w:ascii="宋体" w:hAnsi="宋体"/>
          <w:color w:val="auto"/>
          <w:sz w:val="24"/>
          <w:szCs w:val="32"/>
          <w:lang w:val="en-US" w:eastAsia="zh-CN"/>
        </w:rPr>
      </w:pPr>
      <w:bookmarkStart w:id="18" w:name="_Toc247620710"/>
      <w:bookmarkStart w:id="19" w:name="_Toc5777"/>
      <w:r>
        <w:rPr>
          <w:rFonts w:hint="eastAsia" w:ascii="宋体" w:hAnsi="宋体"/>
          <w:color w:val="auto"/>
          <w:sz w:val="24"/>
          <w:szCs w:val="32"/>
          <w:lang w:val="en-US" w:eastAsia="zh-CN"/>
        </w:rPr>
        <w:t>资金预算管理是为满足集团公司战略发展和经营管理需要，以业务预算为依据，对集团公司所属单位年度、月度的资金预算和资金收支计划进行科学预测和统筹安排。通过实施集团公司资金预算管理，建设资金收支预算管理系统，借助信息化手段规范和加强对资金流入流出的预算管理，提高各级单位现金流管理的计划性、科学性和准确度，提高资金使用效益和资金运营效率，并通过加强预算外资金支出的管控，提高资金风险防范能力和水平。</w:t>
      </w:r>
    </w:p>
    <w:p>
      <w:pPr>
        <w:spacing w:line="360" w:lineRule="auto"/>
        <w:ind w:firstLine="420"/>
        <w:rPr>
          <w:rFonts w:hint="eastAsia" w:ascii="宋体" w:hAnsi="宋体"/>
          <w:color w:val="auto"/>
          <w:sz w:val="24"/>
          <w:szCs w:val="32"/>
        </w:rPr>
      </w:pPr>
      <w:r>
        <w:rPr>
          <w:rFonts w:hint="eastAsia" w:ascii="宋体" w:hAnsi="宋体"/>
          <w:color w:val="auto"/>
          <w:sz w:val="24"/>
          <w:szCs w:val="32"/>
        </w:rPr>
        <w:t>通过建设资金收支预算管理系统，可以对集团公司各级单位资金预算（计划）的编制、上报、审批、执行、调整、分析评价等实施全流程、线上化管理，并逐步推进预算系统与财务公司网银系统联通，以预算控制支付，实现“无预算不开支、有预算不超支”。</w:t>
      </w:r>
    </w:p>
    <w:p>
      <w:pPr>
        <w:pStyle w:val="3"/>
        <w:widowControl/>
        <w:numPr>
          <w:ilvl w:val="1"/>
          <w:numId w:val="7"/>
        </w:numPr>
        <w:spacing w:before="260" w:beforeAutospacing="0" w:after="260" w:afterAutospacing="0" w:line="240" w:lineRule="auto"/>
        <w:ind w:left="567" w:hanging="567"/>
      </w:pPr>
      <w:bookmarkStart w:id="20" w:name="_Toc29080"/>
      <w:r>
        <w:rPr>
          <w:rFonts w:hint="eastAsia"/>
        </w:rPr>
        <w:t>软硬件环境</w:t>
      </w:r>
      <w:bookmarkEnd w:id="18"/>
      <w:bookmarkEnd w:id="19"/>
      <w:bookmarkEnd w:id="20"/>
    </w:p>
    <w:p>
      <w:pPr>
        <w:pStyle w:val="35"/>
        <w:keepNext/>
        <w:keepLines/>
        <w:widowControl/>
        <w:numPr>
          <w:ilvl w:val="0"/>
          <w:numId w:val="8"/>
        </w:numPr>
        <w:spacing w:before="260" w:after="260"/>
        <w:ind w:left="432" w:hanging="432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  <w:bookmarkStart w:id="21" w:name="_Toc247620711"/>
    </w:p>
    <w:p>
      <w:pPr>
        <w:pStyle w:val="35"/>
        <w:keepNext/>
        <w:keepLines/>
        <w:widowControl/>
        <w:numPr>
          <w:ilvl w:val="0"/>
          <w:numId w:val="8"/>
        </w:numPr>
        <w:spacing w:before="260" w:after="260"/>
        <w:ind w:left="432" w:hanging="432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>
      <w:pPr>
        <w:pStyle w:val="35"/>
        <w:keepNext/>
        <w:keepLines/>
        <w:widowControl/>
        <w:numPr>
          <w:ilvl w:val="0"/>
          <w:numId w:val="8"/>
        </w:numPr>
        <w:spacing w:before="260" w:after="260"/>
        <w:ind w:left="432" w:hanging="432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>
      <w:pPr>
        <w:pStyle w:val="35"/>
        <w:keepNext/>
        <w:keepLines/>
        <w:widowControl/>
        <w:numPr>
          <w:ilvl w:val="1"/>
          <w:numId w:val="8"/>
        </w:numPr>
        <w:spacing w:before="260" w:after="260"/>
        <w:ind w:left="576" w:hanging="576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>
      <w:pPr>
        <w:pStyle w:val="35"/>
        <w:keepNext/>
        <w:keepLines/>
        <w:widowControl/>
        <w:numPr>
          <w:ilvl w:val="1"/>
          <w:numId w:val="8"/>
        </w:numPr>
        <w:spacing w:before="260" w:after="260"/>
        <w:ind w:left="576" w:hanging="576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>
      <w:pPr>
        <w:pStyle w:val="35"/>
        <w:keepNext/>
        <w:keepLines/>
        <w:widowControl/>
        <w:numPr>
          <w:ilvl w:val="1"/>
          <w:numId w:val="8"/>
        </w:numPr>
        <w:spacing w:before="260" w:after="260"/>
        <w:ind w:left="576" w:hanging="576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>
      <w:pPr>
        <w:pStyle w:val="4"/>
        <w:widowControl/>
        <w:numPr>
          <w:ilvl w:val="2"/>
          <w:numId w:val="7"/>
        </w:numPr>
        <w:tabs>
          <w:tab w:val="left" w:pos="576"/>
          <w:tab w:val="clear" w:pos="1430"/>
        </w:tabs>
        <w:spacing w:before="260" w:beforeAutospacing="0" w:after="260" w:afterAutospacing="0" w:line="240" w:lineRule="auto"/>
        <w:ind w:left="720" w:leftChars="0" w:hanging="720" w:firstLineChars="0"/>
        <w:rPr>
          <w:rFonts w:hint="eastAsia"/>
        </w:rPr>
      </w:pPr>
      <w:r>
        <w:rPr>
          <w:rFonts w:hint="eastAsia"/>
        </w:rPr>
        <w:t>软件环境</w:t>
      </w:r>
      <w:bookmarkEnd w:id="21"/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操作系统：</w:t>
      </w:r>
      <w:r>
        <w:rPr>
          <w:rFonts w:hint="eastAsia" w:ascii="宋体" w:hAnsi="宋体"/>
          <w:sz w:val="24"/>
          <w:szCs w:val="24"/>
        </w:rPr>
        <w:t>Windows XP、Windows7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</w:rPr>
        <w:t>Windows</w:t>
      </w:r>
      <w:r>
        <w:rPr>
          <w:rFonts w:hint="eastAsia" w:ascii="宋体" w:hAnsi="宋体"/>
          <w:sz w:val="24"/>
          <w:szCs w:val="24"/>
          <w:lang w:val="en-US" w:eastAsia="zh-CN"/>
        </w:rPr>
        <w:t>10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</w:rPr>
        <w:t>Windows</w:t>
      </w:r>
      <w:r>
        <w:rPr>
          <w:rFonts w:hint="eastAsia" w:ascii="宋体" w:hAnsi="宋体"/>
          <w:sz w:val="24"/>
          <w:szCs w:val="24"/>
          <w:lang w:val="en-US" w:eastAsia="zh-CN"/>
        </w:rPr>
        <w:t>11。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浏览器建议：使用google、edge、火狐浏览器、360浏览器需要切换到极速模式。</w:t>
      </w:r>
    </w:p>
    <w:p>
      <w:pPr>
        <w:pStyle w:val="4"/>
        <w:widowControl/>
        <w:numPr>
          <w:ilvl w:val="2"/>
          <w:numId w:val="7"/>
        </w:numPr>
        <w:tabs>
          <w:tab w:val="left" w:pos="576"/>
          <w:tab w:val="clear" w:pos="1430"/>
        </w:tabs>
        <w:spacing w:before="260" w:beforeAutospacing="0" w:after="260" w:afterAutospacing="0" w:line="240" w:lineRule="auto"/>
        <w:ind w:left="720" w:leftChars="0" w:hanging="720" w:firstLineChars="0"/>
        <w:rPr>
          <w:rFonts w:hint="eastAsia"/>
        </w:rPr>
      </w:pPr>
      <w:bookmarkStart w:id="22" w:name="_Toc236733089"/>
      <w:bookmarkStart w:id="23" w:name="_Toc247620712"/>
      <w:r>
        <w:rPr>
          <w:rFonts w:hint="eastAsia"/>
        </w:rPr>
        <w:t>硬件环境</w:t>
      </w:r>
      <w:bookmarkEnd w:id="22"/>
      <w:bookmarkEnd w:id="23"/>
    </w:p>
    <w:p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X86兼容的PC机。推荐的硬件配置：</w:t>
      </w:r>
    </w:p>
    <w:p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处理器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：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Core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i5</w:t>
      </w:r>
      <w:r>
        <w:rPr>
          <w:rFonts w:hint="eastAsia" w:ascii="Arial" w:hAnsi="Arial" w:cs="Arial"/>
          <w:i w:val="0"/>
          <w:iCs/>
          <w:sz w:val="24"/>
          <w:szCs w:val="24"/>
        </w:rPr>
        <w:t xml:space="preserve"> </w:t>
      </w:r>
      <w:r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  <w:t>2</w:t>
      </w:r>
      <w:r>
        <w:rPr>
          <w:rFonts w:hint="eastAsia" w:ascii="Arial" w:hAnsi="Arial" w:cs="Arial"/>
          <w:i w:val="0"/>
          <w:iCs/>
          <w:sz w:val="24"/>
          <w:szCs w:val="24"/>
        </w:rPr>
        <w:t>.0GHz 及以上。</w:t>
      </w:r>
    </w:p>
    <w:p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内存：</w:t>
      </w:r>
      <w:r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  <w:t>2G</w:t>
      </w:r>
      <w:r>
        <w:rPr>
          <w:rFonts w:hint="eastAsia" w:ascii="Arial" w:hAnsi="Arial" w:cs="Arial"/>
          <w:i w:val="0"/>
          <w:iCs/>
          <w:sz w:val="24"/>
          <w:szCs w:val="24"/>
        </w:rPr>
        <w:t>B</w:t>
      </w:r>
    </w:p>
    <w:p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彩色显示器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：</w:t>
      </w:r>
      <w:r>
        <w:rPr>
          <w:rFonts w:hint="eastAsia" w:ascii="Arial" w:hAnsi="Arial" w:cs="Arial"/>
          <w:i w:val="0"/>
          <w:iCs/>
          <w:sz w:val="24"/>
          <w:szCs w:val="24"/>
        </w:rPr>
        <w:t>分辨率1024x768。</w:t>
      </w:r>
    </w:p>
    <w:p>
      <w:pPr>
        <w:pStyle w:val="4"/>
        <w:widowControl/>
        <w:numPr>
          <w:ilvl w:val="2"/>
          <w:numId w:val="7"/>
        </w:numPr>
        <w:tabs>
          <w:tab w:val="left" w:pos="576"/>
          <w:tab w:val="clear" w:pos="1430"/>
        </w:tabs>
        <w:spacing w:before="260" w:beforeAutospacing="0" w:after="260" w:afterAutospacing="0" w:line="240" w:lineRule="auto"/>
        <w:ind w:left="720" w:leftChars="0" w:hanging="720" w:firstLineChars="0"/>
        <w:rPr>
          <w:rFonts w:hint="eastAsia"/>
        </w:rPr>
      </w:pPr>
      <w:bookmarkStart w:id="24" w:name="_Toc247620713"/>
      <w:bookmarkStart w:id="25" w:name="_Toc236733090"/>
      <w:r>
        <w:rPr>
          <w:rFonts w:hint="eastAsia"/>
        </w:rPr>
        <w:t>网络环境</w:t>
      </w:r>
      <w:bookmarkEnd w:id="24"/>
      <w:bookmarkEnd w:id="25"/>
    </w:p>
    <w:p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使用系统的过程中，需要通过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互联网</w:t>
      </w:r>
      <w:r>
        <w:rPr>
          <w:rFonts w:hint="eastAsia" w:ascii="Arial" w:hAnsi="Arial" w:cs="Arial"/>
          <w:i w:val="0"/>
          <w:iCs/>
          <w:sz w:val="24"/>
          <w:szCs w:val="24"/>
        </w:rPr>
        <w:t>网络访问集团公司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司库</w:t>
      </w:r>
      <w:r>
        <w:rPr>
          <w:rFonts w:hint="eastAsia" w:ascii="Arial" w:hAnsi="Arial" w:cs="Arial"/>
          <w:i w:val="0"/>
          <w:iCs/>
          <w:sz w:val="24"/>
          <w:szCs w:val="24"/>
        </w:rPr>
        <w:t>的服务器。因此，使用者的电脑必须能够连接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互联网</w:t>
      </w:r>
      <w:r>
        <w:rPr>
          <w:rFonts w:hint="eastAsia" w:ascii="Arial" w:hAnsi="Arial" w:cs="Arial"/>
          <w:i w:val="0"/>
          <w:iCs/>
          <w:sz w:val="24"/>
          <w:szCs w:val="24"/>
        </w:rPr>
        <w:t>。建议网络带宽</w:t>
      </w:r>
      <w:r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  <w:t>512</w:t>
      </w:r>
      <w:r>
        <w:rPr>
          <w:rFonts w:hint="eastAsia" w:ascii="Arial" w:hAnsi="Arial" w:cs="Arial"/>
          <w:i w:val="0"/>
          <w:iCs/>
          <w:sz w:val="24"/>
          <w:szCs w:val="24"/>
        </w:rPr>
        <w:t>Kbps以上。</w:t>
      </w:r>
    </w:p>
    <w:p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hint="eastAsia" w:ascii="Arial" w:hAnsi="Arial" w:cs="Arial"/>
        </w:rPr>
      </w:pPr>
      <w:bookmarkStart w:id="26" w:name="_Toc247620714"/>
      <w:bookmarkStart w:id="27" w:name="_Toc236733091"/>
      <w:bookmarkStart w:id="28" w:name="_Toc13278"/>
      <w:bookmarkStart w:id="29" w:name="_Toc32353"/>
      <w:r>
        <w:rPr>
          <w:rFonts w:hint="eastAsia" w:ascii="Arial" w:hAnsi="Arial" w:cs="Arial"/>
        </w:rPr>
        <w:t>系统</w:t>
      </w:r>
      <w:bookmarkEnd w:id="26"/>
      <w:bookmarkEnd w:id="27"/>
      <w:r>
        <w:rPr>
          <w:rFonts w:hint="eastAsia" w:ascii="Arial" w:hAnsi="Arial" w:cs="Arial"/>
          <w:lang w:eastAsia="zh-CN"/>
        </w:rPr>
        <w:t>登录</w:t>
      </w:r>
      <w:bookmarkEnd w:id="28"/>
      <w:bookmarkEnd w:id="29"/>
    </w:p>
    <w:p>
      <w:pPr>
        <w:pStyle w:val="35"/>
        <w:keepNext/>
        <w:keepLines/>
        <w:widowControl/>
        <w:numPr>
          <w:ilvl w:val="0"/>
          <w:numId w:val="7"/>
        </w:numPr>
        <w:spacing w:before="260" w:after="260"/>
        <w:ind w:firstLineChars="0"/>
        <w:jc w:val="left"/>
        <w:outlineLvl w:val="1"/>
        <w:rPr>
          <w:rFonts w:ascii="黑体" w:hAnsi="Arial" w:eastAsia="黑体"/>
          <w:b/>
          <w:vanish/>
          <w:kern w:val="0"/>
          <w:sz w:val="30"/>
          <w:lang w:val="zh-CN"/>
        </w:rPr>
      </w:pPr>
      <w:bookmarkStart w:id="30" w:name="_Toc311734362"/>
      <w:bookmarkEnd w:id="30"/>
      <w:bookmarkStart w:id="31" w:name="_Toc309309026"/>
      <w:bookmarkEnd w:id="31"/>
      <w:bookmarkStart w:id="32" w:name="_Toc309309067"/>
      <w:bookmarkEnd w:id="32"/>
      <w:bookmarkStart w:id="33" w:name="_Toc236733092"/>
      <w:bookmarkStart w:id="34" w:name="_Toc247620715"/>
    </w:p>
    <w:bookmarkEnd w:id="33"/>
    <w:bookmarkEnd w:id="34"/>
    <w:p>
      <w:pPr>
        <w:pStyle w:val="3"/>
        <w:widowControl/>
        <w:numPr>
          <w:ilvl w:val="1"/>
          <w:numId w:val="7"/>
        </w:numPr>
        <w:spacing w:before="260" w:beforeAutospacing="0" w:after="260" w:afterAutospacing="0" w:line="240" w:lineRule="auto"/>
      </w:pPr>
      <w:bookmarkStart w:id="35" w:name="_Toc3567"/>
      <w:bookmarkStart w:id="36" w:name="_Toc25003"/>
      <w:r>
        <w:rPr>
          <w:rFonts w:hint="eastAsia"/>
          <w:lang w:eastAsia="zh-CN"/>
        </w:rPr>
        <w:t>登录地址</w:t>
      </w:r>
      <w:bookmarkEnd w:id="35"/>
      <w:bookmarkEnd w:id="36"/>
    </w:p>
    <w:p>
      <w:pPr>
        <w:spacing w:line="360" w:lineRule="auto"/>
        <w:ind w:firstLine="480" w:firstLineChars="200"/>
        <w:rPr>
          <w:rFonts w:hint="eastAsia"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在浏览器输入司库系统访问地址。</w:t>
      </w:r>
    </w:p>
    <w:p>
      <w:pPr>
        <w:spacing w:line="360" w:lineRule="auto"/>
        <w:ind w:firstLine="480" w:firstLineChars="200"/>
        <w:rPr>
          <w:rFonts w:hint="eastAsia"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正式环境：https://trs.avicfc.com.cn/</w:t>
      </w:r>
    </w:p>
    <w:p>
      <w:pPr>
        <w:pStyle w:val="3"/>
        <w:widowControl/>
        <w:numPr>
          <w:ilvl w:val="1"/>
          <w:numId w:val="7"/>
        </w:numPr>
        <w:spacing w:before="260" w:beforeAutospacing="0" w:after="260" w:afterAutospacing="0" w:line="240" w:lineRule="auto"/>
        <w:ind w:left="567" w:hanging="567"/>
      </w:pPr>
      <w:bookmarkStart w:id="37" w:name="_Toc23964"/>
      <w:bookmarkStart w:id="38" w:name="_Toc6584"/>
      <w:r>
        <w:rPr>
          <w:rFonts w:hint="eastAsia"/>
          <w:lang w:eastAsia="zh-CN"/>
        </w:rPr>
        <w:t>登录首页</w:t>
      </w:r>
      <w:bookmarkEnd w:id="37"/>
      <w:bookmarkEnd w:id="38"/>
    </w:p>
    <w:p>
      <w:pPr>
        <w:pStyle w:val="5"/>
        <w:rPr>
          <w:rFonts w:hint="eastAsia"/>
          <w:lang w:eastAsia="zh-CN"/>
        </w:rPr>
      </w:pPr>
      <w:r>
        <w:drawing>
          <wp:inline distT="0" distB="0" distL="114300" distR="114300">
            <wp:extent cx="5395595" cy="2631440"/>
            <wp:effectExtent l="0" t="0" r="1905" b="1016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rcRect l="3312" t="724" r="2871" b="-72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</w:rPr>
        <w:t>输入用户名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</w:rPr>
        <w:t>密码</w:t>
      </w:r>
      <w:r>
        <w:rPr>
          <w:rFonts w:hint="eastAsia" w:ascii="宋体" w:hAnsi="宋体"/>
          <w:sz w:val="24"/>
          <w:szCs w:val="24"/>
          <w:lang w:eastAsia="zh-CN"/>
        </w:rPr>
        <w:t>和验证码（算式的结果）</w:t>
      </w:r>
      <w:r>
        <w:rPr>
          <w:rFonts w:hint="eastAsia" w:ascii="宋体" w:hAnsi="宋体"/>
          <w:sz w:val="24"/>
          <w:szCs w:val="24"/>
        </w:rPr>
        <w:t>后，点击【登录】按钮，进入系统</w:t>
      </w:r>
      <w:r>
        <w:rPr>
          <w:rFonts w:hint="eastAsia" w:ascii="宋体" w:hAnsi="宋体"/>
          <w:sz w:val="24"/>
          <w:szCs w:val="24"/>
          <w:lang w:eastAsia="zh-CN"/>
        </w:rPr>
        <w:t>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密码要求：初始密码为123456。第一次登录系统后修改密码。密码须以字母开头，包含字母、数字、符号，且长度不小于8位。</w:t>
      </w:r>
    </w:p>
    <w:p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hint="eastAsia" w:ascii="Arial" w:hAnsi="Arial" w:cs="Arial"/>
        </w:rPr>
      </w:pPr>
      <w:bookmarkStart w:id="39" w:name="_Toc22130"/>
      <w:bookmarkStart w:id="40" w:name="_Toc29297"/>
      <w:bookmarkStart w:id="41" w:name="_Toc247620718"/>
      <w:bookmarkStart w:id="42" w:name="_Toc236733095"/>
      <w:r>
        <w:rPr>
          <w:rFonts w:hint="eastAsia" w:ascii="Arial" w:hAnsi="Arial" w:cs="Arial"/>
        </w:rPr>
        <w:t>通用功能</w:t>
      </w:r>
      <w:bookmarkEnd w:id="39"/>
      <w:bookmarkEnd w:id="40"/>
      <w:bookmarkEnd w:id="41"/>
      <w:bookmarkEnd w:id="42"/>
    </w:p>
    <w:p>
      <w:pPr>
        <w:pStyle w:val="35"/>
        <w:keepNext/>
        <w:keepLines/>
        <w:widowControl/>
        <w:numPr>
          <w:ilvl w:val="0"/>
          <w:numId w:val="7"/>
        </w:numPr>
        <w:spacing w:before="260" w:after="260" w:line="360" w:lineRule="auto"/>
        <w:ind w:firstLineChars="0"/>
        <w:jc w:val="left"/>
        <w:outlineLvl w:val="1"/>
        <w:rPr>
          <w:rFonts w:ascii="黑体" w:hAnsi="Arial" w:eastAsia="黑体"/>
          <w:b/>
          <w:vanish/>
          <w:kern w:val="0"/>
          <w:sz w:val="30"/>
          <w:lang w:val="zh-CN"/>
        </w:rPr>
      </w:pPr>
      <w:bookmarkStart w:id="43" w:name="_Toc311734367"/>
      <w:bookmarkEnd w:id="43"/>
      <w:bookmarkStart w:id="44" w:name="_Toc309309072"/>
      <w:bookmarkEnd w:id="44"/>
      <w:bookmarkStart w:id="45" w:name="_Toc309309031"/>
      <w:bookmarkEnd w:id="45"/>
      <w:bookmarkStart w:id="46" w:name="_Toc247620719"/>
      <w:bookmarkStart w:id="47" w:name="_Toc236733096"/>
    </w:p>
    <w:bookmarkEnd w:id="46"/>
    <w:bookmarkEnd w:id="47"/>
    <w:p>
      <w:pPr>
        <w:pStyle w:val="3"/>
        <w:widowControl/>
        <w:numPr>
          <w:ilvl w:val="1"/>
          <w:numId w:val="7"/>
        </w:numPr>
        <w:spacing w:before="260" w:beforeAutospacing="0" w:after="260" w:afterAutospacing="0" w:line="360" w:lineRule="auto"/>
        <w:rPr>
          <w:rFonts w:hint="eastAsia"/>
          <w:b w:val="0"/>
          <w:bCs/>
          <w:lang w:val="en-US" w:eastAsia="zh-CN"/>
        </w:rPr>
      </w:pPr>
      <w:bookmarkStart w:id="48" w:name="_Toc28557"/>
      <w:bookmarkStart w:id="49" w:name="_Toc28643"/>
      <w:bookmarkStart w:id="50" w:name="_Toc12730"/>
      <w:r>
        <w:rPr>
          <w:rFonts w:hint="eastAsia"/>
          <w:b w:val="0"/>
          <w:bCs/>
          <w:lang w:val="en-US" w:eastAsia="zh-CN"/>
        </w:rPr>
        <w:t>页面风格</w:t>
      </w:r>
      <w:bookmarkEnd w:id="48"/>
      <w:bookmarkEnd w:id="49"/>
      <w:bookmarkEnd w:id="5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572125" cy="2413000"/>
            <wp:effectExtent l="0" t="0" r="3175" b="0"/>
            <wp:docPr id="4" name="图片 4" descr="1670812956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708129561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左侧是“菜单导航栏”。导航栏中显示当前登录用户所具备操作权限的功能菜单。点击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152400" cy="139700"/>
            <wp:effectExtent l="0" t="0" r="0" b="0"/>
            <wp:docPr id="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按钮可实现菜单栏的展开/收起。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右上方显示当前登录用户及相关操作按钮。</w:t>
      </w:r>
    </w:p>
    <w:tbl>
      <w:tblPr>
        <w:tblStyle w:val="23"/>
        <w:tblW w:w="8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68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shd w:val="clear" w:color="auto" w:fill="DBEEF3"/>
            <w:noWrap w:val="0"/>
            <w:vAlign w:val="top"/>
          </w:tcPr>
          <w:p>
            <w:pPr>
              <w:widowControl w:val="0"/>
              <w:spacing w:line="312" w:lineRule="auto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0"/>
                <w:szCs w:val="20"/>
                <w:vertAlign w:val="baseline"/>
                <w:lang w:val="en-US" w:eastAsia="zh-CN" w:bidi="ar-SA"/>
              </w:rPr>
              <w:t>按钮</w:t>
            </w:r>
          </w:p>
        </w:tc>
        <w:tc>
          <w:tcPr>
            <w:tcW w:w="6817" w:type="dxa"/>
            <w:shd w:val="clear" w:color="auto" w:fill="DBEEF3"/>
            <w:noWrap w:val="0"/>
            <w:vAlign w:val="top"/>
          </w:tcPr>
          <w:p>
            <w:pPr>
              <w:widowControl w:val="0"/>
              <w:spacing w:line="312" w:lineRule="auto"/>
              <w:ind w:firstLine="402" w:firstLineChars="20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0"/>
                <w:szCs w:val="20"/>
                <w:vertAlign w:val="baseline"/>
                <w:lang w:val="en-US" w:eastAsia="zh-CN" w:bidi="ar-SA"/>
              </w:rPr>
              <w:t>功能说明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drawing>
                <wp:inline distT="0" distB="0" distL="114300" distR="114300">
                  <wp:extent cx="285750" cy="222250"/>
                  <wp:effectExtent l="0" t="0" r="6350" b="6350"/>
                  <wp:docPr id="4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按钮右上角红色字体提示未读消息数量。点击该按钮，可查阅本人相关的消息通知。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drawing>
                <wp:inline distT="0" distB="0" distL="114300" distR="114300">
                  <wp:extent cx="3941445" cy="969645"/>
                  <wp:effectExtent l="0" t="0" r="8255" b="8255"/>
                  <wp:docPr id="3" name="图片 3" descr="1670812780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67081278070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445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切换岗位（多岗时）、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修改账号密码、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退出登录</w:t>
            </w:r>
          </w:p>
        </w:tc>
        <w:tc>
          <w:tcPr>
            <w:tcW w:w="681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点击用户头像，可展开下拉菜单，实现：切换岗位（多岗时）、修改账号密码、退出登录。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drawing>
                <wp:inline distT="0" distB="0" distL="114300" distR="114300">
                  <wp:extent cx="1936750" cy="1809750"/>
                  <wp:effectExtent l="0" t="0" r="6350" b="6350"/>
                  <wp:docPr id="44" name="图片 44" descr="1670311822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167031182296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首页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上方区域展现集团所属各公司收入预算、支出预算，包括：年收入预算、月收入计划、收入预算排名。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下方区域展现待办流程，默认显示所以业务类型的待办任务，可通过【全部】、【预算编制】、【预算汇总】、【预算调整】按钮进行切换。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【流程管理】页面展现所有流程的详细信息，可进行精准定位查询。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页签区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同时打开多个功能菜单时，可在页签区同时显示多个页签。点击页签右上角的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209550" cy="152400"/>
            <wp:effectExtent l="0" t="0" r="6350" b="0"/>
            <wp:docPr id="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按钮，可关闭页签。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默认显示首页页签，且首页页签不允许关闭。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业务操作区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在该区域展示当前功能页签相应的业务操作内容。</w:t>
      </w:r>
    </w:p>
    <w:p>
      <w:pPr>
        <w:spacing w:line="360" w:lineRule="auto"/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</w:pPr>
      <w:r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  <w:drawing>
          <wp:inline distT="0" distB="0" distL="114300" distR="114300">
            <wp:extent cx="5272405" cy="2266950"/>
            <wp:effectExtent l="0" t="0" r="4445" b="0"/>
            <wp:docPr id="7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每个操作性功能页面基本布局，上方为查询条件，下方为该用户或者该用户所在单位操作的记录。</w:t>
      </w:r>
    </w:p>
    <w:p>
      <w:pPr>
        <w:spacing w:line="360" w:lineRule="auto"/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</w:pPr>
      <w:r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  <w:drawing>
          <wp:inline distT="0" distB="0" distL="114300" distR="114300">
            <wp:extent cx="5265420" cy="1497330"/>
            <wp:effectExtent l="0" t="0" r="11430" b="7620"/>
            <wp:docPr id="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 w:cs="Microsoft JhengHei Light"/>
          <w:color w:val="auto"/>
          <w:kern w:val="0"/>
          <w:sz w:val="24"/>
          <w:szCs w:val="24"/>
          <w:lang w:val="en-US" w:eastAsia="zh-CN" w:bidi="en-US"/>
        </w:rPr>
      </w:pPr>
      <w:r>
        <w:rPr>
          <w:rFonts w:hint="eastAsia" w:ascii="宋体" w:hAnsi="宋体" w:cs="Microsoft JhengHei Light"/>
          <w:color w:val="auto"/>
          <w:kern w:val="0"/>
          <w:sz w:val="24"/>
          <w:szCs w:val="24"/>
          <w:lang w:val="en-US" w:eastAsia="zh-CN" w:bidi="en-US"/>
        </w:rPr>
        <w:t>如果查询条件较多，首次进入该功能菜单时，自动隐藏下面的查询条件，点击【展开】后，展示全部查询条件。</w:t>
      </w:r>
    </w:p>
    <w:p>
      <w:pPr>
        <w:spacing w:line="360" w:lineRule="auto"/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</w:pPr>
      <w:r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  <w:drawing>
          <wp:inline distT="0" distB="0" distL="114300" distR="114300">
            <wp:extent cx="5264785" cy="1845310"/>
            <wp:effectExtent l="0" t="0" r="12065" b="254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widowControl/>
        <w:numPr>
          <w:ilvl w:val="1"/>
          <w:numId w:val="7"/>
        </w:numPr>
        <w:spacing w:before="260" w:beforeAutospacing="0" w:after="260" w:afterAutospacing="0" w:line="360" w:lineRule="auto"/>
        <w:rPr>
          <w:rFonts w:hint="eastAsia"/>
          <w:lang w:val="en-US" w:eastAsia="zh-CN"/>
        </w:rPr>
      </w:pPr>
      <w:bookmarkStart w:id="51" w:name="_Toc7793"/>
      <w:bookmarkStart w:id="52" w:name="_Toc19907"/>
      <w:bookmarkStart w:id="53" w:name="_Toc31207"/>
      <w:r>
        <w:rPr>
          <w:rFonts w:hint="eastAsia"/>
          <w:lang w:val="en-US" w:eastAsia="zh-CN"/>
        </w:rPr>
        <w:t>通用按钮约定</w:t>
      </w:r>
      <w:bookmarkEnd w:id="51"/>
      <w:bookmarkEnd w:id="52"/>
      <w:bookmarkEnd w:id="53"/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【查询】、【搜索】：据查询条件筛选符合条件的业务数据，输入框不特殊说明均为模糊搜索。如果查询条件为空，默认查询所有记录。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【重置】：将查询条件恢复为默认。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【新增】：点击新增按钮，弹出窗口或打开新增页面。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【编辑】：点击编辑按钮，弹出窗口或打开编辑页面，同新增页面，反显原数据信息。除自动生成的编码和新增时即不可编辑的元素外，均可编辑。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【详情】：点击详情按钮，弹出窗口或打开详情页面，同新增页面，反显原数据信息，不能修改。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删除】、【作废】、【停用】：选中单条或多条记录的复选框，可删除、作废或停用已选记录。点击按钮，提示“确定删除/作废/停用所选记录？”。点击确定，删除/作废/停用成功，点击取消，提示“删除/作废/停用失败”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bookmarkStart w:id="54" w:name="_Toc32684"/>
      <w:r>
        <w:rPr>
          <w:rFonts w:hint="eastAsia" w:ascii="宋体" w:hAnsi="宋体"/>
          <w:sz w:val="24"/>
          <w:szCs w:val="24"/>
          <w:lang w:val="en-US" w:eastAsia="zh-CN"/>
        </w:rPr>
        <w:t>【上传】：上传附件功能，为保证系统安全，上传的附件只支持pdf、csv、jpg、png文件格式。</w:t>
      </w:r>
    </w:p>
    <w:p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hint="eastAsia" w:ascii="Arial" w:hAnsi="Arial" w:cs="Arial"/>
        </w:rPr>
      </w:pPr>
      <w:bookmarkStart w:id="55" w:name="_Toc967"/>
      <w:r>
        <w:rPr>
          <w:rFonts w:hint="eastAsia" w:ascii="Arial" w:hAnsi="Arial" w:cs="Arial"/>
          <w:lang w:val="en-US" w:eastAsia="zh-CN"/>
        </w:rPr>
        <w:t>提供借款业务场景及操作步骤</w:t>
      </w:r>
      <w:bookmarkEnd w:id="55"/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0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bookmarkStart w:id="56" w:name="_如何编制融资计划"/>
      <w:bookmarkStart w:id="57" w:name="_Toc29985"/>
      <w:bookmarkStart w:id="58" w:name="_Toc11954"/>
      <w:bookmarkStart w:id="59" w:name="_如何汇总融资计划"/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借款审批</w:t>
      </w:r>
    </w:p>
    <w:bookmarkEnd w:id="56"/>
    <w:p>
      <w:pPr>
        <w:widowControl w:val="0"/>
        <w:numPr>
          <w:ilvl w:val="2"/>
          <w:numId w:val="11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60" w:name="_Toc6312"/>
      <w:bookmarkStart w:id="61" w:name="_Toc15516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  <w:bookmarkEnd w:id="60"/>
      <w:bookmarkEnd w:id="61"/>
    </w:p>
    <w:p>
      <w:pPr>
        <w:widowControl w:val="0"/>
        <w:spacing w:line="312" w:lineRule="auto"/>
        <w:ind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有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借款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需求的业务单位，编写本单位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借款业务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。经办人员对借款单位的内部借款业务进行审批发起。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借款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经本单位审批通过后，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生成审批数据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widowControl w:val="0"/>
        <w:numPr>
          <w:ilvl w:val="2"/>
          <w:numId w:val="11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62" w:name="_Toc30121"/>
      <w:bookmarkStart w:id="63" w:name="_Toc23467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  <w:bookmarkEnd w:id="62"/>
      <w:bookmarkEnd w:id="63"/>
    </w:p>
    <w:p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提供借款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借款业务审批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>
      <w:pPr>
        <w:widowControl w:val="0"/>
        <w:numPr>
          <w:ilvl w:val="2"/>
          <w:numId w:val="11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64" w:name="_Toc13763"/>
      <w:bookmarkStart w:id="65" w:name="_Toc14926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  <w:bookmarkEnd w:id="64"/>
      <w:bookmarkEnd w:id="65"/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借款业务审批发起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】，进入该菜单的明细界面。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9925" cy="2749550"/>
            <wp:effectExtent l="0" t="0" r="10795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债权人即为当前登录单位。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受托金融机构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、债务人和贷款类型选择其他时，在后方会有输入框出现，在此进行手动录入即可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债务人可选范围会根据选择的业务类型变化，债务人选择后请确认此债务人的资产负债率是否维护（除选择其他），维护方法：请先登录此债务人的本级或更高级别账户维护，路径为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基础数据维护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企业净资产及负债率维护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，维护数据范围为最新一期数据口径为“合并”的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上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传附件。按照集团管理规定上传相关文件。支持pdf、csv、jpg、png格式文件，pdf、jpg、png格式支持在线预览功能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暂存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】：暂存数据。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保存并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提交】：提交到本单位审批人审核。</w:t>
      </w:r>
    </w:p>
    <w:p>
      <w:pPr>
        <w:widowControl w:val="0"/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步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借款业务审批查询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】，进入明细界面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查看本人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提交的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借款业务审批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，并跟踪状态。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9290" cy="2675890"/>
            <wp:effectExtent l="0" t="0" r="11430" b="635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无查询条件时展示所有本级经办人员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交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审批数据。</w:t>
      </w:r>
    </w:p>
    <w:bookmarkEnd w:id="57"/>
    <w:bookmarkEnd w:id="58"/>
    <w:p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0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借款业务信息登记</w:t>
      </w:r>
    </w:p>
    <w:bookmarkEnd w:id="59"/>
    <w:p>
      <w:pPr>
        <w:widowControl w:val="0"/>
        <w:numPr>
          <w:ilvl w:val="2"/>
          <w:numId w:val="16"/>
        </w:numPr>
        <w:bidi w:val="0"/>
        <w:spacing w:before="60" w:after="60"/>
        <w:ind w:left="18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66" w:name="_Toc13238"/>
      <w:bookmarkStart w:id="67" w:name="_Toc21713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  <w:bookmarkEnd w:id="66"/>
      <w:bookmarkEnd w:id="67"/>
    </w:p>
    <w:p>
      <w:pPr>
        <w:widowControl w:val="0"/>
        <w:spacing w:line="312" w:lineRule="auto"/>
        <w:ind w:firstLine="42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lang w:val="en-US" w:eastAsia="zh-CN"/>
        </w:rPr>
        <w:t>借款业务录入功能，发起借款人向本部借款的业务登记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widowControl w:val="0"/>
        <w:numPr>
          <w:ilvl w:val="2"/>
          <w:numId w:val="16"/>
        </w:numPr>
        <w:bidi w:val="0"/>
        <w:spacing w:before="60" w:after="60"/>
        <w:ind w:left="18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68" w:name="_Toc6585"/>
      <w:bookmarkStart w:id="69" w:name="_Toc20189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  <w:bookmarkEnd w:id="68"/>
      <w:bookmarkEnd w:id="69"/>
    </w:p>
    <w:p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bookmarkStart w:id="70" w:name="_Toc9884"/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提供借款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】-【借款业务信息登记】。</w:t>
      </w:r>
    </w:p>
    <w:bookmarkEnd w:id="70"/>
    <w:p>
      <w:pPr>
        <w:widowControl w:val="0"/>
        <w:numPr>
          <w:ilvl w:val="2"/>
          <w:numId w:val="16"/>
        </w:numPr>
        <w:bidi w:val="0"/>
        <w:spacing w:before="60" w:after="60"/>
        <w:ind w:left="18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71" w:name="_Toc20970"/>
      <w:r>
        <w:rPr>
          <w:rFonts w:hint="eastAsia" w:cs="Times New Roman"/>
          <w:b/>
          <w:kern w:val="2"/>
          <w:sz w:val="28"/>
          <w:szCs w:val="24"/>
          <w:lang w:val="en-US" w:eastAsia="zh-CN" w:bidi="ar-SA"/>
        </w:rPr>
        <w:t>借款业务合同登记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  <w:bookmarkEnd w:id="71"/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借款业务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合同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登记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录入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5480" cy="2493010"/>
            <wp:effectExtent l="0" t="0" r="0" b="635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点击放大镜选择业务审批编号，可选择的是借款业务审批通过的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页面中借款基础信息中的债务人注意事项同借款业务审批页面。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上传附件。按照集团管理规定上传相关文件。支持pdf、csv、jpg、png格式文件，pdf、jpg、png格式支持在线预览功能。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暂存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】：暂存数据。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保存并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提交】：提交到本单位审批人审核。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</w:p>
    <w:p>
      <w:pPr>
        <w:widowControl w:val="0"/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第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步，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借款业务合同登记查询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】，进入明细界面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查看本人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提交的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借款业务合同登记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，并跟踪状态。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52465" cy="2487295"/>
            <wp:effectExtent l="0" t="0" r="8255" b="1206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无查询条件时展示所有本级经办人员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交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登记数据</w:t>
      </w:r>
    </w:p>
    <w:p>
      <w:pPr>
        <w:widowControl w:val="0"/>
        <w:numPr>
          <w:ilvl w:val="2"/>
          <w:numId w:val="16"/>
        </w:numPr>
        <w:bidi w:val="0"/>
        <w:spacing w:before="60" w:after="60"/>
        <w:ind w:left="18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="Times New Roman"/>
          <w:b/>
          <w:kern w:val="2"/>
          <w:sz w:val="28"/>
          <w:szCs w:val="24"/>
          <w:lang w:val="en-US" w:eastAsia="zh-CN" w:bidi="ar-SA"/>
        </w:rPr>
        <w:t>放款登记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放款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登记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录入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lang w:val="en-US" w:eastAsia="zh-CN"/>
        </w:rPr>
      </w:pPr>
      <w:r>
        <w:drawing>
          <wp:inline distT="0" distB="0" distL="114300" distR="114300">
            <wp:extent cx="5757545" cy="2474595"/>
            <wp:effectExtent l="0" t="0" r="3175" b="9525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点击放大镜选择合同登记编号，可选择的是合同登记审批通过的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上传附件。按照集团管理规定上传相关文件。支持pdf、csv、jpg、png格式文件，pdf、jpg、png格式支持在线预览功能。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暂存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】：暂存数据。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保存并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提交】：提交到本单位审批人审核。</w:t>
      </w:r>
    </w:p>
    <w:p>
      <w:pPr>
        <w:widowControl w:val="0"/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第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步，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放款登记查询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】，进入明细界面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查看本人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提交的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放款登记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，并跟踪状态。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5480" cy="2462530"/>
            <wp:effectExtent l="0" t="0" r="0" b="6350"/>
            <wp:docPr id="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无查询条件时展示所有本级经办人员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交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登记数据</w:t>
      </w:r>
    </w:p>
    <w:p>
      <w:pPr>
        <w:widowControl w:val="0"/>
        <w:numPr>
          <w:ilvl w:val="2"/>
          <w:numId w:val="16"/>
        </w:numPr>
        <w:bidi w:val="0"/>
        <w:spacing w:before="60" w:after="60"/>
        <w:ind w:left="18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="Times New Roman"/>
          <w:b/>
          <w:kern w:val="2"/>
          <w:sz w:val="28"/>
          <w:szCs w:val="24"/>
          <w:lang w:val="en-US" w:eastAsia="zh-CN" w:bidi="ar-SA"/>
        </w:rPr>
        <w:t>收款收息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收款收息录入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51830" cy="2453005"/>
            <wp:effectExtent l="0" t="0" r="8890" b="635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点击放大镜选择放款登记编号，可选择的是放款登记审批通过的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上传附件。按照集团管理规定上传相关文件。支持pdf、csv、jpg、png格式文件，pdf、jpg、png格式支持在线预览功能。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暂存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】：暂存数据。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保存并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提交】：提交到本单位审批人审核。</w:t>
      </w:r>
    </w:p>
    <w:p>
      <w:pPr>
        <w:widowControl w:val="0"/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第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步，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收款收息查询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】，进入明细界面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查看本人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提交的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收款收息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，并跟踪状态。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7385" cy="2513965"/>
            <wp:effectExtent l="0" t="0" r="13335" b="635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无查询条件时展示所有本级经办人员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交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收款收息数据</w:t>
      </w:r>
      <w:bookmarkEnd w:id="6"/>
      <w:bookmarkEnd w:id="54"/>
    </w:p>
    <w:p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hint="eastAsia" w:ascii="Arial" w:hAnsi="Arial" w:cs="Arial"/>
        </w:rPr>
      </w:pPr>
      <w:r>
        <w:rPr>
          <w:rFonts w:hint="eastAsia" w:ascii="Arial" w:hAnsi="Arial" w:cs="Arial"/>
          <w:lang w:val="en-US" w:eastAsia="zh-CN"/>
        </w:rPr>
        <w:t>永续债业务场景及操作步骤</w:t>
      </w:r>
    </w:p>
    <w:p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0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永续债计划填报</w:t>
      </w:r>
    </w:p>
    <w:p>
      <w:pPr>
        <w:widowControl w:val="0"/>
        <w:numPr>
          <w:ilvl w:val="2"/>
          <w:numId w:val="22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</w:p>
    <w:p>
      <w:pPr>
        <w:widowControl w:val="0"/>
        <w:spacing w:line="312" w:lineRule="auto"/>
        <w:ind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永续债计划填报功能，用于各单位填报和审核本单位永续债计划。</w:t>
      </w:r>
      <w:bookmarkStart w:id="72" w:name="_GoBack"/>
      <w:bookmarkEnd w:id="72"/>
    </w:p>
    <w:p>
      <w:pPr>
        <w:widowControl w:val="0"/>
        <w:numPr>
          <w:ilvl w:val="2"/>
          <w:numId w:val="22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</w:p>
    <w:p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永续债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永续债计划填报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>
      <w:pPr>
        <w:widowControl w:val="0"/>
        <w:numPr>
          <w:ilvl w:val="2"/>
          <w:numId w:val="22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永续债计划填报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查看本人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提交的填报数据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，并跟踪状态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8655" cy="2338705"/>
            <wp:effectExtent l="0" t="0" r="12065" b="8255"/>
            <wp:docPr id="10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无查询条件时展示所有本级经办人员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交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审批数据。</w:t>
      </w:r>
    </w:p>
    <w:p>
      <w:pPr>
        <w:widowControl w:val="0"/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步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按钮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新增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新增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明细界面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59450" cy="2641600"/>
            <wp:effectExtent l="0" t="0" r="1270" b="10160"/>
            <wp:docPr id="10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永续债发行计划1的发行人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即为当前登录单位。</w:t>
      </w:r>
    </w:p>
    <w:p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发行计划1下拉框只可选择境内，发行计划2下拉框只可选择境外</w:t>
      </w:r>
    </w:p>
    <w:p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上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传附件。按照集团管理规定上传相关文件。支持pdf、csv、jpg、png格式文件，pdf、jpg、png格式支持在线预览功能</w:t>
      </w:r>
    </w:p>
    <w:p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暂存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】：暂存数据。</w:t>
      </w:r>
    </w:p>
    <w:p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保存并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提交】：提交到本单位审批人审核。</w:t>
      </w:r>
    </w:p>
    <w:p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0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永续债计划汇总</w:t>
      </w:r>
    </w:p>
    <w:p>
      <w:pPr>
        <w:widowControl w:val="0"/>
        <w:numPr>
          <w:ilvl w:val="2"/>
          <w:numId w:val="25"/>
        </w:numPr>
        <w:bidi w:val="0"/>
        <w:spacing w:before="60" w:after="60"/>
        <w:ind w:left="18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</w:p>
    <w:p>
      <w:pPr>
        <w:widowControl w:val="0"/>
        <w:spacing w:line="312" w:lineRule="auto"/>
        <w:ind w:firstLine="42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lang w:val="en-US" w:eastAsia="zh-CN"/>
        </w:rPr>
        <w:t>永续债计划汇总功能，用于汇总本部填报及下一级单位汇总的永续债计划，并完成审批，上报到上级单位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widowControl w:val="0"/>
        <w:numPr>
          <w:ilvl w:val="2"/>
          <w:numId w:val="25"/>
        </w:numPr>
        <w:bidi w:val="0"/>
        <w:spacing w:before="60" w:after="60"/>
        <w:ind w:left="18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</w:p>
    <w:p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永续债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永续债计划汇总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>
      <w:pPr>
        <w:widowControl w:val="0"/>
        <w:numPr>
          <w:ilvl w:val="2"/>
          <w:numId w:val="25"/>
        </w:numPr>
        <w:bidi w:val="0"/>
        <w:spacing w:before="60" w:after="60"/>
        <w:ind w:left="18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永续债计划汇总操作步骤</w:t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永续债计划汇总上报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6115" cy="2552700"/>
            <wp:effectExtent l="0" t="0" r="14605" b="7620"/>
            <wp:docPr id="10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点击放大镜选择业务审批编号，可选择的是借款业务审批通过的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上传附件。按照集团管理规定上传相关文件。支持pdf、csv、jpg、png格式文件，pdf、jpg、png格式支持在线预览功能。</w:t>
      </w:r>
    </w:p>
    <w:p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保存并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提交】：提交到本单位审批人审核。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</w:p>
    <w:p>
      <w:pPr>
        <w:widowControl w:val="0"/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第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步，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按钮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汇总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新增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明细界面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55640" cy="2642235"/>
            <wp:effectExtent l="0" t="0" r="5080" b="9525"/>
            <wp:docPr id="10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将汇总上报页面选择对应年的数据进行汇总。</w:t>
      </w:r>
    </w:p>
    <w:p>
      <w:pPr>
        <w:widowControl w:val="0"/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第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三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步，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永续债计划汇总上报查询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查看本人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提交的汇总数据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，并跟踪状态。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58180" cy="2527935"/>
            <wp:effectExtent l="0" t="0" r="2540" b="1905"/>
            <wp:docPr id="10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无查询条件时展示本级经办人员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交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汇总数据。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0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永续债余额下达</w:t>
      </w:r>
    </w:p>
    <w:p>
      <w:pPr>
        <w:widowControl w:val="0"/>
        <w:numPr>
          <w:ilvl w:val="2"/>
          <w:numId w:val="29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</w:p>
    <w:p>
      <w:pPr>
        <w:widowControl w:val="0"/>
        <w:spacing w:line="312" w:lineRule="auto"/>
        <w:ind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有</w:t>
      </w:r>
      <w:r>
        <w:rPr>
          <w:rFonts w:hint="eastAsia" w:ascii="宋体" w:hAnsi="宋体" w:cs="宋体"/>
          <w:lang w:val="en-US" w:eastAsia="zh-CN"/>
        </w:rPr>
        <w:t>永续债下达余额功能，用于下达本部填报及下一级单位的权益类永续债余额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widowControl w:val="0"/>
        <w:numPr>
          <w:ilvl w:val="2"/>
          <w:numId w:val="29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</w:p>
    <w:p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永续债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永续债余额下达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>
      <w:pPr>
        <w:widowControl w:val="0"/>
        <w:numPr>
          <w:ilvl w:val="2"/>
          <w:numId w:val="29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="Times New Roman"/>
          <w:b/>
          <w:kern w:val="2"/>
          <w:sz w:val="28"/>
          <w:szCs w:val="24"/>
          <w:lang w:val="en-US" w:eastAsia="zh-CN" w:bidi="ar-SA"/>
        </w:rPr>
        <w:t>永续债余额下达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永续债余额下达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查看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下级提交的上报汇总数据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，并跟踪状态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，进行下达操作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lang w:val="en-US" w:eastAsia="zh-CN"/>
        </w:rPr>
      </w:pPr>
      <w:r>
        <w:drawing>
          <wp:inline distT="0" distB="0" distL="114300" distR="114300">
            <wp:extent cx="5758180" cy="2543175"/>
            <wp:effectExtent l="0" t="0" r="2540" b="1905"/>
            <wp:docPr id="11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默认查询下一年全部的下达状态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widowControl w:val="0"/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第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步，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下达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按钮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，进入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下达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界面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，进行下达操作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9925" cy="2677160"/>
            <wp:effectExtent l="0" t="0" r="10795" b="5080"/>
            <wp:docPr id="11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保存并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提交】：提交</w:t>
      </w: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后即给此汇总数据进行下达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。</w:t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第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三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步，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菜单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上级下达指标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57545" cy="2583180"/>
            <wp:effectExtent l="0" t="0" r="3175" b="7620"/>
            <wp:docPr id="11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查询的是上级下达的永续债指标。</w:t>
      </w:r>
    </w:p>
    <w:p>
      <w:pPr>
        <w:widowControl w:val="0"/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第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四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步，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永续债余额下达查询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】，进入界面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查看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下达信息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，并跟踪状态。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5749290" cy="2545715"/>
            <wp:effectExtent l="0" t="0" r="11430" b="14605"/>
            <wp:docPr id="11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查询的是上级下达的以及本级给下级下达的永续债指标。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lang w:val="en-US" w:eastAsia="zh-CN"/>
        </w:rPr>
      </w:pPr>
    </w:p>
    <w:sectPr>
      <w:headerReference r:id="rId8" w:type="default"/>
      <w:footerReference r:id="rId9" w:type="default"/>
      <w:pgSz w:w="11906" w:h="16838"/>
      <w:pgMar w:top="1440" w:right="1418" w:bottom="1440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HYQi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 Light">
    <w:panose1 w:val="020B0304030504040204"/>
    <w:charset w:val="88"/>
    <w:family w:val="swiss"/>
    <w:pitch w:val="default"/>
    <w:sig w:usb0="8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tabs>
        <w:tab w:val="center" w:pos="4876"/>
        <w:tab w:val="right" w:pos="9752"/>
        <w:tab w:val="clear" w:pos="4153"/>
        <w:tab w:val="clear" w:pos="8306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xhYO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0" name="文本框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Dp+ypg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tabs>
        <w:tab w:val="center" w:pos="4536"/>
        <w:tab w:val="clear" w:pos="4153"/>
      </w:tabs>
      <w:jc w:val="center"/>
      <w:rPr>
        <w:b/>
        <w:bCs/>
        <w:sz w:val="24"/>
        <w:szCs w:val="24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文本框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jWXXc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pBdr>
        <w:bottom w:val="single" w:color="auto" w:sz="4" w:space="0"/>
      </w:pBdr>
      <w:jc w:val="center"/>
      <w:rPr>
        <w:szCs w:val="21"/>
        <w:u w:val="single"/>
      </w:rPr>
    </w:pP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中国航空工业集团有限公司</w:t>
    </w:r>
    <w:r>
      <w:rPr>
        <w:rFonts w:hint="eastAsia"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资金收支预算</w:t>
    </w: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系统操作说明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</w:pPr>
  </w:p>
  <w:p>
    <w:r>
      <w:rPr>
        <w:rFonts w:hint="eastAsia"/>
        <w:sz w:val="18"/>
        <w:szCs w:val="18"/>
      </w:rPr>
      <w:t xml:space="preserve">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pBdr>
        <w:bottom w:val="single" w:color="auto" w:sz="4" w:space="0"/>
      </w:pBdr>
      <w:jc w:val="center"/>
    </w:pP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中国航空工业集团有限公司</w:t>
    </w:r>
    <w:r>
      <w:rPr>
        <w:rFonts w:hint="eastAsia" w:ascii="HYShuSongErKW" w:hAnsi="HYShuSongErKW" w:cs="HYShuSongErKW"/>
        <w:color w:val="000000"/>
        <w:kern w:val="0"/>
        <w:sz w:val="20"/>
        <w:szCs w:val="20"/>
        <w:lang w:val="en-US" w:eastAsia="zh-CN" w:bidi="ar"/>
      </w:rPr>
      <w:t>资金收支预算</w:t>
    </w: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系统操作说明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pBdr>
        <w:bottom w:val="single" w:color="auto" w:sz="4" w:space="0"/>
      </w:pBdr>
      <w:jc w:val="center"/>
    </w:pP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中国航空工业集团有限公司</w:t>
    </w:r>
    <w:r>
      <w:rPr>
        <w:rFonts w:hint="eastAsia"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资金收支预算</w:t>
    </w: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系统操作说明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FA701"/>
    <w:multiLevelType w:val="singleLevel"/>
    <w:tmpl w:val="83AFA70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88FA1BCC"/>
    <w:multiLevelType w:val="singleLevel"/>
    <w:tmpl w:val="88FA1BC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91F1A8AC"/>
    <w:multiLevelType w:val="singleLevel"/>
    <w:tmpl w:val="91F1A8AC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746BED4"/>
    <w:multiLevelType w:val="multilevel"/>
    <w:tmpl w:val="9746BED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cs="Arial"/>
        <w:b w:val="0"/>
        <w:sz w:val="21"/>
        <w:szCs w:val="21"/>
      </w:rPr>
    </w:lvl>
    <w:lvl w:ilvl="1" w:tentative="0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9B97BE0E"/>
    <w:multiLevelType w:val="singleLevel"/>
    <w:tmpl w:val="9B97BE0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B98189D2"/>
    <w:multiLevelType w:val="singleLevel"/>
    <w:tmpl w:val="B98189D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CB97DA28"/>
    <w:multiLevelType w:val="multilevel"/>
    <w:tmpl w:val="CB97DA28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18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7">
    <w:nsid w:val="D276C66D"/>
    <w:multiLevelType w:val="singleLevel"/>
    <w:tmpl w:val="D276C66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E60D9F91"/>
    <w:multiLevelType w:val="singleLevel"/>
    <w:tmpl w:val="E60D9F9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EA4D70AF"/>
    <w:multiLevelType w:val="singleLevel"/>
    <w:tmpl w:val="EA4D70A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0">
    <w:nsid w:val="EBD6BE67"/>
    <w:multiLevelType w:val="multilevel"/>
    <w:tmpl w:val="EBD6BE67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11">
    <w:nsid w:val="EF86AF3C"/>
    <w:multiLevelType w:val="singleLevel"/>
    <w:tmpl w:val="EF86AF3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F08CCD01"/>
    <w:multiLevelType w:val="singleLevel"/>
    <w:tmpl w:val="F08CCD0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F9858454"/>
    <w:multiLevelType w:val="singleLevel"/>
    <w:tmpl w:val="F985845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00000007"/>
    <w:multiLevelType w:val="multilevel"/>
    <w:tmpl w:val="00000007"/>
    <w:lvl w:ilvl="0" w:tentative="0">
      <w:start w:val="1"/>
      <w:numFmt w:val="japaneseCounting"/>
      <w:pStyle w:val="43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0000002E"/>
    <w:multiLevelType w:val="multilevel"/>
    <w:tmpl w:val="0000002E"/>
    <w:lvl w:ilvl="0" w:tentative="0">
      <w:start w:val="1"/>
      <w:numFmt w:val="chineseCountingThousand"/>
      <w:lvlText w:val="第%1章"/>
      <w:lvlJc w:val="left"/>
      <w:pPr>
        <w:tabs>
          <w:tab w:val="left" w:pos="1673"/>
        </w:tabs>
        <w:ind w:left="426" w:firstLine="0"/>
      </w:pPr>
      <w:rPr>
        <w:rFonts w:hint="eastAsia"/>
        <w:lang w:val="en-US"/>
      </w:rPr>
    </w:lvl>
    <w:lvl w:ilvl="1" w:tentative="0">
      <w:start w:val="1"/>
      <w:numFmt w:val="decimal"/>
      <w:pStyle w:val="49"/>
      <w:isLgl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46"/>
      <w:isLgl/>
      <w:lvlText w:val="%1.%2.%3"/>
      <w:lvlJc w:val="left"/>
      <w:pPr>
        <w:tabs>
          <w:tab w:val="left" w:pos="709"/>
        </w:tabs>
        <w:ind w:left="0" w:firstLine="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936"/>
        </w:tabs>
        <w:ind w:left="0" w:firstLine="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162"/>
        </w:tabs>
        <w:ind w:left="0" w:firstLine="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389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6">
    <w:nsid w:val="08B009D6"/>
    <w:multiLevelType w:val="multilevel"/>
    <w:tmpl w:val="08B009D6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30"/>
        </w:tabs>
        <w:ind w:left="1430" w:hanging="72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857"/>
        </w:tabs>
        <w:ind w:left="1857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7">
    <w:nsid w:val="09695B2E"/>
    <w:multiLevelType w:val="singleLevel"/>
    <w:tmpl w:val="09695B2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0C779126"/>
    <w:multiLevelType w:val="singleLevel"/>
    <w:tmpl w:val="0C779126"/>
    <w:lvl w:ilvl="0" w:tentative="0">
      <w:start w:val="1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19">
    <w:nsid w:val="0D145C60"/>
    <w:multiLevelType w:val="singleLevel"/>
    <w:tmpl w:val="0D145C6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0">
    <w:nsid w:val="3ED53B0B"/>
    <w:multiLevelType w:val="singleLevel"/>
    <w:tmpl w:val="3ED53B0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1">
    <w:nsid w:val="4C65C54D"/>
    <w:multiLevelType w:val="multilevel"/>
    <w:tmpl w:val="4C65C54D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22">
    <w:nsid w:val="54CE42A3"/>
    <w:multiLevelType w:val="singleLevel"/>
    <w:tmpl w:val="54CE42A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3">
    <w:nsid w:val="5BE6E5D5"/>
    <w:multiLevelType w:val="singleLevel"/>
    <w:tmpl w:val="5BE6E5D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4">
    <w:nsid w:val="63E64672"/>
    <w:multiLevelType w:val="multilevel"/>
    <w:tmpl w:val="63E64672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5">
    <w:nsid w:val="6B98488A"/>
    <w:multiLevelType w:val="multilevel"/>
    <w:tmpl w:val="6B98488A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26">
    <w:nsid w:val="6CB11212"/>
    <w:multiLevelType w:val="multilevel"/>
    <w:tmpl w:val="6CB11212"/>
    <w:lvl w:ilvl="0" w:tentative="0">
      <w:start w:val="1"/>
      <w:numFmt w:val="bullet"/>
      <w:pStyle w:val="7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7">
    <w:nsid w:val="70DF8EFC"/>
    <w:multiLevelType w:val="singleLevel"/>
    <w:tmpl w:val="70DF8EF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8">
    <w:nsid w:val="712E8BA4"/>
    <w:multiLevelType w:val="singleLevel"/>
    <w:tmpl w:val="712E8BA4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9">
    <w:nsid w:val="78ADF3CB"/>
    <w:multiLevelType w:val="multilevel"/>
    <w:tmpl w:val="78ADF3CB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18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30">
    <w:nsid w:val="78BD8ED9"/>
    <w:multiLevelType w:val="singleLevel"/>
    <w:tmpl w:val="78BD8ED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1">
    <w:nsid w:val="7DB71245"/>
    <w:multiLevelType w:val="singleLevel"/>
    <w:tmpl w:val="7DB7124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2">
    <w:nsid w:val="7E500ACD"/>
    <w:multiLevelType w:val="multilevel"/>
    <w:tmpl w:val="7E500AC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cs="Arial"/>
        <w:b w:val="0"/>
        <w:sz w:val="21"/>
        <w:szCs w:val="21"/>
      </w:rPr>
    </w:lvl>
    <w:lvl w:ilvl="1" w:tentative="0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6"/>
  </w:num>
  <w:num w:numId="2">
    <w:abstractNumId w:val="26"/>
  </w:num>
  <w:num w:numId="3">
    <w:abstractNumId w:val="14"/>
  </w:num>
  <w:num w:numId="4">
    <w:abstractNumId w:val="15"/>
  </w:num>
  <w:num w:numId="5">
    <w:abstractNumId w:val="9"/>
  </w:num>
  <w:num w:numId="6">
    <w:abstractNumId w:val="32"/>
  </w:num>
  <w:num w:numId="7">
    <w:abstractNumId w:val="3"/>
  </w:num>
  <w:num w:numId="8">
    <w:abstractNumId w:val="24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decimal"/>
        <w:lvlText w:val=""/>
        <w:lvlJc w:val="left"/>
      </w:lvl>
    </w:lvlOverride>
    <w:lvlOverride w:ilvl="2">
      <w:lvl w:ilvl="2" w:tentative="1">
        <w:start w:val="1"/>
        <w:numFmt w:val="decimal"/>
        <w:lvlText w:val="%1.%2.%3"/>
        <w:lvlJc w:val="left"/>
        <w:pPr>
          <w:tabs>
            <w:tab w:val="left" w:pos="851"/>
          </w:tabs>
          <w:ind w:left="851" w:hanging="709"/>
        </w:pPr>
        <w:rPr>
          <w:rFonts w:hint="eastAsia"/>
        </w:rPr>
      </w:lvl>
    </w:lvlOverride>
  </w:num>
  <w:num w:numId="9">
    <w:abstractNumId w:val="18"/>
  </w:num>
  <w:num w:numId="10">
    <w:abstractNumId w:val="30"/>
  </w:num>
  <w:num w:numId="11">
    <w:abstractNumId w:val="25"/>
  </w:num>
  <w:num w:numId="12">
    <w:abstractNumId w:val="2"/>
  </w:num>
  <w:num w:numId="13">
    <w:abstractNumId w:val="31"/>
  </w:num>
  <w:num w:numId="14">
    <w:abstractNumId w:val="13"/>
  </w:num>
  <w:num w:numId="15">
    <w:abstractNumId w:val="5"/>
  </w:num>
  <w:num w:numId="16">
    <w:abstractNumId w:val="6"/>
  </w:num>
  <w:num w:numId="17">
    <w:abstractNumId w:val="4"/>
  </w:num>
  <w:num w:numId="18">
    <w:abstractNumId w:val="20"/>
  </w:num>
  <w:num w:numId="19">
    <w:abstractNumId w:val="1"/>
  </w:num>
  <w:num w:numId="20">
    <w:abstractNumId w:val="17"/>
  </w:num>
  <w:num w:numId="21">
    <w:abstractNumId w:val="28"/>
  </w:num>
  <w:num w:numId="22">
    <w:abstractNumId w:val="10"/>
  </w:num>
  <w:num w:numId="23">
    <w:abstractNumId w:val="12"/>
  </w:num>
  <w:num w:numId="24">
    <w:abstractNumId w:val="23"/>
  </w:num>
  <w:num w:numId="25">
    <w:abstractNumId w:val="29"/>
  </w:num>
  <w:num w:numId="26">
    <w:abstractNumId w:val="7"/>
  </w:num>
  <w:num w:numId="27">
    <w:abstractNumId w:val="19"/>
  </w:num>
  <w:num w:numId="28">
    <w:abstractNumId w:val="22"/>
  </w:num>
  <w:num w:numId="29">
    <w:abstractNumId w:val="21"/>
  </w:num>
  <w:num w:numId="30">
    <w:abstractNumId w:val="27"/>
  </w:num>
  <w:num w:numId="31">
    <w:abstractNumId w:val="0"/>
  </w:num>
  <w:num w:numId="32">
    <w:abstractNumId w:val="8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NkNDFjMmFiZDJlMWY3NDE2NzgyMDE1NDYwODE2NmYifQ=="/>
  </w:docVars>
  <w:rsids>
    <w:rsidRoot w:val="275A7A4D"/>
    <w:rsid w:val="0000753F"/>
    <w:rsid w:val="00007A23"/>
    <w:rsid w:val="00013842"/>
    <w:rsid w:val="0001521D"/>
    <w:rsid w:val="00016EFD"/>
    <w:rsid w:val="00017273"/>
    <w:rsid w:val="000360AB"/>
    <w:rsid w:val="00037697"/>
    <w:rsid w:val="00040952"/>
    <w:rsid w:val="0004289B"/>
    <w:rsid w:val="00050956"/>
    <w:rsid w:val="0005165A"/>
    <w:rsid w:val="0005393A"/>
    <w:rsid w:val="00060396"/>
    <w:rsid w:val="0006195B"/>
    <w:rsid w:val="0006629B"/>
    <w:rsid w:val="00076E15"/>
    <w:rsid w:val="00076E49"/>
    <w:rsid w:val="00077787"/>
    <w:rsid w:val="000809F9"/>
    <w:rsid w:val="0008222A"/>
    <w:rsid w:val="00082786"/>
    <w:rsid w:val="00083FAA"/>
    <w:rsid w:val="00084B1A"/>
    <w:rsid w:val="000A3752"/>
    <w:rsid w:val="000A5C4E"/>
    <w:rsid w:val="000A76C4"/>
    <w:rsid w:val="000B3207"/>
    <w:rsid w:val="000B460C"/>
    <w:rsid w:val="000B7596"/>
    <w:rsid w:val="000C0240"/>
    <w:rsid w:val="000C0AB3"/>
    <w:rsid w:val="000C0D9A"/>
    <w:rsid w:val="000C4DA3"/>
    <w:rsid w:val="000C5488"/>
    <w:rsid w:val="000D3D22"/>
    <w:rsid w:val="000D400F"/>
    <w:rsid w:val="000D6DF0"/>
    <w:rsid w:val="000E0295"/>
    <w:rsid w:val="000E6F26"/>
    <w:rsid w:val="000F3255"/>
    <w:rsid w:val="00101F45"/>
    <w:rsid w:val="00103977"/>
    <w:rsid w:val="00107E67"/>
    <w:rsid w:val="001146CE"/>
    <w:rsid w:val="0011559B"/>
    <w:rsid w:val="00117300"/>
    <w:rsid w:val="00125A3E"/>
    <w:rsid w:val="00130109"/>
    <w:rsid w:val="00132CCE"/>
    <w:rsid w:val="00135B0F"/>
    <w:rsid w:val="001424F0"/>
    <w:rsid w:val="00156023"/>
    <w:rsid w:val="001620C8"/>
    <w:rsid w:val="001628B7"/>
    <w:rsid w:val="0016387F"/>
    <w:rsid w:val="00163990"/>
    <w:rsid w:val="001651DA"/>
    <w:rsid w:val="0016572D"/>
    <w:rsid w:val="00170161"/>
    <w:rsid w:val="001752DE"/>
    <w:rsid w:val="001818F4"/>
    <w:rsid w:val="00184801"/>
    <w:rsid w:val="00184F8E"/>
    <w:rsid w:val="001955C1"/>
    <w:rsid w:val="001A26D2"/>
    <w:rsid w:val="001A53D5"/>
    <w:rsid w:val="001A691E"/>
    <w:rsid w:val="001B1491"/>
    <w:rsid w:val="001B1D5D"/>
    <w:rsid w:val="001B2A7F"/>
    <w:rsid w:val="001B3CE6"/>
    <w:rsid w:val="001B5341"/>
    <w:rsid w:val="001C7D7E"/>
    <w:rsid w:val="001D0CB3"/>
    <w:rsid w:val="001D5044"/>
    <w:rsid w:val="001E4BCA"/>
    <w:rsid w:val="001E68E1"/>
    <w:rsid w:val="001F1436"/>
    <w:rsid w:val="001F2F76"/>
    <w:rsid w:val="00203735"/>
    <w:rsid w:val="002054A6"/>
    <w:rsid w:val="00207267"/>
    <w:rsid w:val="002108E0"/>
    <w:rsid w:val="00213212"/>
    <w:rsid w:val="00220C34"/>
    <w:rsid w:val="00222014"/>
    <w:rsid w:val="002227B2"/>
    <w:rsid w:val="00226D0E"/>
    <w:rsid w:val="00235D2C"/>
    <w:rsid w:val="00246E44"/>
    <w:rsid w:val="002526FD"/>
    <w:rsid w:val="00253636"/>
    <w:rsid w:val="00255BBB"/>
    <w:rsid w:val="00261AB5"/>
    <w:rsid w:val="00263D80"/>
    <w:rsid w:val="00266826"/>
    <w:rsid w:val="002670BF"/>
    <w:rsid w:val="00271A31"/>
    <w:rsid w:val="00277519"/>
    <w:rsid w:val="00281D43"/>
    <w:rsid w:val="002837CE"/>
    <w:rsid w:val="0028685F"/>
    <w:rsid w:val="00287A5C"/>
    <w:rsid w:val="0029536F"/>
    <w:rsid w:val="002A00C9"/>
    <w:rsid w:val="002A3885"/>
    <w:rsid w:val="002B0F6A"/>
    <w:rsid w:val="002B53FA"/>
    <w:rsid w:val="002B721A"/>
    <w:rsid w:val="002C7039"/>
    <w:rsid w:val="002D18BC"/>
    <w:rsid w:val="002D2C03"/>
    <w:rsid w:val="002D34E1"/>
    <w:rsid w:val="002D67CA"/>
    <w:rsid w:val="002E09BC"/>
    <w:rsid w:val="002E5548"/>
    <w:rsid w:val="002E7A7F"/>
    <w:rsid w:val="002E7E95"/>
    <w:rsid w:val="002F4B37"/>
    <w:rsid w:val="00301907"/>
    <w:rsid w:val="00302A68"/>
    <w:rsid w:val="00307FEC"/>
    <w:rsid w:val="00310DE2"/>
    <w:rsid w:val="00310F02"/>
    <w:rsid w:val="0032047A"/>
    <w:rsid w:val="00320760"/>
    <w:rsid w:val="003223B4"/>
    <w:rsid w:val="00322F50"/>
    <w:rsid w:val="00322F5A"/>
    <w:rsid w:val="00330014"/>
    <w:rsid w:val="00340019"/>
    <w:rsid w:val="00340AB2"/>
    <w:rsid w:val="00342004"/>
    <w:rsid w:val="0034256E"/>
    <w:rsid w:val="00352DBB"/>
    <w:rsid w:val="00356692"/>
    <w:rsid w:val="0036468C"/>
    <w:rsid w:val="00364C7C"/>
    <w:rsid w:val="0037054C"/>
    <w:rsid w:val="00373F12"/>
    <w:rsid w:val="003746BB"/>
    <w:rsid w:val="003839FD"/>
    <w:rsid w:val="003855FD"/>
    <w:rsid w:val="003865EF"/>
    <w:rsid w:val="00387D9B"/>
    <w:rsid w:val="00391438"/>
    <w:rsid w:val="003914C8"/>
    <w:rsid w:val="003929CB"/>
    <w:rsid w:val="003A2311"/>
    <w:rsid w:val="003A6E37"/>
    <w:rsid w:val="003A7728"/>
    <w:rsid w:val="003B139B"/>
    <w:rsid w:val="003B7374"/>
    <w:rsid w:val="003C0B02"/>
    <w:rsid w:val="003C3C3E"/>
    <w:rsid w:val="003C7E2B"/>
    <w:rsid w:val="003D1F52"/>
    <w:rsid w:val="003D1FAD"/>
    <w:rsid w:val="003D24F8"/>
    <w:rsid w:val="003D2706"/>
    <w:rsid w:val="003E04F9"/>
    <w:rsid w:val="003E18BD"/>
    <w:rsid w:val="003E3718"/>
    <w:rsid w:val="003E7130"/>
    <w:rsid w:val="003F0256"/>
    <w:rsid w:val="003F40BF"/>
    <w:rsid w:val="003F40E5"/>
    <w:rsid w:val="003F45B0"/>
    <w:rsid w:val="003F7C0B"/>
    <w:rsid w:val="00401F87"/>
    <w:rsid w:val="004020B6"/>
    <w:rsid w:val="00402E98"/>
    <w:rsid w:val="00403866"/>
    <w:rsid w:val="00403D06"/>
    <w:rsid w:val="00410FFC"/>
    <w:rsid w:val="00412B93"/>
    <w:rsid w:val="00415D74"/>
    <w:rsid w:val="00421FB2"/>
    <w:rsid w:val="00422A46"/>
    <w:rsid w:val="004252B6"/>
    <w:rsid w:val="004270C4"/>
    <w:rsid w:val="00427B11"/>
    <w:rsid w:val="00435E93"/>
    <w:rsid w:val="00442F50"/>
    <w:rsid w:val="00446328"/>
    <w:rsid w:val="00457E6C"/>
    <w:rsid w:val="00460347"/>
    <w:rsid w:val="004633AD"/>
    <w:rsid w:val="00463411"/>
    <w:rsid w:val="00467551"/>
    <w:rsid w:val="004721AB"/>
    <w:rsid w:val="004762F0"/>
    <w:rsid w:val="0048045F"/>
    <w:rsid w:val="00490B33"/>
    <w:rsid w:val="00490E29"/>
    <w:rsid w:val="0049483A"/>
    <w:rsid w:val="00496DDA"/>
    <w:rsid w:val="004978FC"/>
    <w:rsid w:val="00497AE7"/>
    <w:rsid w:val="004A05E5"/>
    <w:rsid w:val="004A129A"/>
    <w:rsid w:val="004A1E37"/>
    <w:rsid w:val="004A2569"/>
    <w:rsid w:val="004A5344"/>
    <w:rsid w:val="004B5A7B"/>
    <w:rsid w:val="004B62A8"/>
    <w:rsid w:val="004B687F"/>
    <w:rsid w:val="004B7F0A"/>
    <w:rsid w:val="004C6111"/>
    <w:rsid w:val="004C7A39"/>
    <w:rsid w:val="004D01B8"/>
    <w:rsid w:val="004D1236"/>
    <w:rsid w:val="004D1C6F"/>
    <w:rsid w:val="004D2FDE"/>
    <w:rsid w:val="004E3796"/>
    <w:rsid w:val="004E3E5E"/>
    <w:rsid w:val="004E56D9"/>
    <w:rsid w:val="004F1DBA"/>
    <w:rsid w:val="005033EE"/>
    <w:rsid w:val="00503B73"/>
    <w:rsid w:val="00513A44"/>
    <w:rsid w:val="00514D2F"/>
    <w:rsid w:val="005150AE"/>
    <w:rsid w:val="00520607"/>
    <w:rsid w:val="00524311"/>
    <w:rsid w:val="00525B01"/>
    <w:rsid w:val="00533562"/>
    <w:rsid w:val="00533B0A"/>
    <w:rsid w:val="00535D45"/>
    <w:rsid w:val="005372C2"/>
    <w:rsid w:val="00542FB4"/>
    <w:rsid w:val="00543C47"/>
    <w:rsid w:val="005452D9"/>
    <w:rsid w:val="00551B48"/>
    <w:rsid w:val="005520B8"/>
    <w:rsid w:val="00554911"/>
    <w:rsid w:val="0056742F"/>
    <w:rsid w:val="00574C42"/>
    <w:rsid w:val="00585B22"/>
    <w:rsid w:val="005933FD"/>
    <w:rsid w:val="00593A2F"/>
    <w:rsid w:val="00594827"/>
    <w:rsid w:val="00595069"/>
    <w:rsid w:val="00596991"/>
    <w:rsid w:val="005A02E3"/>
    <w:rsid w:val="005A3C08"/>
    <w:rsid w:val="005B104C"/>
    <w:rsid w:val="005B390D"/>
    <w:rsid w:val="005B4C16"/>
    <w:rsid w:val="005C45F8"/>
    <w:rsid w:val="005C5ACA"/>
    <w:rsid w:val="005D05A9"/>
    <w:rsid w:val="005E2130"/>
    <w:rsid w:val="005E3686"/>
    <w:rsid w:val="005E7835"/>
    <w:rsid w:val="005F0740"/>
    <w:rsid w:val="005F19E3"/>
    <w:rsid w:val="005F3576"/>
    <w:rsid w:val="005F53E2"/>
    <w:rsid w:val="005F5C5A"/>
    <w:rsid w:val="00604E4C"/>
    <w:rsid w:val="00606D24"/>
    <w:rsid w:val="00606F42"/>
    <w:rsid w:val="00611184"/>
    <w:rsid w:val="006116C2"/>
    <w:rsid w:val="00613F30"/>
    <w:rsid w:val="006168B0"/>
    <w:rsid w:val="0062233B"/>
    <w:rsid w:val="00622957"/>
    <w:rsid w:val="00623B82"/>
    <w:rsid w:val="00623E7A"/>
    <w:rsid w:val="00624E4F"/>
    <w:rsid w:val="00625883"/>
    <w:rsid w:val="00627F74"/>
    <w:rsid w:val="006304EE"/>
    <w:rsid w:val="0063126E"/>
    <w:rsid w:val="0063492B"/>
    <w:rsid w:val="00635A17"/>
    <w:rsid w:val="00637452"/>
    <w:rsid w:val="00641B30"/>
    <w:rsid w:val="006477AD"/>
    <w:rsid w:val="00651F00"/>
    <w:rsid w:val="00652395"/>
    <w:rsid w:val="00652616"/>
    <w:rsid w:val="00652A94"/>
    <w:rsid w:val="00653280"/>
    <w:rsid w:val="006557AC"/>
    <w:rsid w:val="0065624B"/>
    <w:rsid w:val="00657739"/>
    <w:rsid w:val="00661B41"/>
    <w:rsid w:val="00662E84"/>
    <w:rsid w:val="00670112"/>
    <w:rsid w:val="00670ADC"/>
    <w:rsid w:val="006710E3"/>
    <w:rsid w:val="006713CD"/>
    <w:rsid w:val="00674D37"/>
    <w:rsid w:val="006806D3"/>
    <w:rsid w:val="0068089A"/>
    <w:rsid w:val="00682EB6"/>
    <w:rsid w:val="00682F60"/>
    <w:rsid w:val="0068454C"/>
    <w:rsid w:val="006847E6"/>
    <w:rsid w:val="006863DB"/>
    <w:rsid w:val="0069583C"/>
    <w:rsid w:val="0069662B"/>
    <w:rsid w:val="006A1DE5"/>
    <w:rsid w:val="006A22D3"/>
    <w:rsid w:val="006A2A0C"/>
    <w:rsid w:val="006A2C14"/>
    <w:rsid w:val="006A30A9"/>
    <w:rsid w:val="006B2DD2"/>
    <w:rsid w:val="006B3595"/>
    <w:rsid w:val="006B5598"/>
    <w:rsid w:val="006C1E04"/>
    <w:rsid w:val="006C2CDE"/>
    <w:rsid w:val="006E2134"/>
    <w:rsid w:val="006E57D6"/>
    <w:rsid w:val="006E685D"/>
    <w:rsid w:val="006F1DA8"/>
    <w:rsid w:val="006F3F78"/>
    <w:rsid w:val="006F66D3"/>
    <w:rsid w:val="006F71F7"/>
    <w:rsid w:val="00703817"/>
    <w:rsid w:val="00705C98"/>
    <w:rsid w:val="00707285"/>
    <w:rsid w:val="007109D9"/>
    <w:rsid w:val="00713E6A"/>
    <w:rsid w:val="0071766A"/>
    <w:rsid w:val="007205A3"/>
    <w:rsid w:val="007207C0"/>
    <w:rsid w:val="00722A39"/>
    <w:rsid w:val="00723848"/>
    <w:rsid w:val="007273D3"/>
    <w:rsid w:val="00732AB7"/>
    <w:rsid w:val="007354B2"/>
    <w:rsid w:val="00736414"/>
    <w:rsid w:val="0074360F"/>
    <w:rsid w:val="007464A2"/>
    <w:rsid w:val="00746DC7"/>
    <w:rsid w:val="00747ABC"/>
    <w:rsid w:val="00750A21"/>
    <w:rsid w:val="00751DA1"/>
    <w:rsid w:val="0075302C"/>
    <w:rsid w:val="00756F99"/>
    <w:rsid w:val="00762B4E"/>
    <w:rsid w:val="00766475"/>
    <w:rsid w:val="00770B3D"/>
    <w:rsid w:val="00773C2F"/>
    <w:rsid w:val="007754CC"/>
    <w:rsid w:val="007954F4"/>
    <w:rsid w:val="007A0FC6"/>
    <w:rsid w:val="007A25DF"/>
    <w:rsid w:val="007A6C8E"/>
    <w:rsid w:val="007B0DE2"/>
    <w:rsid w:val="007B24A3"/>
    <w:rsid w:val="007B2647"/>
    <w:rsid w:val="007B3865"/>
    <w:rsid w:val="007B546D"/>
    <w:rsid w:val="007C0D35"/>
    <w:rsid w:val="007C10A4"/>
    <w:rsid w:val="007D229F"/>
    <w:rsid w:val="007D487F"/>
    <w:rsid w:val="007D648F"/>
    <w:rsid w:val="007E1C02"/>
    <w:rsid w:val="007E6190"/>
    <w:rsid w:val="007E67AD"/>
    <w:rsid w:val="007E7352"/>
    <w:rsid w:val="00801841"/>
    <w:rsid w:val="00804130"/>
    <w:rsid w:val="008060CB"/>
    <w:rsid w:val="008061FB"/>
    <w:rsid w:val="0081417D"/>
    <w:rsid w:val="00816346"/>
    <w:rsid w:val="0081774E"/>
    <w:rsid w:val="008213DD"/>
    <w:rsid w:val="0082386C"/>
    <w:rsid w:val="008278A4"/>
    <w:rsid w:val="00831E78"/>
    <w:rsid w:val="008352BB"/>
    <w:rsid w:val="0083652E"/>
    <w:rsid w:val="00836D12"/>
    <w:rsid w:val="008408BE"/>
    <w:rsid w:val="00841C0D"/>
    <w:rsid w:val="008462D6"/>
    <w:rsid w:val="00846B13"/>
    <w:rsid w:val="00854EA0"/>
    <w:rsid w:val="008576E0"/>
    <w:rsid w:val="00862E5A"/>
    <w:rsid w:val="00863AC9"/>
    <w:rsid w:val="008673A3"/>
    <w:rsid w:val="0087297F"/>
    <w:rsid w:val="00886904"/>
    <w:rsid w:val="00891BA4"/>
    <w:rsid w:val="008A04A1"/>
    <w:rsid w:val="008A7EDE"/>
    <w:rsid w:val="008B1457"/>
    <w:rsid w:val="008B5320"/>
    <w:rsid w:val="008B57CD"/>
    <w:rsid w:val="008C69AC"/>
    <w:rsid w:val="008C79D2"/>
    <w:rsid w:val="008D059F"/>
    <w:rsid w:val="008D19FF"/>
    <w:rsid w:val="008E39C0"/>
    <w:rsid w:val="008E64FA"/>
    <w:rsid w:val="008E6EDE"/>
    <w:rsid w:val="008F06CA"/>
    <w:rsid w:val="008F43B1"/>
    <w:rsid w:val="008F4E09"/>
    <w:rsid w:val="008F574F"/>
    <w:rsid w:val="00901CB4"/>
    <w:rsid w:val="00901DBF"/>
    <w:rsid w:val="00901E8C"/>
    <w:rsid w:val="009025E6"/>
    <w:rsid w:val="00906C34"/>
    <w:rsid w:val="00913AA5"/>
    <w:rsid w:val="00913BD0"/>
    <w:rsid w:val="0091644E"/>
    <w:rsid w:val="00916D1A"/>
    <w:rsid w:val="00917807"/>
    <w:rsid w:val="00930FB0"/>
    <w:rsid w:val="0093182C"/>
    <w:rsid w:val="00943D4E"/>
    <w:rsid w:val="0094682B"/>
    <w:rsid w:val="00950EED"/>
    <w:rsid w:val="00953A0B"/>
    <w:rsid w:val="00953EA4"/>
    <w:rsid w:val="00956556"/>
    <w:rsid w:val="00971D02"/>
    <w:rsid w:val="00980602"/>
    <w:rsid w:val="00980C75"/>
    <w:rsid w:val="0098161C"/>
    <w:rsid w:val="009861ED"/>
    <w:rsid w:val="009869A2"/>
    <w:rsid w:val="0099036B"/>
    <w:rsid w:val="009916C4"/>
    <w:rsid w:val="009A0BDA"/>
    <w:rsid w:val="009A16EC"/>
    <w:rsid w:val="009B3E93"/>
    <w:rsid w:val="009C09F6"/>
    <w:rsid w:val="009C2DC9"/>
    <w:rsid w:val="009C6C00"/>
    <w:rsid w:val="009C6E30"/>
    <w:rsid w:val="009C7442"/>
    <w:rsid w:val="009D24B2"/>
    <w:rsid w:val="009D7822"/>
    <w:rsid w:val="009E088B"/>
    <w:rsid w:val="009E284A"/>
    <w:rsid w:val="009E3A9F"/>
    <w:rsid w:val="009E3DB6"/>
    <w:rsid w:val="009E3DD2"/>
    <w:rsid w:val="009E7155"/>
    <w:rsid w:val="009F313F"/>
    <w:rsid w:val="00A00C68"/>
    <w:rsid w:val="00A00F87"/>
    <w:rsid w:val="00A03E1D"/>
    <w:rsid w:val="00A103AE"/>
    <w:rsid w:val="00A11327"/>
    <w:rsid w:val="00A13FDB"/>
    <w:rsid w:val="00A1511B"/>
    <w:rsid w:val="00A15E6E"/>
    <w:rsid w:val="00A226AD"/>
    <w:rsid w:val="00A24E31"/>
    <w:rsid w:val="00A274C3"/>
    <w:rsid w:val="00A31093"/>
    <w:rsid w:val="00A31169"/>
    <w:rsid w:val="00A33386"/>
    <w:rsid w:val="00A44976"/>
    <w:rsid w:val="00A45784"/>
    <w:rsid w:val="00A458FB"/>
    <w:rsid w:val="00A50C6B"/>
    <w:rsid w:val="00A5455F"/>
    <w:rsid w:val="00A55AA2"/>
    <w:rsid w:val="00A61A20"/>
    <w:rsid w:val="00A6242D"/>
    <w:rsid w:val="00A63FA2"/>
    <w:rsid w:val="00A642D2"/>
    <w:rsid w:val="00A644CC"/>
    <w:rsid w:val="00A703AC"/>
    <w:rsid w:val="00A72418"/>
    <w:rsid w:val="00A73AD5"/>
    <w:rsid w:val="00A757CF"/>
    <w:rsid w:val="00A75CDD"/>
    <w:rsid w:val="00A833BF"/>
    <w:rsid w:val="00A870F0"/>
    <w:rsid w:val="00A9447D"/>
    <w:rsid w:val="00A95A14"/>
    <w:rsid w:val="00AA1FCC"/>
    <w:rsid w:val="00AB0888"/>
    <w:rsid w:val="00AB1398"/>
    <w:rsid w:val="00AB1DA0"/>
    <w:rsid w:val="00AB2B00"/>
    <w:rsid w:val="00AB7274"/>
    <w:rsid w:val="00AB7865"/>
    <w:rsid w:val="00AC1856"/>
    <w:rsid w:val="00AC295B"/>
    <w:rsid w:val="00AC3003"/>
    <w:rsid w:val="00AC469F"/>
    <w:rsid w:val="00AD1450"/>
    <w:rsid w:val="00AE0161"/>
    <w:rsid w:val="00AE070B"/>
    <w:rsid w:val="00AE13EF"/>
    <w:rsid w:val="00AE491E"/>
    <w:rsid w:val="00AF233F"/>
    <w:rsid w:val="00AF2377"/>
    <w:rsid w:val="00AF2AA4"/>
    <w:rsid w:val="00AF7AE9"/>
    <w:rsid w:val="00B04304"/>
    <w:rsid w:val="00B04E92"/>
    <w:rsid w:val="00B05538"/>
    <w:rsid w:val="00B05B05"/>
    <w:rsid w:val="00B05DDD"/>
    <w:rsid w:val="00B065BA"/>
    <w:rsid w:val="00B1155D"/>
    <w:rsid w:val="00B11716"/>
    <w:rsid w:val="00B11C25"/>
    <w:rsid w:val="00B136D0"/>
    <w:rsid w:val="00B148EC"/>
    <w:rsid w:val="00B23D0D"/>
    <w:rsid w:val="00B2584B"/>
    <w:rsid w:val="00B3064F"/>
    <w:rsid w:val="00B317B2"/>
    <w:rsid w:val="00B34C1E"/>
    <w:rsid w:val="00B367B4"/>
    <w:rsid w:val="00B40FF8"/>
    <w:rsid w:val="00B42DFC"/>
    <w:rsid w:val="00B455B7"/>
    <w:rsid w:val="00B461E4"/>
    <w:rsid w:val="00B518F8"/>
    <w:rsid w:val="00B51CC6"/>
    <w:rsid w:val="00B53F60"/>
    <w:rsid w:val="00B56F06"/>
    <w:rsid w:val="00B6160A"/>
    <w:rsid w:val="00B6655F"/>
    <w:rsid w:val="00B721E2"/>
    <w:rsid w:val="00B7299A"/>
    <w:rsid w:val="00B72D9A"/>
    <w:rsid w:val="00B73899"/>
    <w:rsid w:val="00B7514F"/>
    <w:rsid w:val="00B8332B"/>
    <w:rsid w:val="00B93304"/>
    <w:rsid w:val="00B943B9"/>
    <w:rsid w:val="00B95444"/>
    <w:rsid w:val="00BA12F4"/>
    <w:rsid w:val="00BA239A"/>
    <w:rsid w:val="00BA2693"/>
    <w:rsid w:val="00BA3D3F"/>
    <w:rsid w:val="00BB0095"/>
    <w:rsid w:val="00BB0215"/>
    <w:rsid w:val="00BB5228"/>
    <w:rsid w:val="00BB5A7F"/>
    <w:rsid w:val="00BB64F4"/>
    <w:rsid w:val="00BB74DD"/>
    <w:rsid w:val="00BC232E"/>
    <w:rsid w:val="00BC7FC1"/>
    <w:rsid w:val="00BD6195"/>
    <w:rsid w:val="00BD6C83"/>
    <w:rsid w:val="00BE01E6"/>
    <w:rsid w:val="00BE03E6"/>
    <w:rsid w:val="00BE047F"/>
    <w:rsid w:val="00BF0095"/>
    <w:rsid w:val="00BF0238"/>
    <w:rsid w:val="00BF0DB8"/>
    <w:rsid w:val="00BF671B"/>
    <w:rsid w:val="00C01BB9"/>
    <w:rsid w:val="00C076D5"/>
    <w:rsid w:val="00C07D0D"/>
    <w:rsid w:val="00C134E2"/>
    <w:rsid w:val="00C142E7"/>
    <w:rsid w:val="00C17F18"/>
    <w:rsid w:val="00C23BD5"/>
    <w:rsid w:val="00C27394"/>
    <w:rsid w:val="00C27A0C"/>
    <w:rsid w:val="00C453A6"/>
    <w:rsid w:val="00C45CA0"/>
    <w:rsid w:val="00C45FEA"/>
    <w:rsid w:val="00C50DAF"/>
    <w:rsid w:val="00C5225E"/>
    <w:rsid w:val="00C55DE3"/>
    <w:rsid w:val="00C57A76"/>
    <w:rsid w:val="00C61365"/>
    <w:rsid w:val="00C62AB5"/>
    <w:rsid w:val="00C62E16"/>
    <w:rsid w:val="00C64EC3"/>
    <w:rsid w:val="00C74269"/>
    <w:rsid w:val="00C75A92"/>
    <w:rsid w:val="00C76E43"/>
    <w:rsid w:val="00C936EB"/>
    <w:rsid w:val="00C96A9A"/>
    <w:rsid w:val="00CA064A"/>
    <w:rsid w:val="00CA3CBE"/>
    <w:rsid w:val="00CA3ED2"/>
    <w:rsid w:val="00CA7E90"/>
    <w:rsid w:val="00CB1F47"/>
    <w:rsid w:val="00CB25E4"/>
    <w:rsid w:val="00CB2771"/>
    <w:rsid w:val="00CB5952"/>
    <w:rsid w:val="00CB6436"/>
    <w:rsid w:val="00CC7D03"/>
    <w:rsid w:val="00CD18FD"/>
    <w:rsid w:val="00CD1CDD"/>
    <w:rsid w:val="00CD3432"/>
    <w:rsid w:val="00CE0841"/>
    <w:rsid w:val="00CE4E11"/>
    <w:rsid w:val="00CE5C55"/>
    <w:rsid w:val="00CF18B7"/>
    <w:rsid w:val="00CF26A7"/>
    <w:rsid w:val="00CF2EB3"/>
    <w:rsid w:val="00CF306B"/>
    <w:rsid w:val="00CF4102"/>
    <w:rsid w:val="00CF4266"/>
    <w:rsid w:val="00CF5E67"/>
    <w:rsid w:val="00CF7C51"/>
    <w:rsid w:val="00D109EA"/>
    <w:rsid w:val="00D12496"/>
    <w:rsid w:val="00D20900"/>
    <w:rsid w:val="00D2356B"/>
    <w:rsid w:val="00D262CB"/>
    <w:rsid w:val="00D279EE"/>
    <w:rsid w:val="00D3664D"/>
    <w:rsid w:val="00D4349C"/>
    <w:rsid w:val="00D43A27"/>
    <w:rsid w:val="00D43E20"/>
    <w:rsid w:val="00D52BFC"/>
    <w:rsid w:val="00D5407F"/>
    <w:rsid w:val="00D55168"/>
    <w:rsid w:val="00D552FB"/>
    <w:rsid w:val="00D65434"/>
    <w:rsid w:val="00D72C73"/>
    <w:rsid w:val="00D73C61"/>
    <w:rsid w:val="00D75431"/>
    <w:rsid w:val="00D83898"/>
    <w:rsid w:val="00D872CD"/>
    <w:rsid w:val="00D90C17"/>
    <w:rsid w:val="00D91B78"/>
    <w:rsid w:val="00DA117A"/>
    <w:rsid w:val="00DA1D9C"/>
    <w:rsid w:val="00DA4F68"/>
    <w:rsid w:val="00DB3A3C"/>
    <w:rsid w:val="00DB3E47"/>
    <w:rsid w:val="00DB4030"/>
    <w:rsid w:val="00DB6DAB"/>
    <w:rsid w:val="00DB76FF"/>
    <w:rsid w:val="00DC052D"/>
    <w:rsid w:val="00DC75A8"/>
    <w:rsid w:val="00DD00C2"/>
    <w:rsid w:val="00DD3DCD"/>
    <w:rsid w:val="00DE0286"/>
    <w:rsid w:val="00DE10B7"/>
    <w:rsid w:val="00DE54D2"/>
    <w:rsid w:val="00DF2B11"/>
    <w:rsid w:val="00E017FC"/>
    <w:rsid w:val="00E02B5E"/>
    <w:rsid w:val="00E053CA"/>
    <w:rsid w:val="00E05739"/>
    <w:rsid w:val="00E0589F"/>
    <w:rsid w:val="00E11D6D"/>
    <w:rsid w:val="00E16A8B"/>
    <w:rsid w:val="00E20C71"/>
    <w:rsid w:val="00E219D7"/>
    <w:rsid w:val="00E26F20"/>
    <w:rsid w:val="00E31A23"/>
    <w:rsid w:val="00E32CA2"/>
    <w:rsid w:val="00E37536"/>
    <w:rsid w:val="00E40517"/>
    <w:rsid w:val="00E4068E"/>
    <w:rsid w:val="00E4209D"/>
    <w:rsid w:val="00E4460F"/>
    <w:rsid w:val="00E4512F"/>
    <w:rsid w:val="00E462DF"/>
    <w:rsid w:val="00E46C54"/>
    <w:rsid w:val="00E47F12"/>
    <w:rsid w:val="00E513FD"/>
    <w:rsid w:val="00E51662"/>
    <w:rsid w:val="00E516DE"/>
    <w:rsid w:val="00E53F5D"/>
    <w:rsid w:val="00E57312"/>
    <w:rsid w:val="00E61852"/>
    <w:rsid w:val="00E70EEA"/>
    <w:rsid w:val="00E71C7D"/>
    <w:rsid w:val="00E73994"/>
    <w:rsid w:val="00E75412"/>
    <w:rsid w:val="00E773F1"/>
    <w:rsid w:val="00E81A0A"/>
    <w:rsid w:val="00E81F39"/>
    <w:rsid w:val="00E879C9"/>
    <w:rsid w:val="00E87EBF"/>
    <w:rsid w:val="00E9218C"/>
    <w:rsid w:val="00E922A6"/>
    <w:rsid w:val="00E92E3D"/>
    <w:rsid w:val="00EA059B"/>
    <w:rsid w:val="00EA192B"/>
    <w:rsid w:val="00EA2255"/>
    <w:rsid w:val="00EA58AB"/>
    <w:rsid w:val="00EA71DC"/>
    <w:rsid w:val="00EB156E"/>
    <w:rsid w:val="00EB3200"/>
    <w:rsid w:val="00EB3C60"/>
    <w:rsid w:val="00EB49A6"/>
    <w:rsid w:val="00EC36A0"/>
    <w:rsid w:val="00EC3D4A"/>
    <w:rsid w:val="00ED1575"/>
    <w:rsid w:val="00ED1903"/>
    <w:rsid w:val="00ED2A18"/>
    <w:rsid w:val="00EE42F5"/>
    <w:rsid w:val="00EE50CE"/>
    <w:rsid w:val="00EE57C3"/>
    <w:rsid w:val="00EE5970"/>
    <w:rsid w:val="00EE6879"/>
    <w:rsid w:val="00EF1DFB"/>
    <w:rsid w:val="00EF1F5C"/>
    <w:rsid w:val="00EF2B35"/>
    <w:rsid w:val="00EF3BE1"/>
    <w:rsid w:val="00F0045D"/>
    <w:rsid w:val="00F06218"/>
    <w:rsid w:val="00F1340A"/>
    <w:rsid w:val="00F16E0B"/>
    <w:rsid w:val="00F228FB"/>
    <w:rsid w:val="00F2366C"/>
    <w:rsid w:val="00F24B09"/>
    <w:rsid w:val="00F3057D"/>
    <w:rsid w:val="00F3468E"/>
    <w:rsid w:val="00F354DF"/>
    <w:rsid w:val="00F41C67"/>
    <w:rsid w:val="00F50D3D"/>
    <w:rsid w:val="00F53DFE"/>
    <w:rsid w:val="00F57D5C"/>
    <w:rsid w:val="00F623C4"/>
    <w:rsid w:val="00F6402D"/>
    <w:rsid w:val="00F640D2"/>
    <w:rsid w:val="00F65E83"/>
    <w:rsid w:val="00F730FE"/>
    <w:rsid w:val="00F82B22"/>
    <w:rsid w:val="00F82D57"/>
    <w:rsid w:val="00F8354F"/>
    <w:rsid w:val="00F8414F"/>
    <w:rsid w:val="00F852A7"/>
    <w:rsid w:val="00F879D1"/>
    <w:rsid w:val="00F957F4"/>
    <w:rsid w:val="00FA0BBB"/>
    <w:rsid w:val="00FA0C14"/>
    <w:rsid w:val="00FA3E1D"/>
    <w:rsid w:val="00FA6D20"/>
    <w:rsid w:val="00FA6F51"/>
    <w:rsid w:val="00FB2073"/>
    <w:rsid w:val="00FB469F"/>
    <w:rsid w:val="00FB795D"/>
    <w:rsid w:val="00FC1EF6"/>
    <w:rsid w:val="00FC6617"/>
    <w:rsid w:val="00FC7B5B"/>
    <w:rsid w:val="00FC7C8A"/>
    <w:rsid w:val="00FD35C4"/>
    <w:rsid w:val="00FD3EFC"/>
    <w:rsid w:val="00FD5343"/>
    <w:rsid w:val="00FE31ED"/>
    <w:rsid w:val="00FE3C89"/>
    <w:rsid w:val="018A2252"/>
    <w:rsid w:val="040E1BD0"/>
    <w:rsid w:val="048A70E5"/>
    <w:rsid w:val="04C74740"/>
    <w:rsid w:val="05160F19"/>
    <w:rsid w:val="05F15F19"/>
    <w:rsid w:val="06BD5DFB"/>
    <w:rsid w:val="07A82607"/>
    <w:rsid w:val="07A8669E"/>
    <w:rsid w:val="091E7A74"/>
    <w:rsid w:val="0AAA0DF0"/>
    <w:rsid w:val="0AF671E5"/>
    <w:rsid w:val="0B474779"/>
    <w:rsid w:val="0CD926A6"/>
    <w:rsid w:val="10C405D5"/>
    <w:rsid w:val="117414B9"/>
    <w:rsid w:val="122D02D9"/>
    <w:rsid w:val="129E5C9F"/>
    <w:rsid w:val="12EE521E"/>
    <w:rsid w:val="13430F70"/>
    <w:rsid w:val="1404150D"/>
    <w:rsid w:val="14B80E3B"/>
    <w:rsid w:val="167E7B54"/>
    <w:rsid w:val="16D57841"/>
    <w:rsid w:val="16DF4CC2"/>
    <w:rsid w:val="170C43AF"/>
    <w:rsid w:val="178B6792"/>
    <w:rsid w:val="189575B0"/>
    <w:rsid w:val="18E90642"/>
    <w:rsid w:val="19301A45"/>
    <w:rsid w:val="19822EAA"/>
    <w:rsid w:val="19B07661"/>
    <w:rsid w:val="1AB31597"/>
    <w:rsid w:val="1AB45141"/>
    <w:rsid w:val="1B205E1E"/>
    <w:rsid w:val="1BD550E6"/>
    <w:rsid w:val="1EF35C8C"/>
    <w:rsid w:val="1F1A0417"/>
    <w:rsid w:val="1FE46489"/>
    <w:rsid w:val="201F3743"/>
    <w:rsid w:val="20B60B17"/>
    <w:rsid w:val="20C77B4A"/>
    <w:rsid w:val="215D4F00"/>
    <w:rsid w:val="22195C90"/>
    <w:rsid w:val="22A243CB"/>
    <w:rsid w:val="231A5B6D"/>
    <w:rsid w:val="23482FA1"/>
    <w:rsid w:val="235F1CF7"/>
    <w:rsid w:val="248C5333"/>
    <w:rsid w:val="24ED4662"/>
    <w:rsid w:val="275A7A4D"/>
    <w:rsid w:val="277826A1"/>
    <w:rsid w:val="27EA11BF"/>
    <w:rsid w:val="285F4B0C"/>
    <w:rsid w:val="295C629E"/>
    <w:rsid w:val="29DF7CB3"/>
    <w:rsid w:val="2A164AD4"/>
    <w:rsid w:val="2AB23F50"/>
    <w:rsid w:val="2B147FF5"/>
    <w:rsid w:val="2B1B6BD8"/>
    <w:rsid w:val="2D1A6ABE"/>
    <w:rsid w:val="2D621DCA"/>
    <w:rsid w:val="2F175FAE"/>
    <w:rsid w:val="2FBC567F"/>
    <w:rsid w:val="303705B5"/>
    <w:rsid w:val="303B7C22"/>
    <w:rsid w:val="30F8483A"/>
    <w:rsid w:val="316106C5"/>
    <w:rsid w:val="31730EDA"/>
    <w:rsid w:val="32BF6FA6"/>
    <w:rsid w:val="3304644E"/>
    <w:rsid w:val="34433534"/>
    <w:rsid w:val="34922BBA"/>
    <w:rsid w:val="34EB1585"/>
    <w:rsid w:val="354005B5"/>
    <w:rsid w:val="35C12962"/>
    <w:rsid w:val="36A41CFF"/>
    <w:rsid w:val="37135D64"/>
    <w:rsid w:val="3719062C"/>
    <w:rsid w:val="37A249F8"/>
    <w:rsid w:val="382014AF"/>
    <w:rsid w:val="38CA1951"/>
    <w:rsid w:val="3B770292"/>
    <w:rsid w:val="3C7821FC"/>
    <w:rsid w:val="3C7D799A"/>
    <w:rsid w:val="3E223086"/>
    <w:rsid w:val="3E8D3D29"/>
    <w:rsid w:val="40037A42"/>
    <w:rsid w:val="423E141F"/>
    <w:rsid w:val="429B0B90"/>
    <w:rsid w:val="459900E2"/>
    <w:rsid w:val="46595606"/>
    <w:rsid w:val="46A13DD5"/>
    <w:rsid w:val="470B7B0C"/>
    <w:rsid w:val="471C4D54"/>
    <w:rsid w:val="477C646E"/>
    <w:rsid w:val="47D14C87"/>
    <w:rsid w:val="480F66C6"/>
    <w:rsid w:val="483D68B3"/>
    <w:rsid w:val="48C055EE"/>
    <w:rsid w:val="492E74E4"/>
    <w:rsid w:val="495D664B"/>
    <w:rsid w:val="49805C47"/>
    <w:rsid w:val="4B552C8E"/>
    <w:rsid w:val="4BD73B3D"/>
    <w:rsid w:val="4D69684A"/>
    <w:rsid w:val="4E10389B"/>
    <w:rsid w:val="4E301ADB"/>
    <w:rsid w:val="4E686953"/>
    <w:rsid w:val="4EE540E8"/>
    <w:rsid w:val="4F0B3A4E"/>
    <w:rsid w:val="4FCB0750"/>
    <w:rsid w:val="51E33D1E"/>
    <w:rsid w:val="536E0205"/>
    <w:rsid w:val="53E84859"/>
    <w:rsid w:val="5401323C"/>
    <w:rsid w:val="54446925"/>
    <w:rsid w:val="54640332"/>
    <w:rsid w:val="548310D4"/>
    <w:rsid w:val="553025BD"/>
    <w:rsid w:val="55855303"/>
    <w:rsid w:val="55DC231C"/>
    <w:rsid w:val="57B353F5"/>
    <w:rsid w:val="58FB6F24"/>
    <w:rsid w:val="5962576C"/>
    <w:rsid w:val="59AD338F"/>
    <w:rsid w:val="59B70A84"/>
    <w:rsid w:val="59C46D66"/>
    <w:rsid w:val="5AE03FA4"/>
    <w:rsid w:val="5BE33F13"/>
    <w:rsid w:val="5BF52F92"/>
    <w:rsid w:val="5C2D1520"/>
    <w:rsid w:val="5DBD0424"/>
    <w:rsid w:val="5E0648A7"/>
    <w:rsid w:val="5E0E6B87"/>
    <w:rsid w:val="5E964C3F"/>
    <w:rsid w:val="5FC139A7"/>
    <w:rsid w:val="60EC1A4F"/>
    <w:rsid w:val="614E17A2"/>
    <w:rsid w:val="62AA3973"/>
    <w:rsid w:val="63312B48"/>
    <w:rsid w:val="64797B36"/>
    <w:rsid w:val="64816732"/>
    <w:rsid w:val="65C642C5"/>
    <w:rsid w:val="65FF005E"/>
    <w:rsid w:val="671E7365"/>
    <w:rsid w:val="6787738B"/>
    <w:rsid w:val="68414B42"/>
    <w:rsid w:val="68D93544"/>
    <w:rsid w:val="68E00120"/>
    <w:rsid w:val="69140A20"/>
    <w:rsid w:val="69DA2ED4"/>
    <w:rsid w:val="6A054BF2"/>
    <w:rsid w:val="6AD77278"/>
    <w:rsid w:val="6D8C399B"/>
    <w:rsid w:val="6DDF0898"/>
    <w:rsid w:val="6E7C3A35"/>
    <w:rsid w:val="6F862F2F"/>
    <w:rsid w:val="6FEA24DA"/>
    <w:rsid w:val="71AB3F7F"/>
    <w:rsid w:val="72542741"/>
    <w:rsid w:val="72C963D7"/>
    <w:rsid w:val="735D2A28"/>
    <w:rsid w:val="738246BE"/>
    <w:rsid w:val="73AE059F"/>
    <w:rsid w:val="73F95C9D"/>
    <w:rsid w:val="75A77168"/>
    <w:rsid w:val="76B5561E"/>
    <w:rsid w:val="770B532E"/>
    <w:rsid w:val="77CB7A92"/>
    <w:rsid w:val="786D1EFA"/>
    <w:rsid w:val="78E45CB4"/>
    <w:rsid w:val="7A2705C3"/>
    <w:rsid w:val="7A2A2AFF"/>
    <w:rsid w:val="7A5B573E"/>
    <w:rsid w:val="7A732EA5"/>
    <w:rsid w:val="7A8D43C0"/>
    <w:rsid w:val="7E227931"/>
    <w:rsid w:val="7EAA025D"/>
    <w:rsid w:val="7F426367"/>
    <w:rsid w:val="7FD7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widowControl/>
      <w:numPr>
        <w:ilvl w:val="0"/>
        <w:numId w:val="1"/>
      </w:numPr>
      <w:spacing w:before="340" w:after="330"/>
      <w:jc w:val="left"/>
      <w:outlineLvl w:val="0"/>
    </w:pPr>
    <w:rPr>
      <w:rFonts w:ascii="黑体" w:eastAsia="黑体"/>
      <w:b/>
      <w:kern w:val="44"/>
      <w:sz w:val="32"/>
      <w:szCs w:val="44"/>
      <w:lang w:val="zh-CN"/>
    </w:rPr>
  </w:style>
  <w:style w:type="paragraph" w:styleId="3">
    <w:name w:val="heading 2"/>
    <w:basedOn w:val="1"/>
    <w:next w:val="1"/>
    <w:link w:val="34"/>
    <w:qFormat/>
    <w:uiPriority w:val="0"/>
    <w:pPr>
      <w:keepNext/>
      <w:keepLines/>
      <w:numPr>
        <w:ilvl w:val="1"/>
        <w:numId w:val="1"/>
      </w:numPr>
      <w:spacing w:before="100" w:beforeAutospacing="1" w:after="100" w:afterAutospacing="1" w:line="360" w:lineRule="auto"/>
      <w:jc w:val="left"/>
      <w:outlineLvl w:val="1"/>
    </w:pPr>
    <w:rPr>
      <w:rFonts w:ascii="黑体" w:hAnsi="Arial" w:eastAsia="黑体"/>
      <w:b/>
      <w:kern w:val="0"/>
      <w:sz w:val="30"/>
      <w:lang w:val="zh-CN"/>
    </w:rPr>
  </w:style>
  <w:style w:type="paragraph" w:styleId="4">
    <w:name w:val="heading 3"/>
    <w:basedOn w:val="1"/>
    <w:next w:val="5"/>
    <w:link w:val="44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sz w:val="32"/>
    </w:rPr>
  </w:style>
  <w:style w:type="paragraph" w:styleId="6">
    <w:name w:val="heading 4"/>
    <w:basedOn w:val="1"/>
    <w:next w:val="1"/>
    <w:link w:val="37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 w:firstLineChars="200"/>
    </w:pPr>
  </w:style>
  <w:style w:type="paragraph" w:styleId="7">
    <w:name w:val="List Number 2"/>
    <w:basedOn w:val="1"/>
    <w:qFormat/>
    <w:uiPriority w:val="0"/>
    <w:pPr>
      <w:numPr>
        <w:ilvl w:val="0"/>
        <w:numId w:val="2"/>
      </w:numPr>
      <w:tabs>
        <w:tab w:val="left" w:pos="567"/>
      </w:tabs>
    </w:pPr>
    <w:rPr>
      <w:sz w:val="28"/>
    </w:rPr>
  </w:style>
  <w:style w:type="paragraph" w:styleId="8">
    <w:name w:val="caption"/>
    <w:basedOn w:val="1"/>
    <w:next w:val="1"/>
    <w:qFormat/>
    <w:uiPriority w:val="0"/>
    <w:pPr>
      <w:spacing w:line="360" w:lineRule="auto"/>
      <w:jc w:val="center"/>
    </w:pPr>
    <w:rPr>
      <w:rFonts w:ascii="Arial" w:hAnsi="Arial" w:eastAsia="黑体"/>
    </w:rPr>
  </w:style>
  <w:style w:type="paragraph" w:styleId="9">
    <w:name w:val="Document Map"/>
    <w:basedOn w:val="1"/>
    <w:link w:val="41"/>
    <w:qFormat/>
    <w:uiPriority w:val="0"/>
    <w:rPr>
      <w:rFonts w:ascii="宋体"/>
      <w:sz w:val="18"/>
      <w:szCs w:val="18"/>
    </w:rPr>
  </w:style>
  <w:style w:type="paragraph" w:styleId="10">
    <w:name w:val="annotation text"/>
    <w:basedOn w:val="1"/>
    <w:link w:val="30"/>
    <w:qFormat/>
    <w:uiPriority w:val="0"/>
    <w:pPr>
      <w:jc w:val="left"/>
    </w:pPr>
    <w:rPr>
      <w:lang w:val="zh-CN"/>
    </w:rPr>
  </w:style>
  <w:style w:type="paragraph" w:styleId="11">
    <w:name w:val="Body Text"/>
    <w:basedOn w:val="1"/>
    <w:link w:val="42"/>
    <w:qFormat/>
    <w:uiPriority w:val="0"/>
    <w:pPr>
      <w:spacing w:after="120"/>
    </w:pPr>
  </w:style>
  <w:style w:type="paragraph" w:styleId="12">
    <w:name w:val="Body Text Indent"/>
    <w:basedOn w:val="1"/>
    <w:qFormat/>
    <w:uiPriority w:val="0"/>
    <w:pPr>
      <w:ind w:firstLine="420"/>
    </w:pPr>
  </w:style>
  <w:style w:type="paragraph" w:styleId="13">
    <w:name w:val="toc 3"/>
    <w:basedOn w:val="1"/>
    <w:next w:val="1"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link w:val="32"/>
    <w:qFormat/>
    <w:uiPriority w:val="0"/>
    <w:rPr>
      <w:sz w:val="18"/>
      <w:szCs w:val="18"/>
      <w:lang w:val="zh-CN"/>
    </w:rPr>
  </w:style>
  <w:style w:type="paragraph" w:styleId="16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17">
    <w:name w:val="header"/>
    <w:basedOn w:val="1"/>
    <w:link w:val="2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18">
    <w:name w:val="toc 1"/>
    <w:basedOn w:val="1"/>
    <w:next w:val="1"/>
    <w:qFormat/>
    <w:uiPriority w:val="39"/>
  </w:style>
  <w:style w:type="paragraph" w:styleId="19">
    <w:name w:val="toc 2"/>
    <w:basedOn w:val="1"/>
    <w:next w:val="1"/>
    <w:qFormat/>
    <w:uiPriority w:val="39"/>
    <w:pPr>
      <w:ind w:left="420" w:leftChars="200"/>
    </w:pPr>
  </w:style>
  <w:style w:type="paragraph" w:styleId="20">
    <w:name w:val="annotation subject"/>
    <w:basedOn w:val="10"/>
    <w:next w:val="10"/>
    <w:link w:val="31"/>
    <w:qFormat/>
    <w:uiPriority w:val="0"/>
    <w:rPr>
      <w:b/>
      <w:bCs/>
    </w:rPr>
  </w:style>
  <w:style w:type="paragraph" w:styleId="21">
    <w:name w:val="Body Text First Indent 2"/>
    <w:qFormat/>
    <w:uiPriority w:val="0"/>
    <w:pPr>
      <w:widowControl w:val="0"/>
      <w:spacing w:after="120" w:afterLines="0"/>
      <w:ind w:left="420" w:leftChars="200"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table" w:styleId="23">
    <w:name w:val="Table Grid"/>
    <w:basedOn w:val="2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unhideWhenUsed/>
    <w:qFormat/>
    <w:uiPriority w:val="99"/>
    <w:rPr>
      <w:color w:val="0000FF"/>
      <w:u w:val="single"/>
    </w:rPr>
  </w:style>
  <w:style w:type="character" w:styleId="26">
    <w:name w:val="annotation reference"/>
    <w:qFormat/>
    <w:uiPriority w:val="0"/>
    <w:rPr>
      <w:sz w:val="21"/>
      <w:szCs w:val="21"/>
    </w:rPr>
  </w:style>
  <w:style w:type="paragraph" w:customStyle="1" w:styleId="27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character" w:customStyle="1" w:styleId="28">
    <w:name w:val="页眉 字符"/>
    <w:link w:val="17"/>
    <w:qFormat/>
    <w:uiPriority w:val="0"/>
    <w:rPr>
      <w:kern w:val="2"/>
      <w:sz w:val="18"/>
      <w:szCs w:val="18"/>
    </w:rPr>
  </w:style>
  <w:style w:type="character" w:customStyle="1" w:styleId="29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30">
    <w:name w:val="批注文字 字符"/>
    <w:link w:val="10"/>
    <w:qFormat/>
    <w:uiPriority w:val="0"/>
    <w:rPr>
      <w:kern w:val="2"/>
      <w:sz w:val="21"/>
    </w:rPr>
  </w:style>
  <w:style w:type="character" w:customStyle="1" w:styleId="31">
    <w:name w:val="批注主题 字符"/>
    <w:link w:val="20"/>
    <w:qFormat/>
    <w:uiPriority w:val="0"/>
    <w:rPr>
      <w:b/>
      <w:bCs/>
      <w:kern w:val="2"/>
      <w:sz w:val="21"/>
    </w:rPr>
  </w:style>
  <w:style w:type="character" w:customStyle="1" w:styleId="32">
    <w:name w:val="批注框文本 字符"/>
    <w:link w:val="15"/>
    <w:qFormat/>
    <w:uiPriority w:val="0"/>
    <w:rPr>
      <w:kern w:val="2"/>
      <w:sz w:val="18"/>
      <w:szCs w:val="18"/>
    </w:rPr>
  </w:style>
  <w:style w:type="character" w:customStyle="1" w:styleId="33">
    <w:name w:val="标题 1 字符"/>
    <w:link w:val="2"/>
    <w:qFormat/>
    <w:uiPriority w:val="0"/>
    <w:rPr>
      <w:rFonts w:ascii="黑体" w:eastAsia="黑体"/>
      <w:b/>
      <w:kern w:val="44"/>
      <w:sz w:val="32"/>
      <w:szCs w:val="44"/>
      <w:lang w:val="zh-CN" w:eastAsia="zh-CN"/>
    </w:rPr>
  </w:style>
  <w:style w:type="character" w:customStyle="1" w:styleId="34">
    <w:name w:val="标题 2 字符"/>
    <w:link w:val="3"/>
    <w:qFormat/>
    <w:uiPriority w:val="0"/>
    <w:rPr>
      <w:rFonts w:ascii="黑体" w:hAnsi="Arial" w:eastAsia="黑体"/>
      <w:b/>
      <w:sz w:val="30"/>
      <w:lang w:val="zh-CN" w:eastAsia="zh-CN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paragraph" w:customStyle="1" w:styleId="3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37">
    <w:name w:val="标题 4 字符"/>
    <w:basedOn w:val="24"/>
    <w:link w:val="6"/>
    <w:qFormat/>
    <w:uiPriority w:val="0"/>
    <w:rPr>
      <w:rFonts w:ascii="Cambria" w:hAnsi="Cambria"/>
      <w:b/>
      <w:bCs/>
      <w:kern w:val="2"/>
      <w:sz w:val="28"/>
      <w:szCs w:val="28"/>
    </w:rPr>
  </w:style>
  <w:style w:type="paragraph" w:customStyle="1" w:styleId="38">
    <w:name w:val="并列"/>
    <w:basedOn w:val="1"/>
    <w:qFormat/>
    <w:uiPriority w:val="0"/>
    <w:pPr>
      <w:spacing w:line="360" w:lineRule="auto"/>
      <w:ind w:firstLine="200" w:firstLineChars="200"/>
      <w:jc w:val="left"/>
    </w:pPr>
    <w:rPr>
      <w:szCs w:val="24"/>
    </w:rPr>
  </w:style>
  <w:style w:type="paragraph" w:customStyle="1" w:styleId="39">
    <w:name w:val="第1层正文"/>
    <w:basedOn w:val="1"/>
    <w:qFormat/>
    <w:uiPriority w:val="0"/>
    <w:pPr>
      <w:tabs>
        <w:tab w:val="left" w:pos="105"/>
      </w:tabs>
      <w:spacing w:before="120" w:after="120" w:line="360" w:lineRule="auto"/>
      <w:ind w:firstLine="480" w:firstLineChars="200"/>
      <w:jc w:val="left"/>
    </w:pPr>
    <w:rPr>
      <w:sz w:val="24"/>
      <w:szCs w:val="24"/>
    </w:rPr>
  </w:style>
  <w:style w:type="paragraph" w:customStyle="1" w:styleId="40">
    <w:name w:val="说明"/>
    <w:basedOn w:val="39"/>
    <w:next w:val="39"/>
    <w:qFormat/>
    <w:uiPriority w:val="0"/>
    <w:pPr>
      <w:spacing w:before="0" w:line="240" w:lineRule="auto"/>
      <w:ind w:left="450" w:firstLine="0" w:firstLineChars="0"/>
    </w:pPr>
    <w:rPr>
      <w:i/>
      <w:color w:val="000080"/>
      <w:sz w:val="21"/>
    </w:rPr>
  </w:style>
  <w:style w:type="character" w:customStyle="1" w:styleId="41">
    <w:name w:val="文档结构图 字符"/>
    <w:basedOn w:val="24"/>
    <w:link w:val="9"/>
    <w:qFormat/>
    <w:uiPriority w:val="0"/>
    <w:rPr>
      <w:rFonts w:ascii="宋体"/>
      <w:kern w:val="2"/>
      <w:sz w:val="18"/>
      <w:szCs w:val="18"/>
    </w:rPr>
  </w:style>
  <w:style w:type="character" w:customStyle="1" w:styleId="42">
    <w:name w:val="正文文本 字符"/>
    <w:basedOn w:val="24"/>
    <w:link w:val="11"/>
    <w:qFormat/>
    <w:uiPriority w:val="0"/>
    <w:rPr>
      <w:kern w:val="2"/>
      <w:sz w:val="21"/>
    </w:rPr>
  </w:style>
  <w:style w:type="paragraph" w:customStyle="1" w:styleId="43">
    <w:name w:val="样式2"/>
    <w:basedOn w:val="3"/>
    <w:next w:val="1"/>
    <w:qFormat/>
    <w:uiPriority w:val="0"/>
    <w:pPr>
      <w:numPr>
        <w:ilvl w:val="0"/>
        <w:numId w:val="3"/>
      </w:numPr>
    </w:pPr>
    <w:rPr>
      <w:rFonts w:ascii="Arial"/>
      <w:b w:val="0"/>
      <w:bCs/>
      <w:color w:val="000000"/>
      <w:kern w:val="2"/>
      <w:sz w:val="24"/>
      <w:szCs w:val="24"/>
      <w:lang w:val="en-US"/>
    </w:rPr>
  </w:style>
  <w:style w:type="character" w:customStyle="1" w:styleId="44">
    <w:name w:val="标题 3 字符"/>
    <w:basedOn w:val="24"/>
    <w:link w:val="4"/>
    <w:qFormat/>
    <w:uiPriority w:val="0"/>
    <w:rPr>
      <w:b/>
      <w:kern w:val="2"/>
      <w:sz w:val="32"/>
    </w:rPr>
  </w:style>
  <w:style w:type="paragraph" w:customStyle="1" w:styleId="45">
    <w:name w:val="正式正文"/>
    <w:basedOn w:val="1"/>
    <w:qFormat/>
    <w:uiPriority w:val="0"/>
    <w:pPr>
      <w:spacing w:line="312" w:lineRule="auto"/>
      <w:ind w:firstLine="200" w:firstLineChars="200"/>
    </w:pPr>
    <w:rPr>
      <w:sz w:val="24"/>
    </w:rPr>
  </w:style>
  <w:style w:type="paragraph" w:customStyle="1" w:styleId="46">
    <w:name w:val="三级标题"/>
    <w:next w:val="45"/>
    <w:qFormat/>
    <w:uiPriority w:val="0"/>
    <w:pPr>
      <w:widowControl w:val="0"/>
      <w:numPr>
        <w:ilvl w:val="2"/>
        <w:numId w:val="4"/>
      </w:numPr>
      <w:spacing w:before="60" w:after="60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4"/>
      <w:lang w:val="en-US" w:eastAsia="zh-CN" w:bidi="ar-SA"/>
    </w:rPr>
  </w:style>
  <w:style w:type="paragraph" w:customStyle="1" w:styleId="47">
    <w:name w:val="TABLE_HEAD"/>
    <w:qFormat/>
    <w:uiPriority w:val="99"/>
    <w:pPr>
      <w:widowControl w:val="0"/>
      <w:autoSpaceDE w:val="0"/>
      <w:autoSpaceDN w:val="0"/>
      <w:jc w:val="center"/>
    </w:pPr>
    <w:rPr>
      <w:rFonts w:ascii="Cambria" w:hAnsi="Cambria" w:eastAsia="宋体" w:cs="Cambria"/>
      <w:kern w:val="0"/>
      <w:sz w:val="16"/>
      <w:szCs w:val="16"/>
      <w:lang w:val="zh-CN" w:eastAsia="zh-CN" w:bidi="ar-SA"/>
    </w:rPr>
  </w:style>
  <w:style w:type="paragraph" w:customStyle="1" w:styleId="48">
    <w:name w:val="HEAD_FOOT"/>
    <w:qFormat/>
    <w:uiPriority w:val="99"/>
    <w:pPr>
      <w:widowControl w:val="0"/>
      <w:autoSpaceDE w:val="0"/>
      <w:autoSpaceDN w:val="0"/>
      <w:jc w:val="both"/>
    </w:pPr>
    <w:rPr>
      <w:rFonts w:ascii="Cambria" w:hAnsi="Cambria" w:eastAsia="宋体" w:cs="Cambria"/>
      <w:kern w:val="0"/>
      <w:sz w:val="18"/>
      <w:szCs w:val="18"/>
      <w:lang w:val="zh-CN" w:eastAsia="zh-CN" w:bidi="ar-SA"/>
    </w:rPr>
  </w:style>
  <w:style w:type="paragraph" w:customStyle="1" w:styleId="49">
    <w:name w:val="二级标题"/>
    <w:next w:val="45"/>
    <w:qFormat/>
    <w:uiPriority w:val="0"/>
    <w:pPr>
      <w:widowControl w:val="0"/>
      <w:numPr>
        <w:ilvl w:val="1"/>
        <w:numId w:val="4"/>
      </w:numPr>
      <w:spacing w:before="60" w:after="60"/>
      <w:jc w:val="both"/>
      <w:outlineLvl w:val="1"/>
    </w:pPr>
    <w:rPr>
      <w:rFonts w:ascii="Times New Roman" w:hAnsi="Times New Roman" w:eastAsia="宋体" w:cs="Times New Roman"/>
      <w:b/>
      <w:kern w:val="2"/>
      <w:sz w:val="2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1" Type="http://schemas.openxmlformats.org/officeDocument/2006/relationships/fontTable" Target="fontTable.xml"/><Relationship Id="rId40" Type="http://schemas.openxmlformats.org/officeDocument/2006/relationships/customXml" Target="../customXml/item2.xml"/><Relationship Id="rId4" Type="http://schemas.openxmlformats.org/officeDocument/2006/relationships/header" Target="header2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02&#20854;&#20182;&#24037;&#20316;&#36164;&#26009;\&#36136;&#37327;&#31649;&#29702;&#20307;&#31995;&#20462;&#35746;-2020\&#35768;&#24013;\&#31532;9&#20998;&#20876;&#65306;&#34920;&#26684;&#27169;&#26495;&#65288;&#24320;&#21457;&#31867;&#65289;&#27719;&#32534;\08.&#31995;&#32479;&#19978;&#32447;&#36807;&#31243;\&#39033;&#30446;&#21517;&#31216;-&#29992;&#25143;&#25163;&#20876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B8D8BE-EDA4-4A1C-AAF1-EFE028FC38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项目名称-用户手册</Template>
  <Pages>29</Pages>
  <Words>2824</Words>
  <Characters>3005</Characters>
  <Lines>19</Lines>
  <Paragraphs>5</Paragraphs>
  <TotalTime>0</TotalTime>
  <ScaleCrop>false</ScaleCrop>
  <LinksUpToDate>false</LinksUpToDate>
  <CharactersWithSpaces>5139</CharactersWithSpaces>
  <Application>WPS Office_11.8.2.11542_F1E327BC-269C-435d-A152-05C5408002CA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2020-12-15T01:10:00Z</dcterms:created>
  <dc:creator>胖公子</dc:creator>
  <cp:lastModifiedBy>PC</cp:lastModifiedBy>
  <dcterms:modified xsi:type="dcterms:W3CDTF">2023-09-23T10:28:17Z</dcterms:modified>
  <dc:title>管理评审控制程序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2052-11.8.2.11542</vt:lpwstr>
  </property>
  <property fmtid="{D5CDD505-2E9C-101B-9397-08002B2CF9AE}" pid="3" name="ICV">
    <vt:lpwstr>F47FC0FDD5FC4C21A911CD024F6CE0EC</vt:lpwstr>
  </property>
</Properties>
</file>