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pPr w:leftFromText="180" w:rightFromText="180" w:vertAnchor="page" w:horzAnchor="page" w:tblpX="1402" w:tblpY="1448"/>
        <w:tblOverlap w:val="never"/>
        <w:tblW w:w="9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3" w:hRule="atLeast"/>
        </w:trPr>
        <w:tc>
          <w:tcPr>
            <w:tcW w:w="9318" w:type="dxa"/>
            <w:vAlign w:val="center"/>
          </w:tcPr>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bookmarkStart w:id="0" w:name="_Toc184480090"/>
            <w:bookmarkStart w:id="1" w:name="_Toc182121124"/>
            <w:r>
              <w:rPr>
                <w:rFonts w:hint="eastAsia" w:ascii="黑体" w:hAnsi="黑体" w:eastAsia="黑体" w:cs="Times New Roman"/>
                <w:b/>
                <w:bCs/>
                <w:kern w:val="0"/>
                <w:sz w:val="56"/>
                <w:szCs w:val="56"/>
                <w:lang w:val="en-AU" w:eastAsia="zh-CN" w:bidi="ar-SA"/>
              </w:rPr>
              <w:t>中国航空工业集团有限公司</w:t>
            </w:r>
          </w:p>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资金收支预算管理系统</w:t>
            </w:r>
          </w:p>
          <w:p>
            <w:pPr>
              <w:tabs>
                <w:tab w:val="left" w:pos="228"/>
              </w:tabs>
              <w:spacing w:line="360" w:lineRule="auto"/>
              <w:ind w:firstLine="0" w:firstLineChars="0"/>
              <w:jc w:val="center"/>
              <w:rPr>
                <w:rFonts w:ascii="Calibri" w:hAnsi="Calibri" w:eastAsia="黑体" w:cs="Arial"/>
                <w:sz w:val="52"/>
                <w:szCs w:val="52"/>
                <w:lang w:eastAsia="zh-Hans"/>
              </w:rPr>
            </w:pPr>
            <w:r>
              <w:rPr>
                <w:rFonts w:hint="eastAsia" w:ascii="Times New Roman" w:hAnsi="Times New Roman" w:eastAsia="黑体" w:cs="Times New Roman"/>
                <w:b/>
                <w:sz w:val="52"/>
                <w:szCs w:val="52"/>
                <w:lang w:val="en-US" w:eastAsia="zh-CN"/>
              </w:rPr>
              <w:t>用户手册（业务人员）</w:t>
            </w:r>
          </w:p>
          <w:p>
            <w:pPr>
              <w:tabs>
                <w:tab w:val="left" w:pos="228"/>
              </w:tabs>
              <w:spacing w:line="360" w:lineRule="auto"/>
              <w:ind w:firstLine="0" w:firstLineChars="0"/>
              <w:jc w:val="center"/>
              <w:rPr>
                <w:rFonts w:ascii="Calibri" w:hAnsi="Calibri" w:eastAsia="黑体" w:cs="Arial"/>
                <w:sz w:val="52"/>
                <w:szCs w:val="52"/>
              </w:rPr>
            </w:pPr>
          </w:p>
          <w:p>
            <w:pPr>
              <w:tabs>
                <w:tab w:val="left" w:pos="228"/>
              </w:tabs>
              <w:spacing w:line="360" w:lineRule="auto"/>
              <w:ind w:firstLine="0" w:firstLineChars="0"/>
              <w:jc w:val="center"/>
              <w:rPr>
                <w:rFonts w:ascii="Calibri" w:hAnsi="Calibri" w:eastAsia="黑体" w:cs="Arial"/>
                <w:sz w:val="52"/>
                <w:szCs w:val="52"/>
              </w:rPr>
            </w:pPr>
            <w:r>
              <w:rPr>
                <w:rFonts w:ascii="Calibri" w:hAnsi="Calibri" w:eastAsia="宋体" w:cs="Times New Roman"/>
                <w:sz w:val="24"/>
                <w:szCs w:val="22"/>
              </w:rPr>
              <w:drawing>
                <wp:inline distT="0" distB="0" distL="0" distR="0">
                  <wp:extent cx="1388745" cy="1483995"/>
                  <wp:effectExtent l="0" t="0" r="1905" b="1905"/>
                  <wp:docPr id="13" name="图片 13" descr="集团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集团公司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88745" cy="1483995"/>
                          </a:xfrm>
                          <a:prstGeom prst="rect">
                            <a:avLst/>
                          </a:prstGeom>
                          <a:noFill/>
                          <a:ln>
                            <a:noFill/>
                          </a:ln>
                        </pic:spPr>
                      </pic:pic>
                    </a:graphicData>
                  </a:graphic>
                </wp:inline>
              </w:drawing>
            </w:r>
          </w:p>
          <w:p>
            <w:pPr>
              <w:tabs>
                <w:tab w:val="left" w:pos="228"/>
              </w:tabs>
              <w:spacing w:line="360" w:lineRule="auto"/>
              <w:ind w:firstLine="0" w:firstLineChars="0"/>
              <w:jc w:val="center"/>
              <w:rPr>
                <w:rFonts w:ascii="Calibri" w:hAnsi="Calibri"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trPr>
        <w:tc>
          <w:tcPr>
            <w:tcW w:w="9318" w:type="dxa"/>
            <w:vAlign w:val="center"/>
          </w:tcPr>
          <w:p>
            <w:pPr>
              <w:widowControl w:val="0"/>
              <w:spacing w:line="300" w:lineRule="auto"/>
              <w:ind w:firstLine="0" w:firstLineChars="0"/>
              <w:jc w:val="center"/>
              <w:rPr>
                <w:rFonts w:hint="eastAsia" w:ascii="Calibri" w:hAnsi="Calibri" w:eastAsia="宋体" w:cs="宋体"/>
                <w:b/>
                <w:kern w:val="2"/>
                <w:sz w:val="32"/>
                <w:szCs w:val="16"/>
                <w:lang w:val="en-US" w:eastAsia="zh-CN" w:bidi="ar-SA"/>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trPr>
        <w:tc>
          <w:tcPr>
            <w:tcW w:w="9318" w:type="dxa"/>
            <w:vAlign w:val="center"/>
          </w:tcPr>
          <w:p>
            <w:pPr>
              <w:widowControl w:val="0"/>
              <w:spacing w:line="300" w:lineRule="auto"/>
              <w:ind w:firstLine="0" w:firstLineChars="0"/>
              <w:jc w:val="center"/>
              <w:rPr>
                <w:rFonts w:ascii="Calibri" w:hAnsi="Calibri" w:eastAsia="宋体" w:cs="宋体"/>
                <w:b/>
                <w:kern w:val="2"/>
                <w:sz w:val="32"/>
                <w:szCs w:val="16"/>
                <w:lang w:val="en-US" w:eastAsia="zh-CN" w:bidi="ar-SA"/>
              </w:rPr>
            </w:pPr>
            <w:r>
              <w:rPr>
                <w:rFonts w:hint="eastAsia" w:ascii="宋体" w:hAnsi="宋体" w:eastAsia="宋体" w:cs="宋体"/>
                <w:b/>
                <w:kern w:val="2"/>
                <w:sz w:val="32"/>
                <w:szCs w:val="16"/>
                <w:lang w:val="en-US" w:eastAsia="zh-CN" w:bidi="ar-SA"/>
              </w:rPr>
              <w:t>2023年12月29日</w:t>
            </w:r>
          </w:p>
        </w:tc>
      </w:tr>
    </w:tbl>
    <w:p>
      <w:pPr>
        <w:rPr>
          <w:rFonts w:ascii="黑体" w:hAnsi="黑体" w:eastAsia="黑体"/>
          <w:sz w:val="32"/>
          <w:szCs w:val="32"/>
        </w:rPr>
      </w:pPr>
    </w:p>
    <w:p>
      <w:pPr>
        <w:rPr>
          <w:rFonts w:ascii="Arial" w:hAnsi="Arial" w:eastAsia="黑体" w:cs="Arial"/>
          <w:b/>
          <w:sz w:val="32"/>
        </w:rPr>
      </w:pPr>
      <w:r>
        <w:rPr>
          <w:rFonts w:ascii="Arial" w:hAnsi="Arial" w:eastAsia="黑体" w:cs="Arial"/>
          <w:sz w:val="32"/>
          <w:szCs w:val="32"/>
        </w:rPr>
        <w:t xml:space="preserve"> </w:t>
      </w:r>
    </w:p>
    <w:p>
      <w:pPr>
        <w:rPr>
          <w:rFonts w:ascii="Arial" w:hAnsi="Arial" w:eastAsia="黑体" w:cs="Arial"/>
          <w:b/>
          <w:sz w:val="32"/>
        </w:rPr>
      </w:pPr>
    </w:p>
    <w:tbl>
      <w:tblPr>
        <w:tblStyle w:val="22"/>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1"/>
        <w:gridCol w:w="1709"/>
        <w:gridCol w:w="2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5021" w:type="dxa"/>
            <w:vMerge w:val="restart"/>
            <w:vAlign w:val="center"/>
          </w:tcPr>
          <w:p>
            <w:pPr>
              <w:spacing w:line="360" w:lineRule="auto"/>
              <w:ind w:firstLine="0" w:firstLineChars="0"/>
              <w:jc w:val="center"/>
              <w:rPr>
                <w:rFonts w:ascii="Times New Roman" w:hAnsi="Times New Roman" w:eastAsia="黑体" w:cs="Times New Roman"/>
                <w:b/>
                <w:sz w:val="40"/>
                <w:szCs w:val="40"/>
              </w:rPr>
            </w:pPr>
            <w:r>
              <w:rPr>
                <w:rFonts w:hint="eastAsia" w:ascii="Calibri" w:hAnsi="Calibri" w:eastAsia="黑体" w:cs="Times New Roman"/>
                <w:b/>
                <w:sz w:val="40"/>
                <w:szCs w:val="40"/>
              </w:rPr>
              <w:t>中航工业</w:t>
            </w:r>
            <w:r>
              <w:rPr>
                <w:rFonts w:hint="eastAsia" w:ascii="Times New Roman" w:hAnsi="Times New Roman" w:eastAsia="黑体" w:cs="Times New Roman"/>
                <w:b/>
                <w:sz w:val="40"/>
                <w:szCs w:val="40"/>
              </w:rPr>
              <w:t>集团</w:t>
            </w:r>
          </w:p>
          <w:p>
            <w:pPr>
              <w:spacing w:line="360" w:lineRule="auto"/>
              <w:ind w:firstLine="0" w:firstLineChars="0"/>
              <w:jc w:val="center"/>
              <w:rPr>
                <w:rFonts w:ascii="Calibri" w:hAnsi="Calibri" w:eastAsia="黑体" w:cs="Arial"/>
                <w:sz w:val="40"/>
                <w:szCs w:val="40"/>
              </w:rPr>
            </w:pPr>
            <w:r>
              <w:rPr>
                <w:rFonts w:hint="eastAsia" w:ascii="Calibri" w:hAnsi="Calibri" w:eastAsia="黑体" w:cs="Times New Roman"/>
                <w:b/>
                <w:sz w:val="40"/>
                <w:szCs w:val="40"/>
              </w:rPr>
              <w:t>财务</w:t>
            </w:r>
            <w:r>
              <w:rPr>
                <w:rFonts w:hint="eastAsia" w:ascii="Times New Roman" w:hAnsi="Times New Roman" w:eastAsia="黑体" w:cs="Times New Roman"/>
                <w:b/>
                <w:sz w:val="40"/>
                <w:szCs w:val="40"/>
              </w:rPr>
              <w:t>有限</w:t>
            </w:r>
            <w:r>
              <w:rPr>
                <w:rFonts w:hint="eastAsia" w:ascii="Calibri" w:hAnsi="Calibri" w:eastAsia="黑体" w:cs="Times New Roman"/>
                <w:b/>
                <w:sz w:val="40"/>
                <w:szCs w:val="40"/>
              </w:rPr>
              <w:t>责任</w:t>
            </w:r>
            <w:r>
              <w:rPr>
                <w:rFonts w:hint="eastAsia" w:ascii="Times New Roman" w:hAnsi="Times New Roman" w:eastAsia="黑体" w:cs="Times New Roman"/>
                <w:b/>
                <w:sz w:val="40"/>
                <w:szCs w:val="40"/>
              </w:rPr>
              <w:t>公司</w:t>
            </w:r>
          </w:p>
        </w:tc>
        <w:tc>
          <w:tcPr>
            <w:tcW w:w="1709" w:type="dxa"/>
            <w:vAlign w:val="center"/>
          </w:tcPr>
          <w:p>
            <w:pPr>
              <w:spacing w:line="360" w:lineRule="auto"/>
              <w:ind w:firstLine="0" w:firstLineChars="0"/>
              <w:jc w:val="right"/>
              <w:rPr>
                <w:rFonts w:ascii="Calibri" w:hAnsi="Calibri" w:eastAsia="黑体" w:cs="Arial"/>
                <w:sz w:val="24"/>
                <w:szCs w:val="24"/>
              </w:rPr>
            </w:pPr>
            <w:r>
              <w:rPr>
                <w:rFonts w:hint="eastAsia" w:ascii="Calibri" w:hAnsi="Calibri" w:eastAsia="黑体" w:cs="Arial"/>
                <w:sz w:val="24"/>
                <w:szCs w:val="24"/>
              </w:rPr>
              <w:t>文档编号：</w:t>
            </w:r>
          </w:p>
        </w:tc>
        <w:tc>
          <w:tcPr>
            <w:tcW w:w="2588" w:type="dxa"/>
            <w:vAlign w:val="center"/>
          </w:tcPr>
          <w:p>
            <w:pPr>
              <w:spacing w:line="360" w:lineRule="auto"/>
              <w:ind w:firstLine="0" w:firstLineChars="0"/>
              <w:rPr>
                <w:rFonts w:ascii="Calibri" w:hAnsi="Calibri" w:eastAsia="黑体" w:cs="Arial"/>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exact"/>
          <w:jc w:val="center"/>
        </w:trPr>
        <w:tc>
          <w:tcPr>
            <w:tcW w:w="5021" w:type="dxa"/>
            <w:vMerge w:val="continue"/>
            <w:vAlign w:val="center"/>
          </w:tcPr>
          <w:p>
            <w:pPr>
              <w:spacing w:line="360" w:lineRule="auto"/>
              <w:ind w:firstLine="0" w:firstLineChars="0"/>
              <w:jc w:val="center"/>
              <w:rPr>
                <w:rFonts w:ascii="Calibri" w:hAnsi="Calibri" w:eastAsia="黑体" w:cs="Arial"/>
                <w:sz w:val="40"/>
                <w:szCs w:val="40"/>
              </w:rPr>
            </w:pPr>
          </w:p>
        </w:tc>
        <w:tc>
          <w:tcPr>
            <w:tcW w:w="1709" w:type="dxa"/>
            <w:vAlign w:val="center"/>
          </w:tcPr>
          <w:p>
            <w:pPr>
              <w:spacing w:line="360" w:lineRule="auto"/>
              <w:ind w:firstLine="0" w:firstLineChars="0"/>
              <w:jc w:val="right"/>
              <w:rPr>
                <w:rFonts w:ascii="Calibri" w:hAnsi="Calibri" w:eastAsia="黑体" w:cs="Arial"/>
                <w:sz w:val="24"/>
                <w:szCs w:val="24"/>
              </w:rPr>
            </w:pPr>
            <w:r>
              <w:rPr>
                <w:rFonts w:hint="eastAsia" w:ascii="Calibri" w:hAnsi="Calibri" w:eastAsia="黑体" w:cs="Arial"/>
                <w:sz w:val="24"/>
                <w:szCs w:val="24"/>
              </w:rPr>
              <w:t>版本：</w:t>
            </w:r>
          </w:p>
        </w:tc>
        <w:tc>
          <w:tcPr>
            <w:tcW w:w="2588" w:type="dxa"/>
            <w:vAlign w:val="center"/>
          </w:tcPr>
          <w:p>
            <w:pPr>
              <w:spacing w:line="360" w:lineRule="auto"/>
              <w:ind w:firstLine="0" w:firstLineChars="0"/>
              <w:rPr>
                <w:rFonts w:ascii="Calibri" w:hAnsi="Calibri" w:eastAsia="黑体" w:cs="Arial"/>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3" w:hRule="atLeast"/>
          <w:jc w:val="center"/>
        </w:trPr>
        <w:tc>
          <w:tcPr>
            <w:tcW w:w="9318" w:type="dxa"/>
            <w:gridSpan w:val="3"/>
            <w:vAlign w:val="center"/>
          </w:tcPr>
          <w:p>
            <w:pPr>
              <w:tabs>
                <w:tab w:val="left" w:pos="228"/>
              </w:tabs>
              <w:spacing w:line="360" w:lineRule="auto"/>
              <w:ind w:firstLine="0" w:firstLineChars="0"/>
              <w:jc w:val="center"/>
              <w:rPr>
                <w:rFonts w:ascii="Times New Roman" w:hAnsi="Times New Roman" w:eastAsia="黑体" w:cs="Times New Roman"/>
                <w:b/>
                <w:sz w:val="52"/>
                <w:szCs w:val="52"/>
              </w:rPr>
            </w:pPr>
          </w:p>
          <w:p>
            <w:pPr>
              <w:tabs>
                <w:tab w:val="left" w:pos="228"/>
              </w:tabs>
              <w:spacing w:line="360" w:lineRule="auto"/>
              <w:ind w:firstLine="0" w:firstLineChars="0"/>
              <w:jc w:val="center"/>
              <w:rPr>
                <w:rFonts w:ascii="Times New Roman" w:hAnsi="Times New Roman" w:eastAsia="黑体" w:cs="Times New Roman"/>
                <w:b/>
                <w:sz w:val="52"/>
                <w:szCs w:val="52"/>
              </w:rPr>
            </w:pPr>
          </w:p>
          <w:p>
            <w:pPr>
              <w:tabs>
                <w:tab w:val="left" w:pos="228"/>
              </w:tabs>
              <w:spacing w:line="360" w:lineRule="auto"/>
              <w:ind w:firstLine="0" w:firstLineChars="0"/>
              <w:jc w:val="center"/>
              <w:rPr>
                <w:rFonts w:ascii="Times New Roman" w:hAnsi="Times New Roman" w:eastAsia="黑体" w:cs="Times New Roman"/>
                <w:b/>
                <w:sz w:val="52"/>
                <w:szCs w:val="52"/>
              </w:rPr>
            </w:pPr>
          </w:p>
          <w:p>
            <w:pPr>
              <w:widowControl/>
              <w:spacing w:line="300" w:lineRule="auto"/>
              <w:ind w:left="454" w:firstLine="0" w:firstLineChars="0"/>
              <w:jc w:val="center"/>
              <w:rPr>
                <w:rFonts w:ascii="黑体" w:hAnsi="黑体" w:eastAsia="黑体" w:cs="Times New Roman"/>
                <w:b/>
                <w:bCs/>
                <w:kern w:val="0"/>
                <w:sz w:val="56"/>
                <w:szCs w:val="56"/>
                <w:lang w:val="en-AU" w:eastAsia="zh-CN" w:bidi="ar-SA"/>
              </w:rPr>
            </w:pPr>
            <w:r>
              <w:rPr>
                <w:rFonts w:hint="eastAsia" w:ascii="黑体" w:hAnsi="黑体" w:eastAsia="黑体" w:cs="Times New Roman"/>
                <w:b/>
                <w:bCs/>
                <w:kern w:val="0"/>
                <w:sz w:val="56"/>
                <w:szCs w:val="56"/>
                <w:lang w:val="en-AU" w:eastAsia="zh-CN" w:bidi="ar-SA"/>
              </w:rPr>
              <w:t>资金收支预算管理系统</w:t>
            </w:r>
          </w:p>
          <w:p>
            <w:pPr>
              <w:widowControl/>
              <w:spacing w:line="300" w:lineRule="auto"/>
              <w:ind w:left="454" w:firstLine="0" w:firstLineChars="0"/>
              <w:jc w:val="center"/>
              <w:rPr>
                <w:rFonts w:hint="default" w:ascii="Times New Roman" w:hAnsi="Times New Roman" w:eastAsia="黑体" w:cs="Times New Roman"/>
                <w:b/>
                <w:kern w:val="0"/>
                <w:sz w:val="52"/>
                <w:szCs w:val="52"/>
                <w:lang w:val="en-US" w:eastAsia="zh-CN" w:bidi="ar-SA"/>
              </w:rPr>
            </w:pPr>
            <w:r>
              <w:rPr>
                <w:rFonts w:hint="eastAsia" w:ascii="Times New Roman" w:hAnsi="Times New Roman" w:eastAsia="黑体" w:cs="Times New Roman"/>
                <w:b/>
                <w:kern w:val="0"/>
                <w:sz w:val="52"/>
                <w:szCs w:val="52"/>
                <w:lang w:val="en-US" w:eastAsia="zh-CN" w:bidi="ar-SA"/>
              </w:rPr>
              <w:t>用户手册（业务人员）</w:t>
            </w:r>
          </w:p>
          <w:p>
            <w:pPr>
              <w:widowControl/>
              <w:spacing w:line="300" w:lineRule="auto"/>
              <w:ind w:left="454" w:firstLine="0" w:firstLineChars="0"/>
              <w:jc w:val="center"/>
              <w:rPr>
                <w:rFonts w:hint="eastAsia" w:ascii="Times New Roman" w:hAnsi="Times New Roman" w:eastAsia="黑体" w:cs="Times New Roman"/>
                <w:b/>
                <w:kern w:val="0"/>
                <w:sz w:val="52"/>
                <w:szCs w:val="52"/>
                <w:lang w:val="en-AU" w:eastAsia="zh-Hans" w:bidi="ar-SA"/>
              </w:rPr>
            </w:pPr>
          </w:p>
          <w:tbl>
            <w:tblPr>
              <w:tblStyle w:val="22"/>
              <w:tblW w:w="6360"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61"/>
              <w:gridCol w:w="2155"/>
              <w:gridCol w:w="2644"/>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p>
              </w:tc>
              <w:tc>
                <w:tcPr>
                  <w:tcW w:w="2155"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签署人</w:t>
                  </w:r>
                </w:p>
              </w:tc>
              <w:tc>
                <w:tcPr>
                  <w:tcW w:w="2644"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签署日期</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编   制</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hint="eastAsia"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ascii="Calibri" w:hAnsi="Calibri" w:eastAsia="宋体" w:cs="Times New Roman"/>
                      <w:sz w:val="24"/>
                      <w:szCs w:val="24"/>
                    </w:rPr>
                  </w:pPr>
                  <w:r>
                    <w:rPr>
                      <w:rFonts w:hint="eastAsia" w:ascii="Calibri" w:hAnsi="Calibri" w:eastAsia="宋体" w:cs="Times New Roman"/>
                      <w:sz w:val="24"/>
                      <w:szCs w:val="24"/>
                    </w:rPr>
                    <w:t>校   对</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ascii="Calibri" w:hAnsi="Calibri" w:eastAsia="宋体" w:cs="Times New Roman"/>
                      <w:sz w:val="24"/>
                      <w:szCs w:val="24"/>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567" w:hRule="exact"/>
                <w:jc w:val="center"/>
              </w:trPr>
              <w:tc>
                <w:tcPr>
                  <w:tcW w:w="1561" w:type="dxa"/>
                  <w:vAlign w:val="center"/>
                </w:tcPr>
                <w:p>
                  <w:pPr>
                    <w:spacing w:line="360" w:lineRule="auto"/>
                    <w:ind w:firstLine="0" w:firstLineChars="0"/>
                    <w:jc w:val="center"/>
                    <w:rPr>
                      <w:rFonts w:hint="eastAsia" w:ascii="Calibri" w:hAnsi="Calibri" w:eastAsia="宋体" w:cs="Times New Roman"/>
                      <w:sz w:val="24"/>
                      <w:szCs w:val="24"/>
                      <w:lang w:val="en-US" w:eastAsia="zh-CN"/>
                    </w:rPr>
                  </w:pPr>
                  <w:r>
                    <w:rPr>
                      <w:rFonts w:hint="eastAsia" w:ascii="Calibri" w:hAnsi="Calibri" w:eastAsia="宋体" w:cs="Times New Roman"/>
                      <w:sz w:val="24"/>
                      <w:szCs w:val="24"/>
                      <w:lang w:val="en-US" w:eastAsia="zh-CN"/>
                    </w:rPr>
                    <w:t>审</w:t>
                  </w:r>
                  <w:r>
                    <w:rPr>
                      <w:rFonts w:hint="eastAsia" w:ascii="Calibri" w:hAnsi="Calibri" w:eastAsia="宋体" w:cs="Times New Roman"/>
                      <w:sz w:val="24"/>
                      <w:szCs w:val="24"/>
                    </w:rPr>
                    <w:t xml:space="preserve">   </w:t>
                  </w:r>
                  <w:r>
                    <w:rPr>
                      <w:rFonts w:hint="eastAsia" w:ascii="Calibri" w:hAnsi="Calibri" w:eastAsia="宋体" w:cs="Times New Roman"/>
                      <w:sz w:val="24"/>
                      <w:szCs w:val="24"/>
                      <w:lang w:val="en-US" w:eastAsia="zh-CN"/>
                    </w:rPr>
                    <w:t>核</w:t>
                  </w:r>
                </w:p>
              </w:tc>
              <w:tc>
                <w:tcPr>
                  <w:tcW w:w="2155" w:type="dxa"/>
                  <w:vAlign w:val="center"/>
                </w:tcPr>
                <w:p>
                  <w:pPr>
                    <w:spacing w:line="360" w:lineRule="auto"/>
                    <w:ind w:firstLine="0" w:firstLineChars="0"/>
                    <w:rPr>
                      <w:rFonts w:ascii="Calibri" w:hAnsi="Calibri" w:eastAsia="宋体" w:cs="Times New Roman"/>
                      <w:sz w:val="24"/>
                      <w:szCs w:val="24"/>
                    </w:rPr>
                  </w:pPr>
                </w:p>
              </w:tc>
              <w:tc>
                <w:tcPr>
                  <w:tcW w:w="2644" w:type="dxa"/>
                  <w:vAlign w:val="center"/>
                </w:tcPr>
                <w:p>
                  <w:pPr>
                    <w:spacing w:line="360" w:lineRule="auto"/>
                    <w:ind w:firstLine="0" w:firstLineChars="0"/>
                    <w:rPr>
                      <w:rFonts w:ascii="Calibri" w:hAnsi="Calibri" w:eastAsia="宋体" w:cs="Times New Roman"/>
                      <w:sz w:val="24"/>
                      <w:szCs w:val="24"/>
                    </w:rPr>
                  </w:pPr>
                </w:p>
              </w:tc>
            </w:tr>
          </w:tbl>
          <w:p>
            <w:pPr>
              <w:tabs>
                <w:tab w:val="left" w:pos="228"/>
              </w:tabs>
              <w:spacing w:line="360" w:lineRule="auto"/>
              <w:ind w:firstLine="0" w:firstLineChars="0"/>
              <w:jc w:val="center"/>
              <w:rPr>
                <w:rFonts w:ascii="Calibri" w:hAnsi="Calibri" w:eastAsia="黑体" w:cs="Arial"/>
                <w:sz w:val="52"/>
                <w:szCs w:val="52"/>
              </w:rPr>
            </w:pPr>
          </w:p>
          <w:p>
            <w:pPr>
              <w:tabs>
                <w:tab w:val="left" w:pos="228"/>
              </w:tabs>
              <w:spacing w:line="360" w:lineRule="auto"/>
              <w:ind w:firstLine="0" w:firstLineChars="0"/>
              <w:jc w:val="center"/>
              <w:rPr>
                <w:rFonts w:ascii="Calibri" w:hAnsi="Calibri" w:eastAsia="黑体" w:cs="Arial"/>
                <w:sz w:val="52"/>
                <w:szCs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exact"/>
          <w:jc w:val="center"/>
        </w:trPr>
        <w:tc>
          <w:tcPr>
            <w:tcW w:w="9318" w:type="dxa"/>
            <w:gridSpan w:val="3"/>
            <w:vAlign w:val="center"/>
          </w:tcPr>
          <w:p>
            <w:pPr>
              <w:widowControl w:val="0"/>
              <w:spacing w:line="300" w:lineRule="auto"/>
              <w:ind w:firstLine="0" w:firstLineChars="0"/>
              <w:jc w:val="center"/>
              <w:rPr>
                <w:rFonts w:hint="eastAsia" w:ascii="Calibri" w:hAnsi="Calibri" w:eastAsia="宋体" w:cs="宋体"/>
                <w:b/>
                <w:kern w:val="2"/>
                <w:sz w:val="32"/>
                <w:szCs w:val="16"/>
                <w:lang w:val="en-US" w:eastAsia="zh-CN" w:bidi="ar-SA"/>
              </w:rPr>
            </w:pPr>
            <w:r>
              <w:rPr>
                <w:rFonts w:hint="eastAsia" w:ascii="Calibri" w:hAnsi="Calibri" w:eastAsia="宋体" w:cs="宋体"/>
                <w:b/>
                <w:kern w:val="2"/>
                <w:sz w:val="32"/>
                <w:szCs w:val="16"/>
                <w:lang w:val="en-US" w:eastAsia="zh-CN" w:bidi="ar-SA"/>
              </w:rPr>
              <w:t>航空工业财务公司/司库中心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exact"/>
          <w:jc w:val="center"/>
        </w:trPr>
        <w:tc>
          <w:tcPr>
            <w:tcW w:w="9318" w:type="dxa"/>
            <w:gridSpan w:val="3"/>
            <w:vAlign w:val="center"/>
          </w:tcPr>
          <w:p>
            <w:pPr>
              <w:widowControl w:val="0"/>
              <w:spacing w:line="300" w:lineRule="auto"/>
              <w:ind w:firstLine="0" w:firstLineChars="0"/>
              <w:jc w:val="center"/>
              <w:rPr>
                <w:rFonts w:ascii="Calibri" w:hAnsi="Calibri" w:eastAsia="宋体" w:cs="宋体"/>
                <w:b/>
                <w:kern w:val="2"/>
                <w:sz w:val="32"/>
                <w:szCs w:val="16"/>
                <w:lang w:val="en-US" w:eastAsia="zh-CN" w:bidi="ar-SA"/>
              </w:rPr>
            </w:pPr>
            <w:r>
              <w:rPr>
                <w:rFonts w:hint="eastAsia" w:ascii="宋体" w:hAnsi="宋体" w:eastAsia="宋体" w:cs="宋体"/>
                <w:b/>
                <w:kern w:val="2"/>
                <w:sz w:val="32"/>
                <w:szCs w:val="16"/>
                <w:lang w:val="en-US" w:eastAsia="zh-CN" w:bidi="ar-SA"/>
              </w:rPr>
              <w:t>2023年12月29日</w:t>
            </w:r>
          </w:p>
        </w:tc>
      </w:tr>
    </w:tbl>
    <w:p>
      <w:pPr>
        <w:rPr>
          <w:rFonts w:ascii="Arial" w:hAnsi="Arial" w:eastAsia="黑体" w:cs="Arial"/>
          <w:b/>
          <w:sz w:val="32"/>
        </w:rPr>
      </w:pPr>
    </w:p>
    <w:p>
      <w:pPr>
        <w:rPr>
          <w:rFonts w:ascii="Arial" w:hAnsi="Arial" w:eastAsia="黑体" w:cs="Arial"/>
          <w:b/>
          <w:sz w:val="32"/>
        </w:rPr>
      </w:pPr>
    </w:p>
    <w:p>
      <w:pPr>
        <w:rPr>
          <w:rFonts w:ascii="Arial" w:hAnsi="Arial" w:eastAsia="黑体" w:cs="Arial"/>
          <w:b/>
          <w:sz w:val="32"/>
        </w:rPr>
      </w:pPr>
    </w:p>
    <w:p>
      <w:pPr>
        <w:jc w:val="center"/>
        <w:rPr>
          <w:rFonts w:ascii="黑体" w:hAnsi="黑体" w:eastAsia="黑体"/>
          <w:b/>
          <w:sz w:val="44"/>
          <w:szCs w:val="44"/>
        </w:rPr>
      </w:pPr>
      <w:r>
        <w:rPr>
          <w:rFonts w:hint="eastAsia" w:ascii="黑体" w:hAnsi="黑体" w:eastAsia="黑体"/>
          <w:b/>
          <w:sz w:val="44"/>
          <w:szCs w:val="44"/>
        </w:rPr>
        <w:t>目录</w:t>
      </w:r>
    </w:p>
    <w:p>
      <w:pPr>
        <w:ind w:firstLine="542" w:firstLineChars="300"/>
        <w:jc w:val="center"/>
        <w:rPr>
          <w:rFonts w:ascii="黑体" w:hAnsi="黑体" w:eastAsia="黑体"/>
          <w:b/>
          <w:sz w:val="18"/>
          <w:szCs w:val="18"/>
        </w:rPr>
      </w:pPr>
    </w:p>
    <w:p>
      <w:pPr>
        <w:ind w:firstLine="542" w:firstLineChars="300"/>
        <w:jc w:val="center"/>
        <w:rPr>
          <w:rFonts w:ascii="黑体" w:hAnsi="黑体" w:eastAsia="黑体"/>
          <w:b/>
          <w:sz w:val="18"/>
          <w:szCs w:val="18"/>
        </w:rPr>
      </w:pPr>
    </w:p>
    <w:p>
      <w:pPr>
        <w:spacing w:line="360" w:lineRule="auto"/>
        <w:ind w:firstLine="542" w:firstLineChars="300"/>
        <w:jc w:val="center"/>
        <w:rPr>
          <w:rFonts w:ascii="黑体" w:hAnsi="黑体" w:eastAsia="黑体"/>
          <w:b/>
          <w:sz w:val="18"/>
          <w:szCs w:val="18"/>
        </w:rPr>
      </w:pPr>
    </w:p>
    <w:p>
      <w:pPr>
        <w:pStyle w:val="18"/>
        <w:tabs>
          <w:tab w:val="right" w:leader="dot" w:pos="9753"/>
        </w:tabs>
      </w:pPr>
      <w:bookmarkStart w:id="99" w:name="_GoBack"/>
      <w:bookmarkEnd w:id="99"/>
      <w:r>
        <w:rPr>
          <w:rFonts w:ascii="Arial" w:hAnsi="Arial" w:cs="Arial"/>
          <w:b/>
          <w:sz w:val="24"/>
          <w:szCs w:val="24"/>
        </w:rPr>
        <w:fldChar w:fldCharType="begin"/>
      </w:r>
      <w:r>
        <w:rPr>
          <w:rFonts w:ascii="Arial" w:hAnsi="Arial" w:cs="Arial"/>
          <w:b/>
          <w:sz w:val="24"/>
          <w:szCs w:val="24"/>
        </w:rPr>
        <w:instrText xml:space="preserve"> TOC \o "1-2" \h \z \u </w:instrText>
      </w:r>
      <w:r>
        <w:rPr>
          <w:rFonts w:ascii="Arial" w:hAnsi="Arial" w:cs="Arial"/>
          <w:b/>
          <w:sz w:val="24"/>
          <w:szCs w:val="24"/>
        </w:rPr>
        <w:fldChar w:fldCharType="separate"/>
      </w:r>
      <w:r>
        <w:rPr>
          <w:rFonts w:ascii="Arial" w:hAnsi="Arial" w:cs="Arial"/>
          <w:szCs w:val="24"/>
        </w:rPr>
        <w:fldChar w:fldCharType="begin"/>
      </w:r>
      <w:r>
        <w:rPr>
          <w:rFonts w:ascii="Arial" w:hAnsi="Arial" w:cs="Arial"/>
          <w:szCs w:val="24"/>
        </w:rPr>
        <w:instrText xml:space="preserve"> HYPERLINK \l _Toc15641 </w:instrText>
      </w:r>
      <w:r>
        <w:rPr>
          <w:rFonts w:ascii="Arial" w:hAnsi="Arial" w:cs="Arial"/>
          <w:szCs w:val="24"/>
        </w:rPr>
        <w:fldChar w:fldCharType="separate"/>
      </w:r>
      <w:r>
        <w:rPr>
          <w:rFonts w:hint="eastAsia" w:ascii="Arial" w:hAnsi="Arial" w:cs="Arial"/>
        </w:rPr>
        <w:t>一、 系统概述</w:t>
      </w:r>
      <w:r>
        <w:tab/>
      </w:r>
      <w:r>
        <w:fldChar w:fldCharType="begin"/>
      </w:r>
      <w:r>
        <w:instrText xml:space="preserve"> PAGEREF _Toc15641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_Toc19294 </w:instrText>
      </w:r>
      <w:r>
        <w:rPr>
          <w:rFonts w:ascii="Arial" w:hAnsi="Arial" w:cs="Arial"/>
          <w:szCs w:val="24"/>
        </w:rPr>
        <w:fldChar w:fldCharType="separate"/>
      </w:r>
      <w:r>
        <w:rPr>
          <w:rFonts w:hint="default"/>
        </w:rPr>
        <w:t xml:space="preserve">1.1 </w:t>
      </w:r>
      <w:r>
        <w:rPr>
          <w:rFonts w:hint="eastAsia"/>
        </w:rPr>
        <w:t>系统介绍</w:t>
      </w:r>
      <w:r>
        <w:tab/>
      </w:r>
      <w:r>
        <w:fldChar w:fldCharType="begin"/>
      </w:r>
      <w:r>
        <w:instrText xml:space="preserve"> PAGEREF _Toc19294 \h </w:instrText>
      </w:r>
      <w:r>
        <w:fldChar w:fldCharType="separate"/>
      </w:r>
      <w:r>
        <w:t>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_Toc3591 </w:instrText>
      </w:r>
      <w:r>
        <w:rPr>
          <w:rFonts w:ascii="Arial" w:hAnsi="Arial" w:cs="Arial"/>
          <w:szCs w:val="24"/>
        </w:rPr>
        <w:fldChar w:fldCharType="separate"/>
      </w:r>
      <w:r>
        <w:rPr>
          <w:rFonts w:hint="default"/>
        </w:rPr>
        <w:t xml:space="preserve">1.2 </w:t>
      </w:r>
      <w:r>
        <w:rPr>
          <w:rFonts w:hint="eastAsia"/>
        </w:rPr>
        <w:t>软硬件环境</w:t>
      </w:r>
      <w:r>
        <w:tab/>
      </w:r>
      <w:r>
        <w:fldChar w:fldCharType="begin"/>
      </w:r>
      <w:r>
        <w:instrText xml:space="preserve"> PAGEREF _Toc3591 \h </w:instrText>
      </w:r>
      <w:r>
        <w:fldChar w:fldCharType="separate"/>
      </w:r>
      <w:r>
        <w:t>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_Toc17297 </w:instrText>
      </w:r>
      <w:r>
        <w:rPr>
          <w:rFonts w:ascii="Arial" w:hAnsi="Arial" w:cs="Arial"/>
          <w:szCs w:val="24"/>
        </w:rPr>
        <w:fldChar w:fldCharType="separate"/>
      </w:r>
      <w:r>
        <w:rPr>
          <w:rFonts w:hint="eastAsia" w:ascii="Arial" w:hAnsi="Arial" w:cs="Arial"/>
        </w:rPr>
        <w:t>二、 系统</w:t>
      </w:r>
      <w:r>
        <w:rPr>
          <w:rFonts w:hint="eastAsia" w:ascii="Arial" w:hAnsi="Arial" w:cs="Arial"/>
          <w:lang w:eastAsia="zh-CN"/>
        </w:rPr>
        <w:t>登录</w:t>
      </w:r>
      <w:r>
        <w:tab/>
      </w:r>
      <w:r>
        <w:fldChar w:fldCharType="begin"/>
      </w:r>
      <w:r>
        <w:instrText xml:space="preserve"> PAGEREF _Toc17297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_Toc6289 </w:instrText>
      </w:r>
      <w:r>
        <w:rPr>
          <w:rFonts w:ascii="Arial" w:hAnsi="Arial" w:cs="Arial"/>
          <w:szCs w:val="24"/>
        </w:rPr>
        <w:fldChar w:fldCharType="separate"/>
      </w:r>
      <w:r>
        <w:rPr>
          <w:rFonts w:hint="default"/>
        </w:rPr>
        <w:t xml:space="preserve">2.1 </w:t>
      </w:r>
      <w:r>
        <w:rPr>
          <w:rFonts w:hint="eastAsia"/>
          <w:lang w:eastAsia="zh-CN"/>
        </w:rPr>
        <w:t>登录地址</w:t>
      </w:r>
      <w:r>
        <w:tab/>
      </w:r>
      <w:r>
        <w:fldChar w:fldCharType="begin"/>
      </w:r>
      <w:r>
        <w:instrText xml:space="preserve"> PAGEREF _Toc6289 \h </w:instrText>
      </w:r>
      <w:r>
        <w:fldChar w:fldCharType="separate"/>
      </w:r>
      <w:r>
        <w:t>5</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_Toc11814 </w:instrText>
      </w:r>
      <w:r>
        <w:rPr>
          <w:rFonts w:ascii="Arial" w:hAnsi="Arial" w:cs="Arial"/>
          <w:szCs w:val="24"/>
        </w:rPr>
        <w:fldChar w:fldCharType="separate"/>
      </w:r>
      <w:r>
        <w:rPr>
          <w:rFonts w:hint="default"/>
        </w:rPr>
        <w:t xml:space="preserve">2.2 </w:t>
      </w:r>
      <w:r>
        <w:rPr>
          <w:rFonts w:hint="eastAsia"/>
          <w:lang w:eastAsia="zh-CN"/>
        </w:rPr>
        <w:t>登录首页</w:t>
      </w:r>
      <w:r>
        <w:tab/>
      </w:r>
      <w:r>
        <w:fldChar w:fldCharType="begin"/>
      </w:r>
      <w:r>
        <w:instrText xml:space="preserve"> PAGEREF _Toc11814 \h </w:instrText>
      </w:r>
      <w:r>
        <w:fldChar w:fldCharType="separate"/>
      </w:r>
      <w:r>
        <w:t>5</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_Toc3931 </w:instrText>
      </w:r>
      <w:r>
        <w:rPr>
          <w:rFonts w:ascii="Arial" w:hAnsi="Arial" w:cs="Arial"/>
          <w:szCs w:val="24"/>
        </w:rPr>
        <w:fldChar w:fldCharType="separate"/>
      </w:r>
      <w:r>
        <w:rPr>
          <w:rFonts w:hint="eastAsia" w:ascii="Arial" w:hAnsi="Arial" w:cs="Arial"/>
        </w:rPr>
        <w:t>三、 通用功能</w:t>
      </w:r>
      <w:r>
        <w:tab/>
      </w:r>
      <w:r>
        <w:fldChar w:fldCharType="begin"/>
      </w:r>
      <w:r>
        <w:instrText xml:space="preserve"> PAGEREF _Toc3931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_Toc9936 </w:instrText>
      </w:r>
      <w:r>
        <w:rPr>
          <w:rFonts w:ascii="Arial" w:hAnsi="Arial" w:cs="Arial"/>
          <w:szCs w:val="24"/>
        </w:rPr>
        <w:fldChar w:fldCharType="separate"/>
      </w:r>
      <w:r>
        <w:rPr>
          <w:rFonts w:hint="default"/>
          <w:bCs/>
          <w:lang w:val="en-US" w:eastAsia="zh-CN"/>
        </w:rPr>
        <w:t xml:space="preserve">3.1 </w:t>
      </w:r>
      <w:r>
        <w:rPr>
          <w:rFonts w:hint="eastAsia"/>
          <w:bCs/>
          <w:lang w:val="en-US" w:eastAsia="zh-CN"/>
        </w:rPr>
        <w:t>页面风格</w:t>
      </w:r>
      <w:r>
        <w:tab/>
      </w:r>
      <w:r>
        <w:fldChar w:fldCharType="begin"/>
      </w:r>
      <w:r>
        <w:instrText xml:space="preserve"> PAGEREF _Toc9936 \h </w:instrText>
      </w:r>
      <w:r>
        <w:fldChar w:fldCharType="separate"/>
      </w:r>
      <w:r>
        <w:t>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_Toc3171 </w:instrText>
      </w:r>
      <w:r>
        <w:rPr>
          <w:rFonts w:ascii="Arial" w:hAnsi="Arial" w:cs="Arial"/>
          <w:szCs w:val="24"/>
        </w:rPr>
        <w:fldChar w:fldCharType="separate"/>
      </w:r>
      <w:r>
        <w:rPr>
          <w:rFonts w:hint="default"/>
          <w:lang w:val="en-US" w:eastAsia="zh-CN"/>
        </w:rPr>
        <w:t xml:space="preserve">3.2 </w:t>
      </w:r>
      <w:r>
        <w:rPr>
          <w:rFonts w:hint="eastAsia"/>
          <w:lang w:val="en-US" w:eastAsia="zh-CN"/>
        </w:rPr>
        <w:t>通用按钮约定</w:t>
      </w:r>
      <w:r>
        <w:tab/>
      </w:r>
      <w:r>
        <w:fldChar w:fldCharType="begin"/>
      </w:r>
      <w:r>
        <w:instrText xml:space="preserve"> PAGEREF _Toc3171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_Toc75 </w:instrText>
      </w:r>
      <w:r>
        <w:rPr>
          <w:rFonts w:ascii="Arial" w:hAnsi="Arial" w:cs="Arial"/>
          <w:szCs w:val="24"/>
        </w:rPr>
        <w:fldChar w:fldCharType="separate"/>
      </w:r>
      <w:r>
        <w:rPr>
          <w:rFonts w:hint="eastAsia" w:ascii="Arial" w:hAnsi="Arial" w:cs="Arial"/>
        </w:rPr>
        <w:t xml:space="preserve">四、 </w:t>
      </w:r>
      <w:r>
        <w:rPr>
          <w:rFonts w:hint="eastAsia" w:ascii="Arial" w:hAnsi="Arial" w:cs="Arial"/>
          <w:lang w:val="en-US" w:eastAsia="zh-CN"/>
        </w:rPr>
        <w:t>常见业务场景及操作步骤</w:t>
      </w:r>
      <w:r>
        <w:tab/>
      </w:r>
      <w:r>
        <w:fldChar w:fldCharType="begin"/>
      </w:r>
      <w:r>
        <w:instrText xml:space="preserve"> PAGEREF _Toc75 \h </w:instrText>
      </w:r>
      <w:r>
        <w:fldChar w:fldCharType="separate"/>
      </w:r>
      <w:r>
        <w:t>8</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_Toc32091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一、 如何编制预算计划</w:t>
      </w:r>
      <w:r>
        <w:tab/>
      </w:r>
      <w:r>
        <w:fldChar w:fldCharType="begin"/>
      </w:r>
      <w:r>
        <w:instrText xml:space="preserve"> PAGEREF _Toc32091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_Toc26557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_Toc26557 \h </w:instrText>
      </w:r>
      <w:r>
        <w:fldChar w:fldCharType="separate"/>
      </w:r>
      <w:r>
        <w:t>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_Toc19 \h </w:instrText>
      </w:r>
      <w:r>
        <w:fldChar w:fldCharType="separate"/>
      </w:r>
      <w:r>
        <w:t>9</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_Toc31757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_Toc31757 \h </w:instrText>
      </w:r>
      <w:r>
        <w:fldChar w:fldCharType="separate"/>
      </w:r>
      <w:r>
        <w:t>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_Toc5852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二、 如何汇总</w:t>
      </w:r>
      <w:r>
        <w:rPr>
          <w:rFonts w:hint="eastAsia" w:ascii="Arial" w:cs="Times New Roman"/>
          <w:kern w:val="2"/>
          <w:szCs w:val="24"/>
          <w:lang w:val="en-US" w:eastAsia="zh-CN" w:bidi="ar-SA"/>
        </w:rPr>
        <w:t>本单位各部门</w:t>
      </w:r>
      <w:r>
        <w:rPr>
          <w:rFonts w:hint="eastAsia" w:ascii="Arial" w:hAnsi="Times New Roman" w:eastAsia="宋体" w:cs="Times New Roman"/>
          <w:kern w:val="2"/>
          <w:szCs w:val="24"/>
          <w:lang w:val="en-US" w:eastAsia="zh-CN" w:bidi="ar-SA"/>
        </w:rPr>
        <w:t>预算</w:t>
      </w:r>
      <w:r>
        <w:rPr>
          <w:rFonts w:hint="eastAsia" w:ascii="Arial" w:cs="Times New Roman"/>
          <w:kern w:val="2"/>
          <w:szCs w:val="24"/>
          <w:lang w:val="en-US" w:eastAsia="zh-CN" w:bidi="ar-SA"/>
        </w:rPr>
        <w:t>和</w:t>
      </w:r>
      <w:r>
        <w:rPr>
          <w:rFonts w:hint="eastAsia" w:ascii="Arial" w:hAnsi="Times New Roman" w:eastAsia="宋体" w:cs="Times New Roman"/>
          <w:kern w:val="2"/>
          <w:szCs w:val="24"/>
          <w:lang w:val="en-US" w:eastAsia="zh-CN" w:bidi="ar-SA"/>
        </w:rPr>
        <w:t>计划</w:t>
      </w:r>
      <w:r>
        <w:tab/>
      </w:r>
      <w:r>
        <w:fldChar w:fldCharType="begin"/>
      </w:r>
      <w:r>
        <w:instrText xml:space="preserve"> PAGEREF _Toc5852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_Toc16682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_Toc16682 \h </w:instrText>
      </w:r>
      <w:r>
        <w:fldChar w:fldCharType="separate"/>
      </w:r>
      <w:r>
        <w:t>10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_Toc7493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_Toc7493 \h </w:instrText>
      </w:r>
      <w:r>
        <w:fldChar w:fldCharType="separate"/>
      </w:r>
      <w:r>
        <w:t>11</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_Toc22101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_Toc22101 \h </w:instrText>
      </w:r>
      <w:r>
        <w:fldChar w:fldCharType="separate"/>
      </w:r>
      <w:r>
        <w:t>11</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_Toc26545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三、 如何汇总</w:t>
      </w:r>
      <w:r>
        <w:rPr>
          <w:rFonts w:hint="eastAsia" w:ascii="Arial" w:cs="Times New Roman"/>
          <w:kern w:val="2"/>
          <w:szCs w:val="24"/>
          <w:lang w:val="en-US" w:eastAsia="zh-CN" w:bidi="ar-SA"/>
        </w:rPr>
        <w:t>所属单位</w:t>
      </w:r>
      <w:r>
        <w:rPr>
          <w:rFonts w:hint="eastAsia" w:ascii="Arial" w:hAnsi="Times New Roman" w:eastAsia="宋体" w:cs="Times New Roman"/>
          <w:kern w:val="2"/>
          <w:szCs w:val="24"/>
          <w:lang w:val="en-US" w:eastAsia="zh-CN" w:bidi="ar-SA"/>
        </w:rPr>
        <w:t>预算</w:t>
      </w:r>
      <w:r>
        <w:rPr>
          <w:rFonts w:hint="eastAsia" w:ascii="Arial" w:cs="Times New Roman"/>
          <w:kern w:val="2"/>
          <w:szCs w:val="24"/>
          <w:lang w:val="en-US" w:eastAsia="zh-CN" w:bidi="ar-SA"/>
        </w:rPr>
        <w:t>和</w:t>
      </w:r>
      <w:r>
        <w:rPr>
          <w:rFonts w:hint="eastAsia" w:ascii="Arial" w:hAnsi="Times New Roman" w:eastAsia="宋体" w:cs="Times New Roman"/>
          <w:kern w:val="2"/>
          <w:szCs w:val="24"/>
          <w:lang w:val="en-US" w:eastAsia="zh-CN" w:bidi="ar-SA"/>
        </w:rPr>
        <w:t>计划</w:t>
      </w:r>
      <w:r>
        <w:tab/>
      </w:r>
      <w:r>
        <w:fldChar w:fldCharType="begin"/>
      </w:r>
      <w:r>
        <w:instrText xml:space="preserve"> PAGEREF _Toc26545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_Toc20457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_Toc20457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_Toc3210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_Toc3210 \h </w:instrText>
      </w:r>
      <w:r>
        <w:fldChar w:fldCharType="separate"/>
      </w:r>
      <w:r>
        <w:t>12</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_Toc22586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_Toc22586 \h </w:instrText>
      </w:r>
      <w:r>
        <w:fldChar w:fldCharType="separate"/>
      </w:r>
      <w:r>
        <w:t>12</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_Toc3105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四、 如何</w:t>
      </w:r>
      <w:r>
        <w:rPr>
          <w:rFonts w:hint="eastAsia" w:ascii="Arial" w:cs="Times New Roman"/>
          <w:kern w:val="2"/>
          <w:szCs w:val="24"/>
          <w:lang w:val="en-US" w:eastAsia="zh-CN" w:bidi="ar-SA"/>
        </w:rPr>
        <w:t>编制预算调整</w:t>
      </w:r>
      <w:r>
        <w:tab/>
      </w:r>
      <w:r>
        <w:fldChar w:fldCharType="begin"/>
      </w:r>
      <w:r>
        <w:instrText xml:space="preserve"> PAGEREF _Toc3105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_Toc6265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_Toc6265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_Toc29818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_Toc29818 \h </w:instrText>
      </w:r>
      <w:r>
        <w:fldChar w:fldCharType="separate"/>
      </w:r>
      <w:r>
        <w:t>14</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_Toc12745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_Toc12745 \h </w:instrText>
      </w:r>
      <w:r>
        <w:fldChar w:fldCharType="separate"/>
      </w:r>
      <w:r>
        <w:t>14</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_Toc18584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五、 </w:t>
      </w:r>
      <w:r>
        <w:rPr>
          <w:rFonts w:hint="eastAsia" w:ascii="Arial" w:cs="Times New Roman"/>
          <w:kern w:val="2"/>
          <w:szCs w:val="24"/>
          <w:highlight w:val="none"/>
          <w:lang w:val="en-US" w:eastAsia="zh-CN" w:bidi="ar-SA"/>
        </w:rPr>
        <w:t>如何剔除预算执行数</w:t>
      </w:r>
      <w:r>
        <w:rPr>
          <w:rFonts w:hint="eastAsia" w:ascii="Arial" w:hAnsi="Times New Roman" w:eastAsia="宋体" w:cs="Times New Roman"/>
          <w:kern w:val="2"/>
          <w:szCs w:val="24"/>
          <w:highlight w:val="none"/>
          <w:lang w:val="en-US" w:eastAsia="zh-CN" w:bidi="ar-SA"/>
        </w:rPr>
        <w:t>客观事项</w:t>
      </w:r>
      <w:r>
        <w:tab/>
      </w:r>
      <w:r>
        <w:fldChar w:fldCharType="begin"/>
      </w:r>
      <w:r>
        <w:instrText xml:space="preserve"> PAGEREF _Toc18584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_Toc4070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_Toc4070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_Toc28419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_Toc28419 \h </w:instrText>
      </w:r>
      <w:r>
        <w:fldChar w:fldCharType="separate"/>
      </w:r>
      <w:r>
        <w:t>16</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_Toc27142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3． 操作步骤</w:t>
      </w:r>
      <w:r>
        <w:tab/>
      </w:r>
      <w:r>
        <w:fldChar w:fldCharType="begin"/>
      </w:r>
      <w:r>
        <w:instrText xml:space="preserve"> PAGEREF _Toc27142 \h </w:instrText>
      </w:r>
      <w:r>
        <w:fldChar w:fldCharType="separate"/>
      </w:r>
      <w:r>
        <w:t>17</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_Toc18844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 xml:space="preserve">六、 </w:t>
      </w:r>
      <w:r>
        <w:rPr>
          <w:rFonts w:hint="eastAsia" w:ascii="Arial" w:cs="Times New Roman"/>
          <w:kern w:val="2"/>
          <w:szCs w:val="24"/>
          <w:highlight w:val="none"/>
          <w:lang w:val="en-US" w:eastAsia="zh-CN" w:bidi="ar-SA"/>
        </w:rPr>
        <w:t>如何进行年度预算更新</w:t>
      </w:r>
      <w:r>
        <w:tab/>
      </w:r>
      <w:r>
        <w:fldChar w:fldCharType="begin"/>
      </w:r>
      <w:r>
        <w:instrText xml:space="preserve"> PAGEREF _Toc18844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_Toc11242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_Toc11242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_Toc26880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菜单路径</w:t>
      </w:r>
      <w:r>
        <w:tab/>
      </w:r>
      <w:r>
        <w:fldChar w:fldCharType="begin"/>
      </w:r>
      <w:r>
        <w:instrText xml:space="preserve"> PAGEREF _Toc26880 \h </w:instrText>
      </w:r>
      <w:r>
        <w:fldChar w:fldCharType="separate"/>
      </w:r>
      <w:r>
        <w:t>18</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_Toc4142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操作步骤</w:t>
      </w:r>
      <w:r>
        <w:tab/>
      </w:r>
      <w:r>
        <w:fldChar w:fldCharType="begin"/>
      </w:r>
      <w:r>
        <w:instrText xml:space="preserve"> PAGEREF _Toc4142 \h </w:instrText>
      </w:r>
      <w:r>
        <w:fldChar w:fldCharType="separate"/>
      </w:r>
      <w:r>
        <w:t>19</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_Toc8195 </w:instrText>
      </w:r>
      <w:r>
        <w:rPr>
          <w:rFonts w:ascii="Arial" w:hAnsi="Arial" w:cs="Arial"/>
          <w:szCs w:val="24"/>
        </w:rPr>
        <w:fldChar w:fldCharType="separate"/>
      </w:r>
      <w:r>
        <w:rPr>
          <w:rFonts w:hint="eastAsia" w:ascii="Arial" w:hAnsi="Times New Roman" w:eastAsia="宋体" w:cs="Times New Roman"/>
          <w:kern w:val="2"/>
          <w:szCs w:val="24"/>
          <w:lang w:val="en-US" w:eastAsia="zh-CN" w:bidi="ar-SA"/>
        </w:rPr>
        <w:t>七、 如何查询业务数据</w:t>
      </w:r>
      <w:r>
        <w:tab/>
      </w:r>
      <w:r>
        <w:fldChar w:fldCharType="begin"/>
      </w:r>
      <w:r>
        <w:instrText xml:space="preserve"> PAGEREF _Toc8195 \h </w:instrText>
      </w:r>
      <w:r>
        <w:fldChar w:fldCharType="separate"/>
      </w:r>
      <w:r>
        <w:t>20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_Toc15960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1． 业务场景描述</w:t>
      </w:r>
      <w:r>
        <w:tab/>
      </w:r>
      <w:r>
        <w:fldChar w:fldCharType="begin"/>
      </w:r>
      <w:r>
        <w:instrText xml:space="preserve"> PAGEREF _Toc15960 \h </w:instrText>
      </w:r>
      <w:r>
        <w:fldChar w:fldCharType="separate"/>
      </w:r>
      <w:r>
        <w:t>20</w:t>
      </w:r>
      <w:r>
        <w:fldChar w:fldCharType="end"/>
      </w:r>
      <w:r>
        <w:rPr>
          <w:rFonts w:ascii="Arial" w:hAnsi="Arial" w:cs="Arial"/>
          <w:szCs w:val="24"/>
        </w:rPr>
        <w:fldChar w:fldCharType="end"/>
      </w:r>
    </w:p>
    <w:p>
      <w:pPr>
        <w:pStyle w:val="19"/>
        <w:tabs>
          <w:tab w:val="right" w:leader="dot" w:pos="9753"/>
        </w:tabs>
      </w:pPr>
      <w:r>
        <w:rPr>
          <w:rFonts w:ascii="Arial" w:hAnsi="Arial" w:cs="Arial"/>
          <w:szCs w:val="24"/>
        </w:rPr>
        <w:fldChar w:fldCharType="begin"/>
      </w:r>
      <w:r>
        <w:rPr>
          <w:rFonts w:ascii="Arial" w:hAnsi="Arial" w:cs="Arial"/>
          <w:szCs w:val="24"/>
        </w:rPr>
        <w:instrText xml:space="preserve"> HYPERLINK \l _Toc8205 </w:instrText>
      </w:r>
      <w:r>
        <w:rPr>
          <w:rFonts w:ascii="Arial" w:hAnsi="Arial" w:cs="Arial"/>
          <w:szCs w:val="24"/>
        </w:rPr>
        <w:fldChar w:fldCharType="separate"/>
      </w:r>
      <w:r>
        <w:rPr>
          <w:rFonts w:hint="eastAsia" w:ascii="Times New Roman" w:hAnsi="Times New Roman" w:eastAsia="宋体" w:cs="Times New Roman"/>
          <w:kern w:val="2"/>
          <w:szCs w:val="24"/>
          <w:lang w:val="en-US" w:eastAsia="zh-CN" w:bidi="ar-SA"/>
        </w:rPr>
        <w:t>2． 菜单路径</w:t>
      </w:r>
      <w:r>
        <w:tab/>
      </w:r>
      <w:r>
        <w:fldChar w:fldCharType="begin"/>
      </w:r>
      <w:r>
        <w:instrText xml:space="preserve"> PAGEREF _Toc8205 \h </w:instrText>
      </w:r>
      <w:r>
        <w:fldChar w:fldCharType="separate"/>
      </w:r>
      <w:r>
        <w:t>20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_Toc4671 </w:instrText>
      </w:r>
      <w:r>
        <w:rPr>
          <w:rFonts w:ascii="Arial" w:hAnsi="Arial" w:cs="Arial"/>
          <w:szCs w:val="24"/>
        </w:rPr>
        <w:fldChar w:fldCharType="separate"/>
      </w:r>
      <w:r>
        <w:rPr>
          <w:rFonts w:hint="eastAsia" w:ascii="Times New Roman" w:hAnsi="Times New Roman" w:eastAsia="宋体" w:cs="Times New Roman"/>
          <w:bCs/>
          <w:kern w:val="2"/>
          <w:szCs w:val="24"/>
          <w:lang w:val="en-US" w:eastAsia="zh-CN" w:bidi="ar-SA"/>
        </w:rPr>
        <w:t>路径一</w:t>
      </w:r>
      <w:r>
        <w:rPr>
          <w:rFonts w:hint="eastAsia" w:ascii="Times New Roman" w:hAnsi="Times New Roman" w:eastAsia="宋体" w:cs="Times New Roman"/>
          <w:kern w:val="2"/>
          <w:szCs w:val="24"/>
          <w:lang w:val="en-US" w:eastAsia="zh-CN" w:bidi="ar-SA"/>
        </w:rPr>
        <w:t>：统计查询功能菜单</w:t>
      </w:r>
      <w:r>
        <w:tab/>
      </w:r>
      <w:r>
        <w:fldChar w:fldCharType="begin"/>
      </w:r>
      <w:r>
        <w:instrText xml:space="preserve"> PAGEREF _Toc4671 \h </w:instrText>
      </w:r>
      <w:r>
        <w:fldChar w:fldCharType="separate"/>
      </w:r>
      <w:r>
        <w:t>20</w:t>
      </w:r>
      <w:r>
        <w:fldChar w:fldCharType="end"/>
      </w:r>
      <w:r>
        <w:rPr>
          <w:rFonts w:ascii="Arial" w:hAnsi="Arial" w:cs="Arial"/>
          <w:szCs w:val="24"/>
        </w:rPr>
        <w:fldChar w:fldCharType="end"/>
      </w:r>
    </w:p>
    <w:p>
      <w:pPr>
        <w:pStyle w:val="18"/>
        <w:tabs>
          <w:tab w:val="right" w:leader="dot" w:pos="9753"/>
        </w:tabs>
      </w:pPr>
      <w:r>
        <w:rPr>
          <w:rFonts w:ascii="Arial" w:hAnsi="Arial" w:cs="Arial"/>
          <w:szCs w:val="24"/>
        </w:rPr>
        <w:fldChar w:fldCharType="begin"/>
      </w:r>
      <w:r>
        <w:rPr>
          <w:rFonts w:ascii="Arial" w:hAnsi="Arial" w:cs="Arial"/>
          <w:szCs w:val="24"/>
        </w:rPr>
        <w:instrText xml:space="preserve"> HYPERLINK \l _Toc19811 </w:instrText>
      </w:r>
      <w:r>
        <w:rPr>
          <w:rFonts w:ascii="Arial" w:hAnsi="Arial" w:cs="Arial"/>
          <w:szCs w:val="24"/>
        </w:rPr>
        <w:fldChar w:fldCharType="separate"/>
      </w:r>
      <w:r>
        <w:rPr>
          <w:rFonts w:hint="eastAsia" w:ascii="Times New Roman" w:hAnsi="Times New Roman" w:eastAsia="宋体" w:cs="Times New Roman"/>
          <w:bCs/>
          <w:kern w:val="2"/>
          <w:szCs w:val="24"/>
          <w:lang w:val="en-US" w:eastAsia="zh-CN" w:bidi="ar-SA"/>
        </w:rPr>
        <w:t>路径二</w:t>
      </w:r>
      <w:r>
        <w:rPr>
          <w:rFonts w:hint="eastAsia" w:ascii="Times New Roman" w:hAnsi="Times New Roman" w:eastAsia="宋体" w:cs="Times New Roman"/>
          <w:kern w:val="2"/>
          <w:szCs w:val="24"/>
          <w:lang w:val="en-US" w:eastAsia="zh-CN" w:bidi="ar-SA"/>
        </w:rPr>
        <w:t>：【首页】</w:t>
      </w:r>
      <w:r>
        <w:tab/>
      </w:r>
      <w:r>
        <w:fldChar w:fldCharType="begin"/>
      </w:r>
      <w:r>
        <w:instrText xml:space="preserve"> PAGEREF _Toc19811 \h </w:instrText>
      </w:r>
      <w:r>
        <w:fldChar w:fldCharType="separate"/>
      </w:r>
      <w:r>
        <w:t>20</w:t>
      </w:r>
      <w:r>
        <w:fldChar w:fldCharType="end"/>
      </w:r>
      <w:r>
        <w:rPr>
          <w:rFonts w:ascii="Arial" w:hAnsi="Arial" w:cs="Arial"/>
          <w:szCs w:val="24"/>
        </w:rPr>
        <w:fldChar w:fldCharType="end"/>
      </w:r>
    </w:p>
    <w:p>
      <w:pPr>
        <w:spacing w:line="360" w:lineRule="auto"/>
        <w:ind w:firstLine="630" w:firstLineChars="300"/>
        <w:rPr>
          <w:szCs w:val="21"/>
        </w:rPr>
      </w:pPr>
      <w:r>
        <w:rPr>
          <w:rFonts w:ascii="Arial" w:hAnsi="Arial" w:cs="Arial"/>
          <w:szCs w:val="24"/>
        </w:rPr>
        <w:fldChar w:fldCharType="end"/>
      </w:r>
    </w:p>
    <w:p>
      <w:pPr>
        <w:ind w:firstLine="630" w:firstLineChars="300"/>
        <w:rPr>
          <w:szCs w:val="21"/>
        </w:rPr>
        <w:sectPr>
          <w:headerReference r:id="rId5" w:type="first"/>
          <w:footerReference r:id="rId7" w:type="first"/>
          <w:headerReference r:id="rId3" w:type="default"/>
          <w:footerReference r:id="rId6" w:type="default"/>
          <w:headerReference r:id="rId4" w:type="even"/>
          <w:pgSz w:w="11907" w:h="16839"/>
          <w:pgMar w:top="851" w:right="1077" w:bottom="851" w:left="1077" w:header="851" w:footer="851" w:gutter="0"/>
          <w:pgNumType w:fmt="decimal"/>
          <w:cols w:space="720" w:num="1"/>
          <w:titlePg/>
          <w:docGrid w:linePitch="272" w:charSpace="0"/>
        </w:sectPr>
      </w:pPr>
    </w:p>
    <w:bookmarkEnd w:id="0"/>
    <w:bookmarkEnd w:id="1"/>
    <w:p>
      <w:pPr>
        <w:pStyle w:val="2"/>
        <w:numPr>
          <w:ilvl w:val="0"/>
          <w:numId w:val="5"/>
        </w:numPr>
        <w:tabs>
          <w:tab w:val="left" w:pos="425"/>
          <w:tab w:val="clear" w:pos="432"/>
        </w:tabs>
        <w:spacing w:line="360" w:lineRule="auto"/>
        <w:ind w:left="0" w:leftChars="0" w:firstLine="0" w:firstLineChars="0"/>
        <w:rPr>
          <w:rFonts w:ascii="Arial" w:hAnsi="Arial" w:cs="Arial"/>
        </w:rPr>
      </w:pPr>
      <w:bookmarkStart w:id="2" w:name="_Toc247620708"/>
      <w:bookmarkStart w:id="3" w:name="_Toc15641"/>
      <w:r>
        <w:rPr>
          <w:rFonts w:hint="eastAsia" w:ascii="Arial" w:hAnsi="Arial" w:cs="Arial"/>
        </w:rPr>
        <w:t>系统概述</w:t>
      </w:r>
      <w:bookmarkEnd w:id="2"/>
      <w:bookmarkEnd w:id="3"/>
      <w:bookmarkStart w:id="4" w:name="_Toc239151931"/>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5" w:name="_Toc309309021"/>
      <w:bookmarkEnd w:id="5"/>
      <w:bookmarkStart w:id="6" w:name="_Toc311734357"/>
      <w:bookmarkEnd w:id="6"/>
      <w:bookmarkStart w:id="7" w:name="_Toc309309059"/>
      <w:bookmarkEnd w:id="7"/>
      <w:bookmarkStart w:id="8" w:name="_Toc247620709"/>
      <w:bookmarkStart w:id="9" w:name="_Ref152043981"/>
      <w:bookmarkStart w:id="10" w:name="_Toc236733088"/>
    </w:p>
    <w:p>
      <w:pPr>
        <w:pStyle w:val="35"/>
        <w:keepNext/>
        <w:keepLines/>
        <w:widowControl/>
        <w:numPr>
          <w:ilvl w:val="0"/>
          <w:numId w:val="6"/>
        </w:numPr>
        <w:spacing w:before="260" w:after="260"/>
        <w:ind w:firstLineChars="0"/>
        <w:jc w:val="left"/>
        <w:outlineLvl w:val="1"/>
        <w:rPr>
          <w:rFonts w:ascii="黑体" w:hAnsi="Arial" w:eastAsia="黑体"/>
          <w:b/>
          <w:vanish/>
          <w:kern w:val="0"/>
          <w:sz w:val="30"/>
          <w:lang w:val="zh-CN"/>
        </w:rPr>
      </w:pPr>
      <w:bookmarkStart w:id="11" w:name="_Toc309309022"/>
      <w:bookmarkEnd w:id="11"/>
      <w:bookmarkStart w:id="12" w:name="_Toc309309060"/>
      <w:bookmarkEnd w:id="12"/>
      <w:bookmarkStart w:id="13" w:name="_Toc311734358"/>
      <w:bookmarkEnd w:id="13"/>
    </w:p>
    <w:bookmarkEnd w:id="8"/>
    <w:bookmarkEnd w:id="9"/>
    <w:bookmarkEnd w:id="10"/>
    <w:p>
      <w:pPr>
        <w:pStyle w:val="3"/>
        <w:widowControl/>
        <w:numPr>
          <w:ilvl w:val="1"/>
          <w:numId w:val="7"/>
        </w:numPr>
        <w:spacing w:before="260" w:beforeAutospacing="0" w:after="260" w:afterAutospacing="0" w:line="240" w:lineRule="auto"/>
      </w:pPr>
      <w:bookmarkStart w:id="14" w:name="_Toc9259"/>
      <w:bookmarkStart w:id="15" w:name="_Toc19294"/>
      <w:r>
        <w:rPr>
          <w:rFonts w:hint="eastAsia"/>
        </w:rPr>
        <w:t>系统介绍</w:t>
      </w:r>
      <w:bookmarkEnd w:id="14"/>
      <w:bookmarkEnd w:id="15"/>
    </w:p>
    <w:p>
      <w:pPr>
        <w:spacing w:line="360" w:lineRule="auto"/>
        <w:ind w:firstLine="420"/>
        <w:rPr>
          <w:rFonts w:hint="eastAsia" w:ascii="宋体" w:hAnsi="宋体"/>
          <w:color w:val="auto"/>
          <w:sz w:val="24"/>
          <w:szCs w:val="32"/>
          <w:lang w:val="en-US" w:eastAsia="zh-CN"/>
        </w:rPr>
      </w:pPr>
      <w:bookmarkStart w:id="16" w:name="_Toc247620710"/>
      <w:bookmarkStart w:id="17" w:name="_Toc5777"/>
      <w:r>
        <w:rPr>
          <w:rFonts w:hint="eastAsia" w:ascii="宋体" w:hAnsi="宋体"/>
          <w:color w:val="auto"/>
          <w:sz w:val="24"/>
          <w:szCs w:val="32"/>
          <w:lang w:val="en-US" w:eastAsia="zh-CN"/>
        </w:rPr>
        <w:t>资金预算管理是为满足集团公司战略发展和经营管理需要，以业务预算为依据，对集团公司所属单位年度、月度的资金预算和资金收支计划进行科学预测和统筹安排。通过实施集团公司资金预算管理，建设资金收支预算管理系统，借助信息化手段规范和加强对资金流入流出的预算管理，提高各级单位现金流管理的计划性、科学性和准确度，提高资金使用效益和资金运营效率，并通过加强预算外资金支出的管控，提高资金风险防范能力和水平。</w:t>
      </w:r>
    </w:p>
    <w:p>
      <w:pPr>
        <w:spacing w:line="360" w:lineRule="auto"/>
        <w:ind w:firstLine="420"/>
        <w:rPr>
          <w:rFonts w:hint="eastAsia" w:ascii="宋体" w:hAnsi="宋体"/>
          <w:color w:val="auto"/>
          <w:sz w:val="24"/>
          <w:szCs w:val="32"/>
        </w:rPr>
      </w:pPr>
      <w:r>
        <w:rPr>
          <w:rFonts w:hint="eastAsia" w:ascii="宋体" w:hAnsi="宋体"/>
          <w:color w:val="auto"/>
          <w:sz w:val="24"/>
          <w:szCs w:val="32"/>
        </w:rPr>
        <w:t>通过建设资金收支预算管理系统，可以对集团公司各级单位资金预算（计划）的编制、上报、审批、执行、调整、分析评价等实施全流程、线上化管理，并逐步推进预算系统与财务公司网银系统联通，以预算控制支付，实现“无预算不开支、有预算不超支”。</w:t>
      </w:r>
    </w:p>
    <w:p>
      <w:pPr>
        <w:pStyle w:val="3"/>
        <w:widowControl/>
        <w:numPr>
          <w:ilvl w:val="1"/>
          <w:numId w:val="7"/>
        </w:numPr>
        <w:spacing w:before="260" w:beforeAutospacing="0" w:after="260" w:afterAutospacing="0" w:line="240" w:lineRule="auto"/>
        <w:ind w:left="567" w:hanging="567"/>
      </w:pPr>
      <w:bookmarkStart w:id="18" w:name="_Toc3591"/>
      <w:r>
        <w:rPr>
          <w:rFonts w:hint="eastAsia"/>
        </w:rPr>
        <w:t>软硬件环境</w:t>
      </w:r>
      <w:bookmarkEnd w:id="16"/>
      <w:bookmarkEnd w:id="17"/>
      <w:bookmarkEnd w:id="18"/>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bookmarkStart w:id="19" w:name="_Toc247620711"/>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0"/>
          <w:numId w:val="8"/>
        </w:numPr>
        <w:spacing w:before="260" w:after="260"/>
        <w:ind w:left="432" w:hanging="432"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35"/>
        <w:keepNext/>
        <w:keepLines/>
        <w:widowControl/>
        <w:numPr>
          <w:ilvl w:val="1"/>
          <w:numId w:val="8"/>
        </w:numPr>
        <w:spacing w:before="260" w:after="260"/>
        <w:ind w:left="576" w:hanging="576" w:firstLineChars="0"/>
        <w:jc w:val="left"/>
        <w:outlineLvl w:val="2"/>
        <w:rPr>
          <w:rFonts w:ascii="Arial" w:hAnsi="Arial" w:eastAsia="黑体" w:cs="Arial"/>
          <w:b/>
          <w:vanish/>
          <w:kern w:val="0"/>
          <w:sz w:val="28"/>
        </w:rPr>
      </w:pP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r>
        <w:rPr>
          <w:rFonts w:hint="eastAsia"/>
        </w:rPr>
        <w:t>软件环境</w:t>
      </w:r>
      <w:bookmarkEnd w:id="19"/>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sz w:val="24"/>
          <w:szCs w:val="24"/>
          <w:lang w:val="en-US" w:eastAsia="zh-CN"/>
        </w:rPr>
      </w:pPr>
      <w:r>
        <w:rPr>
          <w:rFonts w:hint="eastAsia"/>
          <w:sz w:val="24"/>
          <w:szCs w:val="24"/>
          <w:lang w:val="en-US" w:eastAsia="zh-CN"/>
        </w:rPr>
        <w:t>操作系统：</w:t>
      </w:r>
      <w:r>
        <w:rPr>
          <w:rFonts w:hint="eastAsia" w:ascii="宋体" w:hAnsi="宋体"/>
          <w:sz w:val="24"/>
          <w:szCs w:val="24"/>
        </w:rPr>
        <w:t>Windows XP、Windows7</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10</w:t>
      </w:r>
      <w:r>
        <w:rPr>
          <w:rFonts w:hint="eastAsia" w:ascii="宋体" w:hAnsi="宋体"/>
          <w:sz w:val="24"/>
          <w:szCs w:val="24"/>
          <w:lang w:eastAsia="zh-CN"/>
        </w:rPr>
        <w:t>、</w:t>
      </w:r>
      <w:r>
        <w:rPr>
          <w:rFonts w:hint="eastAsia" w:ascii="宋体" w:hAnsi="宋体"/>
          <w:sz w:val="24"/>
          <w:szCs w:val="24"/>
        </w:rPr>
        <w:t>Windows</w:t>
      </w:r>
      <w:r>
        <w:rPr>
          <w:rFonts w:hint="eastAsia" w:ascii="宋体" w:hAnsi="宋体"/>
          <w:sz w:val="24"/>
          <w:szCs w:val="24"/>
          <w:lang w:val="en-US" w:eastAsia="zh-CN"/>
        </w:rPr>
        <w:t>11。</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r>
        <w:rPr>
          <w:rFonts w:hint="eastAsia"/>
          <w:sz w:val="24"/>
          <w:szCs w:val="24"/>
          <w:lang w:val="en-US" w:eastAsia="zh-CN"/>
        </w:rPr>
        <w:t>浏览器建议：谷歌、IE11以上版本。</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0" w:name="_Toc247620712"/>
      <w:bookmarkStart w:id="21" w:name="_Toc236733089"/>
      <w:r>
        <w:rPr>
          <w:rFonts w:hint="eastAsia"/>
        </w:rPr>
        <w:t>硬件环境</w:t>
      </w:r>
      <w:bookmarkEnd w:id="20"/>
      <w:bookmarkEnd w:id="21"/>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X86兼容的PC机。推荐的硬件配置：</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处理器</w:t>
      </w:r>
      <w:r>
        <w:rPr>
          <w:rFonts w:hint="eastAsia" w:ascii="Arial" w:hAnsi="Arial" w:cs="Arial"/>
          <w:i w:val="0"/>
          <w:iCs/>
          <w:sz w:val="24"/>
          <w:szCs w:val="24"/>
          <w:lang w:eastAsia="zh-CN"/>
        </w:rPr>
        <w:t>：</w:t>
      </w:r>
      <w:r>
        <w:rPr>
          <w:rFonts w:ascii="Arial" w:hAnsi="Arial" w:eastAsia="宋体" w:cs="Arial"/>
          <w:i w:val="0"/>
          <w:iCs w:val="0"/>
          <w:caps w:val="0"/>
          <w:color w:val="333333"/>
          <w:spacing w:val="0"/>
          <w:sz w:val="24"/>
          <w:szCs w:val="24"/>
          <w:shd w:val="clear" w:fill="FFFFFF"/>
        </w:rPr>
        <w:t>Core</w:t>
      </w:r>
      <w:r>
        <w:rPr>
          <w:rFonts w:hint="default" w:ascii="Arial" w:hAnsi="Arial" w:eastAsia="宋体" w:cs="Arial"/>
          <w:i w:val="0"/>
          <w:iCs w:val="0"/>
          <w:caps w:val="0"/>
          <w:color w:val="333333"/>
          <w:spacing w:val="0"/>
          <w:sz w:val="24"/>
          <w:szCs w:val="24"/>
          <w:shd w:val="clear" w:fill="FFFFFF"/>
        </w:rPr>
        <w:t> </w:t>
      </w:r>
      <w:r>
        <w:rPr>
          <w:rFonts w:hint="eastAsia" w:ascii="Arial" w:hAnsi="Arial" w:cs="Arial"/>
          <w:i w:val="0"/>
          <w:iCs w:val="0"/>
          <w:caps w:val="0"/>
          <w:color w:val="333333"/>
          <w:spacing w:val="0"/>
          <w:sz w:val="24"/>
          <w:szCs w:val="24"/>
          <w:shd w:val="clear" w:fill="FFFFFF"/>
          <w:lang w:val="en-US" w:eastAsia="zh-CN"/>
        </w:rPr>
        <w:t>i5</w:t>
      </w:r>
      <w:r>
        <w:rPr>
          <w:rFonts w:hint="eastAsia" w:ascii="Arial" w:hAnsi="Arial" w:cs="Arial"/>
          <w:i w:val="0"/>
          <w:iCs/>
          <w:sz w:val="24"/>
          <w:szCs w:val="24"/>
        </w:rPr>
        <w:t xml:space="preserve"> </w:t>
      </w:r>
      <w:r>
        <w:rPr>
          <w:rFonts w:hint="eastAsia" w:ascii="Arial" w:hAnsi="Arial" w:cs="Arial"/>
          <w:i w:val="0"/>
          <w:iCs/>
          <w:sz w:val="24"/>
          <w:szCs w:val="24"/>
          <w:lang w:val="en-US" w:eastAsia="zh-CN"/>
        </w:rPr>
        <w:t>2</w:t>
      </w:r>
      <w:r>
        <w:rPr>
          <w:rFonts w:hint="eastAsia" w:ascii="Arial" w:hAnsi="Arial" w:cs="Arial"/>
          <w:i w:val="0"/>
          <w:iCs/>
          <w:sz w:val="24"/>
          <w:szCs w:val="24"/>
        </w:rPr>
        <w:t>.0GHz 及以上。</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内存：</w:t>
      </w:r>
      <w:r>
        <w:rPr>
          <w:rFonts w:hint="eastAsia" w:ascii="Arial" w:hAnsi="Arial" w:cs="Arial"/>
          <w:i w:val="0"/>
          <w:iCs/>
          <w:sz w:val="24"/>
          <w:szCs w:val="24"/>
          <w:lang w:val="en-US" w:eastAsia="zh-CN"/>
        </w:rPr>
        <w:t>2G</w:t>
      </w:r>
      <w:r>
        <w:rPr>
          <w:rFonts w:hint="eastAsia" w:ascii="Arial" w:hAnsi="Arial" w:cs="Arial"/>
          <w:i w:val="0"/>
          <w:iCs/>
          <w:sz w:val="24"/>
          <w:szCs w:val="24"/>
        </w:rPr>
        <w:t>B</w:t>
      </w:r>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彩色显示器</w:t>
      </w:r>
      <w:r>
        <w:rPr>
          <w:rFonts w:hint="eastAsia" w:ascii="Arial" w:hAnsi="Arial" w:cs="Arial"/>
          <w:i w:val="0"/>
          <w:iCs/>
          <w:sz w:val="24"/>
          <w:szCs w:val="24"/>
          <w:lang w:eastAsia="zh-CN"/>
        </w:rPr>
        <w:t>：</w:t>
      </w:r>
      <w:r>
        <w:rPr>
          <w:rFonts w:hint="eastAsia" w:ascii="Arial" w:hAnsi="Arial" w:cs="Arial"/>
          <w:i w:val="0"/>
          <w:iCs/>
          <w:sz w:val="24"/>
          <w:szCs w:val="24"/>
        </w:rPr>
        <w:t>分辨率1024x768。</w:t>
      </w:r>
    </w:p>
    <w:p>
      <w:pPr>
        <w:pStyle w:val="4"/>
        <w:widowControl/>
        <w:numPr>
          <w:ilvl w:val="2"/>
          <w:numId w:val="7"/>
        </w:numPr>
        <w:tabs>
          <w:tab w:val="left" w:pos="576"/>
          <w:tab w:val="clear" w:pos="1430"/>
        </w:tabs>
        <w:spacing w:before="260" w:beforeAutospacing="0" w:after="260" w:afterAutospacing="0" w:line="240" w:lineRule="auto"/>
        <w:ind w:left="720" w:leftChars="0" w:hanging="720" w:firstLineChars="0"/>
        <w:rPr>
          <w:rFonts w:hint="eastAsia"/>
        </w:rPr>
      </w:pPr>
      <w:bookmarkStart w:id="22" w:name="_Toc247620713"/>
      <w:bookmarkStart w:id="23" w:name="_Toc236733090"/>
      <w:r>
        <w:rPr>
          <w:rFonts w:hint="eastAsia"/>
        </w:rPr>
        <w:t>网络环境</w:t>
      </w:r>
      <w:bookmarkEnd w:id="22"/>
      <w:bookmarkEnd w:id="23"/>
    </w:p>
    <w:p>
      <w:pPr>
        <w:spacing w:line="360" w:lineRule="auto"/>
        <w:ind w:firstLine="480" w:firstLineChars="200"/>
        <w:rPr>
          <w:rFonts w:ascii="Arial" w:hAnsi="Arial" w:cs="Arial"/>
          <w:i w:val="0"/>
          <w:iCs/>
          <w:sz w:val="24"/>
          <w:szCs w:val="24"/>
        </w:rPr>
      </w:pPr>
      <w:r>
        <w:rPr>
          <w:rFonts w:hint="eastAsia" w:ascii="Arial" w:hAnsi="Arial" w:cs="Arial"/>
          <w:i w:val="0"/>
          <w:iCs/>
          <w:sz w:val="24"/>
          <w:szCs w:val="24"/>
        </w:rPr>
        <w:t>使用系统的过程中，需要通过</w:t>
      </w:r>
      <w:r>
        <w:rPr>
          <w:rFonts w:hint="eastAsia" w:ascii="Arial" w:hAnsi="Arial" w:cs="Arial"/>
          <w:i w:val="0"/>
          <w:iCs/>
          <w:sz w:val="24"/>
          <w:szCs w:val="24"/>
          <w:lang w:eastAsia="zh-CN"/>
        </w:rPr>
        <w:t>互联网</w:t>
      </w:r>
      <w:r>
        <w:rPr>
          <w:rFonts w:hint="eastAsia" w:ascii="Arial" w:hAnsi="Arial" w:cs="Arial"/>
          <w:i w:val="0"/>
          <w:iCs/>
          <w:sz w:val="24"/>
          <w:szCs w:val="24"/>
        </w:rPr>
        <w:t>网络访问集团公司</w:t>
      </w:r>
      <w:r>
        <w:rPr>
          <w:rFonts w:hint="eastAsia" w:ascii="Arial" w:hAnsi="Arial" w:cs="Arial"/>
          <w:i w:val="0"/>
          <w:iCs/>
          <w:sz w:val="24"/>
          <w:szCs w:val="24"/>
          <w:lang w:eastAsia="zh-CN"/>
        </w:rPr>
        <w:t>司库</w:t>
      </w:r>
      <w:r>
        <w:rPr>
          <w:rFonts w:hint="eastAsia" w:ascii="Arial" w:hAnsi="Arial" w:cs="Arial"/>
          <w:i w:val="0"/>
          <w:iCs/>
          <w:sz w:val="24"/>
          <w:szCs w:val="24"/>
        </w:rPr>
        <w:t>的服务器。因此，使用者的电脑必须能够连接</w:t>
      </w:r>
      <w:r>
        <w:rPr>
          <w:rFonts w:hint="eastAsia" w:ascii="Arial" w:hAnsi="Arial" w:cs="Arial"/>
          <w:i w:val="0"/>
          <w:iCs/>
          <w:sz w:val="24"/>
          <w:szCs w:val="24"/>
          <w:lang w:eastAsia="zh-CN"/>
        </w:rPr>
        <w:t>互联网</w:t>
      </w:r>
      <w:r>
        <w:rPr>
          <w:rFonts w:hint="eastAsia" w:ascii="Arial" w:hAnsi="Arial" w:cs="Arial"/>
          <w:i w:val="0"/>
          <w:iCs/>
          <w:sz w:val="24"/>
          <w:szCs w:val="24"/>
        </w:rPr>
        <w:t>。建议网络带宽</w:t>
      </w:r>
      <w:r>
        <w:rPr>
          <w:rFonts w:hint="eastAsia" w:ascii="Arial" w:hAnsi="Arial" w:cs="Arial"/>
          <w:i w:val="0"/>
          <w:iCs/>
          <w:sz w:val="24"/>
          <w:szCs w:val="24"/>
          <w:lang w:val="en-US" w:eastAsia="zh-CN"/>
        </w:rPr>
        <w:t>512</w:t>
      </w:r>
      <w:r>
        <w:rPr>
          <w:rFonts w:hint="eastAsia" w:ascii="Arial" w:hAnsi="Arial" w:cs="Arial"/>
          <w:i w:val="0"/>
          <w:iCs/>
          <w:sz w:val="24"/>
          <w:szCs w:val="24"/>
        </w:rPr>
        <w:t>Kbps以上。</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24" w:name="_Toc247620714"/>
      <w:bookmarkStart w:id="25" w:name="_Toc236733091"/>
      <w:bookmarkStart w:id="26" w:name="_Toc13278"/>
      <w:bookmarkStart w:id="27" w:name="_Toc17297"/>
      <w:r>
        <w:rPr>
          <w:rFonts w:hint="eastAsia" w:ascii="Arial" w:hAnsi="Arial" w:cs="Arial"/>
        </w:rPr>
        <w:t>系统</w:t>
      </w:r>
      <w:bookmarkEnd w:id="24"/>
      <w:bookmarkEnd w:id="25"/>
      <w:r>
        <w:rPr>
          <w:rFonts w:hint="eastAsia" w:ascii="Arial" w:hAnsi="Arial" w:cs="Arial"/>
          <w:lang w:eastAsia="zh-CN"/>
        </w:rPr>
        <w:t>登录</w:t>
      </w:r>
      <w:bookmarkEnd w:id="26"/>
      <w:bookmarkEnd w:id="27"/>
    </w:p>
    <w:p>
      <w:pPr>
        <w:pStyle w:val="35"/>
        <w:keepNext/>
        <w:keepLines/>
        <w:widowControl/>
        <w:numPr>
          <w:ilvl w:val="0"/>
          <w:numId w:val="7"/>
        </w:numPr>
        <w:spacing w:before="260" w:after="260"/>
        <w:ind w:firstLineChars="0"/>
        <w:jc w:val="left"/>
        <w:outlineLvl w:val="1"/>
        <w:rPr>
          <w:rFonts w:ascii="黑体" w:hAnsi="Arial" w:eastAsia="黑体"/>
          <w:b/>
          <w:vanish/>
          <w:kern w:val="0"/>
          <w:sz w:val="30"/>
          <w:lang w:val="zh-CN"/>
        </w:rPr>
      </w:pPr>
      <w:bookmarkStart w:id="28" w:name="_Toc311734362"/>
      <w:bookmarkEnd w:id="28"/>
      <w:bookmarkStart w:id="29" w:name="_Toc309309067"/>
      <w:bookmarkEnd w:id="29"/>
      <w:bookmarkStart w:id="30" w:name="_Toc309309026"/>
      <w:bookmarkEnd w:id="30"/>
      <w:bookmarkStart w:id="31" w:name="_Toc247620715"/>
      <w:bookmarkStart w:id="32" w:name="_Toc236733092"/>
    </w:p>
    <w:bookmarkEnd w:id="31"/>
    <w:bookmarkEnd w:id="32"/>
    <w:p>
      <w:pPr>
        <w:pStyle w:val="3"/>
        <w:widowControl/>
        <w:numPr>
          <w:ilvl w:val="1"/>
          <w:numId w:val="7"/>
        </w:numPr>
        <w:spacing w:before="260" w:beforeAutospacing="0" w:after="260" w:afterAutospacing="0" w:line="240" w:lineRule="auto"/>
      </w:pPr>
      <w:bookmarkStart w:id="33" w:name="_Toc25003"/>
      <w:bookmarkStart w:id="34" w:name="_Toc6289"/>
      <w:r>
        <w:rPr>
          <w:rFonts w:hint="eastAsia"/>
          <w:lang w:eastAsia="zh-CN"/>
        </w:rPr>
        <w:t>登录地址</w:t>
      </w:r>
      <w:bookmarkEnd w:id="33"/>
      <w:bookmarkEnd w:id="34"/>
    </w:p>
    <w:p>
      <w:pPr>
        <w:spacing w:line="360" w:lineRule="auto"/>
        <w:ind w:firstLine="480" w:firstLineChars="200"/>
        <w:rPr>
          <w:rFonts w:hint="eastAsia" w:ascii="Arial" w:hAnsi="Arial" w:cs="Arial"/>
          <w:i w:val="0"/>
          <w:iCs/>
          <w:sz w:val="24"/>
          <w:szCs w:val="24"/>
        </w:rPr>
      </w:pPr>
      <w:r>
        <w:rPr>
          <w:rFonts w:hint="eastAsia" w:ascii="Arial" w:hAnsi="Arial" w:cs="Arial"/>
          <w:i w:val="0"/>
          <w:iCs/>
          <w:sz w:val="24"/>
          <w:szCs w:val="24"/>
        </w:rPr>
        <w:t>在浏览器输入司库系统访问地址。</w:t>
      </w:r>
    </w:p>
    <w:p>
      <w:pPr>
        <w:spacing w:line="360" w:lineRule="auto"/>
        <w:ind w:firstLine="480" w:firstLineChars="200"/>
        <w:rPr>
          <w:rFonts w:hint="eastAsia" w:ascii="Arial" w:hAnsi="Arial" w:cs="Arial"/>
          <w:i w:val="0"/>
          <w:iCs/>
          <w:sz w:val="24"/>
          <w:szCs w:val="24"/>
        </w:rPr>
      </w:pPr>
      <w:r>
        <w:rPr>
          <w:rFonts w:hint="eastAsia" w:ascii="Arial" w:hAnsi="Arial" w:cs="Arial"/>
          <w:i w:val="0"/>
          <w:iCs/>
          <w:sz w:val="24"/>
          <w:szCs w:val="24"/>
        </w:rPr>
        <w:t>正式环境：https://trs.avicfc.com.cn/</w:t>
      </w:r>
    </w:p>
    <w:p>
      <w:pPr>
        <w:pStyle w:val="3"/>
        <w:widowControl/>
        <w:numPr>
          <w:ilvl w:val="1"/>
          <w:numId w:val="7"/>
        </w:numPr>
        <w:spacing w:before="260" w:beforeAutospacing="0" w:after="260" w:afterAutospacing="0" w:line="240" w:lineRule="auto"/>
        <w:ind w:left="567" w:hanging="567"/>
      </w:pPr>
      <w:bookmarkStart w:id="35" w:name="_Toc23964"/>
      <w:bookmarkStart w:id="36" w:name="_Toc11814"/>
      <w:r>
        <w:rPr>
          <w:rFonts w:hint="eastAsia"/>
          <w:lang w:eastAsia="zh-CN"/>
        </w:rPr>
        <w:t>登录首页</w:t>
      </w:r>
      <w:bookmarkEnd w:id="35"/>
      <w:bookmarkEnd w:id="36"/>
    </w:p>
    <w:p>
      <w:pPr>
        <w:pStyle w:val="5"/>
        <w:rPr>
          <w:rFonts w:hint="eastAsia"/>
          <w:lang w:eastAsia="zh-CN"/>
        </w:rPr>
      </w:pPr>
      <w:r>
        <w:drawing>
          <wp:inline distT="0" distB="0" distL="114300" distR="114300">
            <wp:extent cx="5395595" cy="2631440"/>
            <wp:effectExtent l="0" t="0" r="1905" b="1016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2"/>
                    <a:srcRect l="3312" t="724" r="2871" b="-724"/>
                    <a:stretch>
                      <a:fillRect/>
                    </a:stretch>
                  </pic:blipFill>
                  <pic:spPr>
                    <a:xfrm>
                      <a:off x="0" y="0"/>
                      <a:ext cx="5395595" cy="2631440"/>
                    </a:xfrm>
                    <a:prstGeom prst="rect">
                      <a:avLst/>
                    </a:prstGeom>
                    <a:noFill/>
                    <a:ln>
                      <a:noFill/>
                    </a:ln>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eastAsia="zh-CN"/>
        </w:rPr>
      </w:pPr>
      <w:r>
        <w:rPr>
          <w:rFonts w:hint="eastAsia" w:ascii="宋体" w:hAnsi="宋体"/>
          <w:sz w:val="24"/>
          <w:szCs w:val="24"/>
        </w:rPr>
        <w:t>输入用户名</w:t>
      </w:r>
      <w:r>
        <w:rPr>
          <w:rFonts w:hint="eastAsia" w:ascii="宋体" w:hAnsi="宋体"/>
          <w:sz w:val="24"/>
          <w:szCs w:val="24"/>
          <w:lang w:eastAsia="zh-CN"/>
        </w:rPr>
        <w:t>、</w:t>
      </w:r>
      <w:r>
        <w:rPr>
          <w:rFonts w:hint="eastAsia" w:ascii="宋体" w:hAnsi="宋体"/>
          <w:sz w:val="24"/>
          <w:szCs w:val="24"/>
        </w:rPr>
        <w:t>密码</w:t>
      </w:r>
      <w:r>
        <w:rPr>
          <w:rFonts w:hint="eastAsia" w:ascii="宋体" w:hAnsi="宋体"/>
          <w:sz w:val="24"/>
          <w:szCs w:val="24"/>
          <w:lang w:eastAsia="zh-CN"/>
        </w:rPr>
        <w:t>和验证码（算式的结果）</w:t>
      </w:r>
      <w:r>
        <w:rPr>
          <w:rFonts w:hint="eastAsia" w:ascii="宋体" w:hAnsi="宋体"/>
          <w:sz w:val="24"/>
          <w:szCs w:val="24"/>
        </w:rPr>
        <w:t>后，点击【登录】按钮，进入系统</w:t>
      </w:r>
      <w:r>
        <w:rPr>
          <w:rFonts w:hint="eastAsia" w:ascii="宋体" w:hAnsi="宋体"/>
          <w:sz w:val="24"/>
          <w:szCs w:val="24"/>
          <w:lang w:eastAsia="zh-CN"/>
        </w:rPr>
        <w:t>。</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密码要求：初始密码为123456。第一次登录系统后修改密码。密码须以字母开头，包含字母、数字、符号，且长度不小于8位。</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37" w:name="_Toc22130"/>
      <w:bookmarkStart w:id="38" w:name="_Toc236733095"/>
      <w:bookmarkStart w:id="39" w:name="_Toc247620718"/>
      <w:bookmarkStart w:id="40" w:name="_Toc3931"/>
      <w:r>
        <w:rPr>
          <w:rFonts w:hint="eastAsia" w:ascii="Arial" w:hAnsi="Arial" w:cs="Arial"/>
        </w:rPr>
        <w:t>通用功能</w:t>
      </w:r>
      <w:bookmarkEnd w:id="37"/>
      <w:bookmarkEnd w:id="38"/>
      <w:bookmarkEnd w:id="39"/>
      <w:bookmarkEnd w:id="40"/>
    </w:p>
    <w:p>
      <w:pPr>
        <w:pStyle w:val="35"/>
        <w:keepNext/>
        <w:keepLines/>
        <w:widowControl/>
        <w:numPr>
          <w:ilvl w:val="0"/>
          <w:numId w:val="7"/>
        </w:numPr>
        <w:spacing w:before="260" w:after="260" w:line="360" w:lineRule="auto"/>
        <w:ind w:firstLineChars="0"/>
        <w:jc w:val="left"/>
        <w:outlineLvl w:val="1"/>
        <w:rPr>
          <w:rFonts w:ascii="黑体" w:hAnsi="Arial" w:eastAsia="黑体"/>
          <w:b/>
          <w:vanish/>
          <w:kern w:val="0"/>
          <w:sz w:val="30"/>
          <w:lang w:val="zh-CN"/>
        </w:rPr>
      </w:pPr>
      <w:bookmarkStart w:id="41" w:name="_Toc309309031"/>
      <w:bookmarkEnd w:id="41"/>
      <w:bookmarkStart w:id="42" w:name="_Toc309309072"/>
      <w:bookmarkEnd w:id="42"/>
      <w:bookmarkStart w:id="43" w:name="_Toc311734367"/>
      <w:bookmarkEnd w:id="43"/>
      <w:bookmarkStart w:id="44" w:name="_Toc236733096"/>
      <w:bookmarkStart w:id="45" w:name="_Toc247620719"/>
    </w:p>
    <w:bookmarkEnd w:id="44"/>
    <w:bookmarkEnd w:id="45"/>
    <w:p>
      <w:pPr>
        <w:pStyle w:val="3"/>
        <w:widowControl/>
        <w:numPr>
          <w:ilvl w:val="1"/>
          <w:numId w:val="7"/>
        </w:numPr>
        <w:spacing w:before="260" w:beforeAutospacing="0" w:after="260" w:afterAutospacing="0" w:line="360" w:lineRule="auto"/>
        <w:rPr>
          <w:rFonts w:hint="eastAsia"/>
          <w:b w:val="0"/>
          <w:bCs/>
          <w:lang w:val="en-US" w:eastAsia="zh-CN"/>
        </w:rPr>
      </w:pPr>
      <w:bookmarkStart w:id="46" w:name="_Toc28643"/>
      <w:bookmarkStart w:id="47" w:name="_Toc28557"/>
      <w:bookmarkStart w:id="48" w:name="_Toc9936"/>
      <w:r>
        <w:rPr>
          <w:rFonts w:hint="eastAsia"/>
          <w:b w:val="0"/>
          <w:bCs/>
          <w:lang w:val="en-US" w:eastAsia="zh-CN"/>
        </w:rPr>
        <w:t>页面风格</w:t>
      </w:r>
      <w:bookmarkEnd w:id="46"/>
      <w:bookmarkEnd w:id="47"/>
      <w:bookmarkEnd w:id="48"/>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drawing>
          <wp:inline distT="0" distB="0" distL="114300" distR="114300">
            <wp:extent cx="5572125" cy="2413000"/>
            <wp:effectExtent l="0" t="0" r="3175" b="0"/>
            <wp:docPr id="4" name="图片 4" descr="167081295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70812956141"/>
                    <pic:cNvPicPr>
                      <a:picLocks noChangeAspect="1"/>
                    </pic:cNvPicPr>
                  </pic:nvPicPr>
                  <pic:blipFill>
                    <a:blip r:embed="rId13"/>
                    <a:stretch>
                      <a:fillRect/>
                    </a:stretch>
                  </pic:blipFill>
                  <pic:spPr>
                    <a:xfrm>
                      <a:off x="0" y="0"/>
                      <a:ext cx="5572125" cy="2413000"/>
                    </a:xfrm>
                    <a:prstGeom prst="rect">
                      <a:avLst/>
                    </a:prstGeom>
                  </pic:spPr>
                </pic:pic>
              </a:graphicData>
            </a:graphic>
          </wp:inline>
        </w:drawing>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default"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左侧是“菜单导航栏”。导航栏中显示当前登录用户所具备操作权限的功能菜单。点击</w:t>
      </w:r>
      <w:r>
        <w:rPr>
          <w:rFonts w:ascii="Times New Roman" w:hAnsi="Times New Roman" w:eastAsia="宋体" w:cs="Times New Roman"/>
          <w:kern w:val="2"/>
          <w:sz w:val="24"/>
          <w:szCs w:val="24"/>
          <w:lang w:val="en-US" w:eastAsia="zh-CN" w:bidi="ar-SA"/>
        </w:rPr>
        <w:drawing>
          <wp:inline distT="0" distB="0" distL="114300" distR="114300">
            <wp:extent cx="152400" cy="139700"/>
            <wp:effectExtent l="0" t="0" r="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14"/>
                    <a:stretch>
                      <a:fillRect/>
                    </a:stretch>
                  </pic:blipFill>
                  <pic:spPr>
                    <a:xfrm>
                      <a:off x="0" y="0"/>
                      <a:ext cx="152400" cy="1397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按钮可实现菜单栏的展开/收起。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右上方显示当前登录用户及相关操作按钮。</w:t>
      </w:r>
    </w:p>
    <w:tbl>
      <w:tblPr>
        <w:tblStyle w:val="23"/>
        <w:tblW w:w="84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3"/>
        <w:gridCol w:w="6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shd w:val="clear" w:color="auto" w:fill="DBEEF3"/>
            <w:noWrap w:val="0"/>
            <w:vAlign w:val="top"/>
          </w:tcPr>
          <w:p>
            <w:pPr>
              <w:widowControl w:val="0"/>
              <w:spacing w:line="312" w:lineRule="auto"/>
              <w:ind w:left="0" w:leftChars="0" w:firstLine="0" w:firstLineChars="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按钮</w:t>
            </w:r>
          </w:p>
        </w:tc>
        <w:tc>
          <w:tcPr>
            <w:tcW w:w="6817" w:type="dxa"/>
            <w:shd w:val="clear" w:color="auto" w:fill="DBEEF3"/>
            <w:noWrap w:val="0"/>
            <w:vAlign w:val="top"/>
          </w:tcPr>
          <w:p>
            <w:pPr>
              <w:widowControl w:val="0"/>
              <w:spacing w:line="312" w:lineRule="auto"/>
              <w:ind w:firstLine="402" w:firstLineChars="200"/>
              <w:jc w:val="center"/>
              <w:rPr>
                <w:rFonts w:hint="default" w:ascii="宋体" w:hAnsi="宋体" w:eastAsia="宋体" w:cs="宋体"/>
                <w:b/>
                <w:bCs/>
                <w:kern w:val="2"/>
                <w:sz w:val="20"/>
                <w:szCs w:val="20"/>
                <w:vertAlign w:val="baseline"/>
                <w:lang w:val="en-US" w:eastAsia="zh-CN" w:bidi="ar-SA"/>
              </w:rPr>
            </w:pPr>
            <w:r>
              <w:rPr>
                <w:rFonts w:hint="eastAsia" w:ascii="宋体" w:hAnsi="宋体" w:eastAsia="宋体" w:cs="宋体"/>
                <w:b/>
                <w:bCs/>
                <w:kern w:val="2"/>
                <w:sz w:val="20"/>
                <w:szCs w:val="20"/>
                <w:vertAlign w:val="baseline"/>
                <w:lang w:val="en-US" w:eastAsia="zh-CN" w:bidi="ar-SA"/>
              </w:rPr>
              <w:t>功能说明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285750" cy="222250"/>
                  <wp:effectExtent l="0" t="0" r="6350" b="635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15"/>
                          <a:stretch>
                            <a:fillRect/>
                          </a:stretch>
                        </pic:blipFill>
                        <pic:spPr>
                          <a:xfrm>
                            <a:off x="0" y="0"/>
                            <a:ext cx="285750" cy="222250"/>
                          </a:xfrm>
                          <a:prstGeom prst="rect">
                            <a:avLst/>
                          </a:prstGeom>
                          <a:noFill/>
                          <a:ln>
                            <a:noFill/>
                          </a:ln>
                        </pic:spPr>
                      </pic:pic>
                    </a:graphicData>
                  </a:graphic>
                </wp:inline>
              </w:drawing>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按钮右上角红色字体提示未读消息数量。点击该按钮，可查阅本人相关的消息通知。</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drawing>
                <wp:inline distT="0" distB="0" distL="114300" distR="114300">
                  <wp:extent cx="3941445" cy="969645"/>
                  <wp:effectExtent l="0" t="0" r="8255" b="8255"/>
                  <wp:docPr id="3" name="图片 3" descr="167081278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70812780703"/>
                          <pic:cNvPicPr>
                            <a:picLocks noChangeAspect="1"/>
                          </pic:cNvPicPr>
                        </pic:nvPicPr>
                        <pic:blipFill>
                          <a:blip r:embed="rId16"/>
                          <a:stretch>
                            <a:fillRect/>
                          </a:stretch>
                        </pic:blipFill>
                        <pic:spPr>
                          <a:xfrm>
                            <a:off x="0" y="0"/>
                            <a:ext cx="3941445" cy="9696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切换岗位（多岗时）、</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修改账号密码、</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18"/>
                <w:szCs w:val="18"/>
                <w:lang w:val="en-US" w:eastAsia="zh-CN" w:bidi="ar-SA"/>
              </w:rPr>
              <w:t>退出登录</w:t>
            </w:r>
          </w:p>
        </w:tc>
        <w:tc>
          <w:tcPr>
            <w:tcW w:w="681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点击用户头像，可展开下拉菜单，实现：切换岗位（多岗时）、修改账号密码、退出登录。</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1936750" cy="1809750"/>
                  <wp:effectExtent l="0" t="0" r="6350" b="6350"/>
                  <wp:docPr id="44" name="图片 44" descr="167031182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70311822966"/>
                          <pic:cNvPicPr>
                            <a:picLocks noChangeAspect="1"/>
                          </pic:cNvPicPr>
                        </pic:nvPicPr>
                        <pic:blipFill>
                          <a:blip r:embed="rId17"/>
                          <a:stretch>
                            <a:fillRect/>
                          </a:stretch>
                        </pic:blipFill>
                        <pic:spPr>
                          <a:xfrm>
                            <a:off x="0" y="0"/>
                            <a:ext cx="1936750" cy="1809750"/>
                          </a:xfrm>
                          <a:prstGeom prst="rect">
                            <a:avLst/>
                          </a:prstGeom>
                        </pic:spPr>
                      </pic:pic>
                    </a:graphicData>
                  </a:graphic>
                </wp:inline>
              </w:drawing>
            </w:r>
          </w:p>
        </w:tc>
      </w:tr>
    </w:tbl>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首页</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上方区域展现集团所属各公司收入预算、支出预算，包括：年收入预算、月收入计划、收入预算排名。</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下方区域展现待办流程，默认显示所以业务类型的待办任务，可通过【全部】、【预算编制】、【预算汇总】、【预算调整】按钮进行切换。</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cs="Times New Roman"/>
          <w:kern w:val="2"/>
          <w:sz w:val="24"/>
          <w:szCs w:val="24"/>
          <w:lang w:val="en-US" w:eastAsia="zh-CN" w:bidi="ar-SA"/>
        </w:rPr>
      </w:pPr>
      <w:r>
        <w:rPr>
          <w:rFonts w:hint="eastAsia" w:ascii="宋体" w:hAnsi="宋体" w:cs="Times New Roman"/>
          <w:kern w:val="2"/>
          <w:sz w:val="24"/>
          <w:szCs w:val="24"/>
          <w:lang w:val="en-US" w:eastAsia="zh-CN" w:bidi="ar-SA"/>
        </w:rPr>
        <w:t>【流程管理】页面展现所有流程的详细信息，可进行精准定位查询。</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页签区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同时打开多个功能菜单时，可在页签区同时显示多个页签。点击页签右上角的</w:t>
      </w:r>
      <w:r>
        <w:rPr>
          <w:rFonts w:ascii="Times New Roman" w:hAnsi="Times New Roman" w:eastAsia="宋体" w:cs="Times New Roman"/>
          <w:kern w:val="2"/>
          <w:sz w:val="24"/>
          <w:szCs w:val="24"/>
          <w:lang w:val="en-US" w:eastAsia="zh-CN" w:bidi="ar-SA"/>
        </w:rPr>
        <w:drawing>
          <wp:inline distT="0" distB="0" distL="114300" distR="114300">
            <wp:extent cx="209550" cy="152400"/>
            <wp:effectExtent l="0" t="0" r="6350" b="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8"/>
                    <a:stretch>
                      <a:fillRect/>
                    </a:stretch>
                  </pic:blipFill>
                  <pic:spPr>
                    <a:xfrm>
                      <a:off x="0" y="0"/>
                      <a:ext cx="209550" cy="152400"/>
                    </a:xfrm>
                    <a:prstGeom prst="rect">
                      <a:avLst/>
                    </a:prstGeom>
                    <a:noFill/>
                    <a:ln>
                      <a:noFill/>
                    </a:ln>
                  </pic:spPr>
                </pic:pic>
              </a:graphicData>
            </a:graphic>
          </wp:inline>
        </w:drawing>
      </w:r>
      <w:r>
        <w:rPr>
          <w:rFonts w:hint="eastAsia" w:ascii="Times New Roman" w:hAnsi="Times New Roman" w:eastAsia="宋体" w:cs="Times New Roman"/>
          <w:kern w:val="2"/>
          <w:sz w:val="24"/>
          <w:szCs w:val="24"/>
          <w:lang w:val="en-US" w:eastAsia="zh-CN" w:bidi="ar-SA"/>
        </w:rPr>
        <w:t>按钮，可关闭页签。</w:t>
      </w:r>
      <w:r>
        <w:rPr>
          <w:rFonts w:hint="eastAsia" w:ascii="宋体" w:hAnsi="宋体" w:eastAsia="宋体" w:cs="Times New Roman"/>
          <w:kern w:val="2"/>
          <w:sz w:val="24"/>
          <w:szCs w:val="24"/>
          <w:lang w:val="en-US" w:eastAsia="zh-CN" w:bidi="ar-SA"/>
        </w:rPr>
        <w:t>默认显示首页页签，且首页页签不允许关闭。</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3" w:firstLineChars="0"/>
        <w:jc w:val="both"/>
        <w:textAlignment w:val="auto"/>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业务操作区</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rPr>
          <w:rFonts w:hint="eastAsia"/>
          <w:lang w:val="en-US" w:eastAsia="zh-CN"/>
        </w:rPr>
      </w:pPr>
      <w:r>
        <w:rPr>
          <w:rFonts w:hint="eastAsia" w:ascii="宋体" w:hAnsi="宋体" w:eastAsia="宋体" w:cs="Times New Roman"/>
          <w:kern w:val="2"/>
          <w:sz w:val="24"/>
          <w:szCs w:val="24"/>
          <w:lang w:val="en-US" w:eastAsia="zh-CN" w:bidi="ar-SA"/>
        </w:rPr>
        <w:t>在该区域展示当前功能页签相应的业务操作内容。</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272405" cy="2266950"/>
            <wp:effectExtent l="0" t="0" r="4445" b="0"/>
            <wp:docPr id="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pic:cNvPicPr>
                      <a:picLocks noChangeAspect="1"/>
                    </pic:cNvPicPr>
                  </pic:nvPicPr>
                  <pic:blipFill>
                    <a:blip r:embed="rId19"/>
                    <a:stretch>
                      <a:fillRect/>
                    </a:stretch>
                  </pic:blipFill>
                  <pic:spPr>
                    <a:xfrm>
                      <a:off x="0" y="0"/>
                      <a:ext cx="5272405" cy="2266950"/>
                    </a:xfrm>
                    <a:prstGeom prst="rect">
                      <a:avLst/>
                    </a:prstGeom>
                    <a:noFill/>
                    <a:ln>
                      <a:noFill/>
                    </a:ln>
                  </pic:spPr>
                </pic:pic>
              </a:graphicData>
            </a:graphic>
          </wp:inline>
        </w:drawing>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sz w:val="24"/>
          <w:szCs w:val="24"/>
          <w:lang w:val="en-US" w:eastAsia="zh-CN"/>
        </w:rPr>
      </w:pPr>
      <w:r>
        <w:rPr>
          <w:rFonts w:hint="eastAsia" w:ascii="宋体" w:hAnsi="宋体"/>
          <w:sz w:val="24"/>
          <w:szCs w:val="24"/>
          <w:lang w:val="en-US" w:eastAsia="zh-CN"/>
        </w:rPr>
        <w:t>每个操作性功能页面基本布局，上方为查询条件，下方为该用户或者该用户所在单位操作的记录。</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265420" cy="1497330"/>
            <wp:effectExtent l="0" t="0" r="11430" b="762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20"/>
                    <a:stretch>
                      <a:fillRect/>
                    </a:stretch>
                  </pic:blipFill>
                  <pic:spPr>
                    <a:xfrm>
                      <a:off x="0" y="0"/>
                      <a:ext cx="5265420" cy="1497330"/>
                    </a:xfrm>
                    <a:prstGeom prst="rect">
                      <a:avLst/>
                    </a:prstGeom>
                    <a:noFill/>
                    <a:ln>
                      <a:noFill/>
                    </a:ln>
                  </pic:spPr>
                </pic:pic>
              </a:graphicData>
            </a:graphic>
          </wp:inline>
        </w:drawing>
      </w:r>
    </w:p>
    <w:p>
      <w:pPr>
        <w:spacing w:line="360" w:lineRule="auto"/>
        <w:rPr>
          <w:rFonts w:hint="eastAsia" w:ascii="宋体" w:hAnsi="宋体" w:cs="Microsoft JhengHei Light"/>
          <w:color w:val="auto"/>
          <w:kern w:val="0"/>
          <w:sz w:val="24"/>
          <w:szCs w:val="24"/>
          <w:lang w:val="en-US" w:eastAsia="zh-CN" w:bidi="en-US"/>
        </w:rPr>
      </w:pPr>
      <w:r>
        <w:rPr>
          <w:rFonts w:hint="eastAsia" w:ascii="宋体" w:hAnsi="宋体" w:cs="Microsoft JhengHei Light"/>
          <w:color w:val="auto"/>
          <w:kern w:val="0"/>
          <w:sz w:val="24"/>
          <w:szCs w:val="24"/>
          <w:lang w:val="en-US" w:eastAsia="zh-CN" w:bidi="en-US"/>
        </w:rPr>
        <w:t>如果查询条件较多，首次进入该功能菜单时，自动隐藏下面的查询条件，点击【展开】后，展示全部查询条件。</w:t>
      </w:r>
    </w:p>
    <w:p>
      <w:pPr>
        <w:spacing w:line="360" w:lineRule="auto"/>
        <w:rPr>
          <w:rFonts w:hint="eastAsia" w:ascii="宋体" w:hAnsi="宋体" w:cs="Microsoft JhengHei Light"/>
          <w:color w:val="auto"/>
          <w:kern w:val="0"/>
          <w:szCs w:val="24"/>
          <w:lang w:val="en-US" w:eastAsia="zh-CN" w:bidi="en-US"/>
        </w:rPr>
      </w:pPr>
      <w:r>
        <w:rPr>
          <w:rFonts w:hint="eastAsia" w:ascii="宋体" w:hAnsi="宋体" w:cs="Microsoft JhengHei Light"/>
          <w:color w:val="auto"/>
          <w:kern w:val="0"/>
          <w:szCs w:val="24"/>
          <w:lang w:val="en-US" w:eastAsia="zh-CN" w:bidi="en-US"/>
        </w:rPr>
        <w:drawing>
          <wp:inline distT="0" distB="0" distL="114300" distR="114300">
            <wp:extent cx="5264785" cy="1845310"/>
            <wp:effectExtent l="0" t="0" r="12065" b="254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1"/>
                    <a:stretch>
                      <a:fillRect/>
                    </a:stretch>
                  </pic:blipFill>
                  <pic:spPr>
                    <a:xfrm>
                      <a:off x="0" y="0"/>
                      <a:ext cx="5264785" cy="1845310"/>
                    </a:xfrm>
                    <a:prstGeom prst="rect">
                      <a:avLst/>
                    </a:prstGeom>
                    <a:noFill/>
                    <a:ln>
                      <a:noFill/>
                    </a:ln>
                  </pic:spPr>
                </pic:pic>
              </a:graphicData>
            </a:graphic>
          </wp:inline>
        </w:drawing>
      </w:r>
    </w:p>
    <w:p>
      <w:pPr>
        <w:pStyle w:val="3"/>
        <w:widowControl/>
        <w:numPr>
          <w:ilvl w:val="1"/>
          <w:numId w:val="7"/>
        </w:numPr>
        <w:spacing w:before="260" w:beforeAutospacing="0" w:after="260" w:afterAutospacing="0" w:line="360" w:lineRule="auto"/>
        <w:rPr>
          <w:rFonts w:hint="eastAsia"/>
          <w:lang w:val="en-US" w:eastAsia="zh-CN"/>
        </w:rPr>
      </w:pPr>
      <w:bookmarkStart w:id="49" w:name="_Toc31207"/>
      <w:bookmarkStart w:id="50" w:name="_Toc19907"/>
      <w:bookmarkStart w:id="51" w:name="_Toc3171"/>
      <w:r>
        <w:rPr>
          <w:rFonts w:hint="eastAsia"/>
          <w:lang w:val="en-US" w:eastAsia="zh-CN"/>
        </w:rPr>
        <w:t>通用按钮约定</w:t>
      </w:r>
      <w:bookmarkEnd w:id="49"/>
      <w:bookmarkEnd w:id="50"/>
      <w:bookmarkEnd w:id="51"/>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宋体" w:hAnsi="宋体"/>
          <w:sz w:val="24"/>
          <w:szCs w:val="24"/>
          <w:lang w:val="en-US" w:eastAsia="zh-CN"/>
        </w:rPr>
      </w:pPr>
      <w:r>
        <w:rPr>
          <w:rFonts w:hint="eastAsia" w:ascii="宋体" w:hAnsi="宋体"/>
          <w:sz w:val="24"/>
          <w:szCs w:val="24"/>
          <w:lang w:val="en-US" w:eastAsia="zh-CN"/>
        </w:rPr>
        <w:t>【查询】、【搜索】：据查询条件筛选符合条件的业务数据，输入框不特殊说明均为模糊搜索。如果查询条件为空，默认查询所有记录。</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【重置】：将查询条件恢复为默认。</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【新增】：点击新增按钮，弹出窗口或打开新增页面。</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【编辑】：点击编辑按钮，弹出窗口或打开编辑页面，同新增页面，反显原数据信息。除自动生成的编码和新增时即不可编辑的元素外，均可编辑。</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【详情】：点击详情按钮，弹出窗口或打开详情页面，同新增页面，反显原数据信息，不能修改。</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删除】、【作废】、【停用】：选中单条或多条记录的复选框，可删除、作废或停用已选记录。点击按钮，提示“确定删除/作废/停用所选记录？”。点击确定，删除/作废/停用成功，点击取消，提示“删除/作废/停用失败”。</w:t>
      </w:r>
    </w:p>
    <w:p>
      <w:pPr>
        <w:pStyle w:val="4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【上传】：上传附件功能，为保证系统安全，上传的附件只支持pdf、csv、jpg、png文件格式。</w:t>
      </w:r>
    </w:p>
    <w:p>
      <w:pPr>
        <w:pStyle w:val="2"/>
        <w:numPr>
          <w:ilvl w:val="0"/>
          <w:numId w:val="5"/>
        </w:numPr>
        <w:tabs>
          <w:tab w:val="left" w:pos="425"/>
          <w:tab w:val="clear" w:pos="432"/>
        </w:tabs>
        <w:spacing w:line="360" w:lineRule="auto"/>
        <w:ind w:left="0" w:leftChars="0" w:firstLine="0" w:firstLineChars="0"/>
        <w:rPr>
          <w:rFonts w:hint="eastAsia" w:ascii="Arial" w:hAnsi="Arial" w:cs="Arial"/>
        </w:rPr>
      </w:pPr>
      <w:bookmarkStart w:id="52" w:name="_Toc75"/>
      <w:r>
        <w:rPr>
          <w:rFonts w:hint="eastAsia" w:ascii="Arial" w:hAnsi="Arial" w:cs="Arial"/>
          <w:lang w:val="en-US" w:eastAsia="zh-CN"/>
        </w:rPr>
        <w:t>常见业务场景及操作步骤</w:t>
      </w:r>
      <w:bookmarkEnd w:id="52"/>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53" w:name="_Toc15448"/>
      <w:bookmarkStart w:id="54" w:name="_Toc32091"/>
      <w:bookmarkStart w:id="55" w:name="_如何编制融资计划"/>
      <w:r>
        <w:rPr>
          <w:rFonts w:hint="eastAsia" w:ascii="Arial" w:hAnsi="Times New Roman" w:eastAsia="宋体" w:cs="Times New Roman"/>
          <w:b/>
          <w:kern w:val="2"/>
          <w:sz w:val="30"/>
          <w:szCs w:val="24"/>
          <w:lang w:val="en-US" w:eastAsia="zh-CN" w:bidi="ar-SA"/>
        </w:rPr>
        <w:t>如何编制预算计划</w:t>
      </w:r>
      <w:bookmarkEnd w:id="53"/>
      <w:bookmarkEnd w:id="54"/>
    </w:p>
    <w:bookmarkEnd w:id="55"/>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56" w:name="_Toc6312"/>
      <w:bookmarkStart w:id="57" w:name="_Toc26557"/>
      <w:r>
        <w:rPr>
          <w:rFonts w:hint="eastAsia" w:ascii="Times New Roman" w:hAnsi="Times New Roman" w:eastAsia="宋体" w:cs="Times New Roman"/>
          <w:b/>
          <w:kern w:val="2"/>
          <w:sz w:val="28"/>
          <w:szCs w:val="24"/>
          <w:lang w:val="en-US" w:eastAsia="zh-CN" w:bidi="ar-SA"/>
        </w:rPr>
        <w:t>业务场景描述</w:t>
      </w:r>
      <w:bookmarkEnd w:id="56"/>
      <w:bookmarkEnd w:id="57"/>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按照集团</w:t>
      </w:r>
      <w:r>
        <w:rPr>
          <w:rFonts w:hint="eastAsia" w:ascii="Times New Roman" w:hAnsi="Times New Roman" w:eastAsia="宋体" w:cs="Times New Roman"/>
          <w:kern w:val="2"/>
          <w:sz w:val="24"/>
          <w:szCs w:val="24"/>
          <w:lang w:val="en-US" w:eastAsia="zh-CN" w:bidi="ar-SA"/>
        </w:rPr>
        <w:t>资金</w:t>
      </w:r>
      <w:r>
        <w:rPr>
          <w:rFonts w:hint="eastAsia" w:cs="Times New Roman"/>
          <w:kern w:val="2"/>
          <w:sz w:val="24"/>
          <w:szCs w:val="24"/>
          <w:lang w:val="en-US" w:eastAsia="zh-CN" w:bidi="ar-SA"/>
        </w:rPr>
        <w:t>收支</w:t>
      </w: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管理要求，预算从业务端发起，财务部门/职能部门/业务部门</w:t>
      </w:r>
      <w:r>
        <w:rPr>
          <w:rFonts w:hint="eastAsia" w:ascii="Times New Roman" w:hAnsi="Times New Roman" w:eastAsia="宋体" w:cs="Times New Roman"/>
          <w:kern w:val="2"/>
          <w:sz w:val="24"/>
          <w:szCs w:val="24"/>
          <w:lang w:val="en-US" w:eastAsia="zh-CN" w:bidi="ar-SA"/>
        </w:rPr>
        <w:t>编本</w:t>
      </w:r>
      <w:r>
        <w:rPr>
          <w:rFonts w:hint="eastAsia" w:cs="Times New Roman"/>
          <w:kern w:val="2"/>
          <w:sz w:val="24"/>
          <w:szCs w:val="24"/>
          <w:lang w:val="en-US" w:eastAsia="zh-CN" w:bidi="ar-SA"/>
        </w:rPr>
        <w:t>部门</w:t>
      </w:r>
      <w:r>
        <w:rPr>
          <w:rFonts w:hint="eastAsia" w:ascii="Times New Roman" w:hAnsi="Times New Roman" w:eastAsia="宋体" w:cs="Times New Roman"/>
          <w:kern w:val="2"/>
          <w:sz w:val="24"/>
          <w:szCs w:val="24"/>
          <w:lang w:val="en-US" w:eastAsia="zh-CN" w:bidi="ar-SA"/>
        </w:rPr>
        <w:t>资金</w:t>
      </w:r>
      <w:r>
        <w:rPr>
          <w:rFonts w:hint="eastAsia" w:cs="Times New Roman"/>
          <w:kern w:val="2"/>
          <w:sz w:val="24"/>
          <w:szCs w:val="24"/>
          <w:lang w:val="en-US" w:eastAsia="zh-CN" w:bidi="ar-SA"/>
        </w:rPr>
        <w:t>收支年度</w:t>
      </w: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或者月度</w:t>
      </w:r>
      <w:r>
        <w:rPr>
          <w:rFonts w:hint="eastAsia" w:ascii="Times New Roman" w:hAnsi="Times New Roman" w:eastAsia="宋体" w:cs="Times New Roman"/>
          <w:kern w:val="2"/>
          <w:sz w:val="24"/>
          <w:szCs w:val="24"/>
          <w:lang w:val="en-US" w:eastAsia="zh-CN" w:bidi="ar-SA"/>
        </w:rPr>
        <w:t>计划。预算编制单位</w:t>
      </w:r>
      <w:r>
        <w:rPr>
          <w:rFonts w:hint="eastAsia" w:cs="Times New Roman"/>
          <w:kern w:val="2"/>
          <w:sz w:val="24"/>
          <w:szCs w:val="24"/>
          <w:lang w:val="en-US" w:eastAsia="zh-CN" w:bidi="ar-SA"/>
        </w:rPr>
        <w:t>汇总</w:t>
      </w:r>
      <w:r>
        <w:rPr>
          <w:rFonts w:hint="eastAsia" w:ascii="Times New Roman" w:hAnsi="Times New Roman" w:eastAsia="宋体" w:cs="Times New Roman"/>
          <w:kern w:val="2"/>
          <w:sz w:val="24"/>
          <w:szCs w:val="24"/>
          <w:lang w:val="en-US" w:eastAsia="zh-CN" w:bidi="ar-SA"/>
        </w:rPr>
        <w:t>本单位</w:t>
      </w:r>
      <w:r>
        <w:rPr>
          <w:rFonts w:hint="eastAsia" w:cs="Times New Roman"/>
          <w:kern w:val="2"/>
          <w:sz w:val="24"/>
          <w:szCs w:val="24"/>
          <w:lang w:val="en-US" w:eastAsia="zh-CN" w:bidi="ar-SA"/>
        </w:rPr>
        <w:t>各部门</w:t>
      </w:r>
      <w:r>
        <w:rPr>
          <w:rFonts w:hint="eastAsia" w:ascii="Times New Roman" w:hAnsi="Times New Roman" w:eastAsia="宋体" w:cs="Times New Roman"/>
          <w:kern w:val="2"/>
          <w:sz w:val="24"/>
          <w:szCs w:val="24"/>
          <w:lang w:val="en-US" w:eastAsia="zh-CN" w:bidi="ar-SA"/>
        </w:rPr>
        <w:t>年度资金预算、月度</w:t>
      </w:r>
      <w:r>
        <w:rPr>
          <w:rFonts w:hint="eastAsia" w:cs="Times New Roman"/>
          <w:kern w:val="2"/>
          <w:sz w:val="24"/>
          <w:szCs w:val="24"/>
          <w:lang w:val="en-US" w:eastAsia="zh-CN" w:bidi="ar-SA"/>
        </w:rPr>
        <w:t>计划</w:t>
      </w:r>
      <w:r>
        <w:rPr>
          <w:rFonts w:hint="eastAsia" w:ascii="Times New Roman" w:hAnsi="Times New Roman" w:eastAsia="宋体" w:cs="Times New Roman"/>
          <w:kern w:val="2"/>
          <w:sz w:val="24"/>
          <w:szCs w:val="24"/>
          <w:lang w:val="en-US" w:eastAsia="zh-CN" w:bidi="ar-SA"/>
        </w:rPr>
        <w:t>。预算经本单位审批通过后，自动流转到其上级单位，逐级上报。</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58" w:name="_Toc23467"/>
      <w:bookmarkStart w:id="59" w:name="_Toc19"/>
      <w:r>
        <w:rPr>
          <w:rFonts w:hint="eastAsia" w:ascii="Times New Roman" w:hAnsi="Times New Roman" w:eastAsia="宋体" w:cs="Times New Roman"/>
          <w:b/>
          <w:kern w:val="2"/>
          <w:sz w:val="28"/>
          <w:szCs w:val="24"/>
          <w:lang w:val="en-US" w:eastAsia="zh-CN" w:bidi="ar-SA"/>
        </w:rPr>
        <w:t>菜单路径</w:t>
      </w:r>
      <w:bookmarkEnd w:id="58"/>
      <w:bookmarkEnd w:id="59"/>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【资金预算】-【预算管理】-【预算编制】。</w:t>
      </w:r>
    </w:p>
    <w:p>
      <w:pPr>
        <w:widowControl w:val="0"/>
        <w:numPr>
          <w:ilvl w:val="2"/>
          <w:numId w:val="11"/>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0" w:name="_Toc14926"/>
      <w:bookmarkStart w:id="61" w:name="_Toc31757"/>
      <w:r>
        <w:rPr>
          <w:rFonts w:hint="eastAsia" w:ascii="Times New Roman" w:hAnsi="Times New Roman" w:eastAsia="宋体" w:cs="Times New Roman"/>
          <w:b/>
          <w:kern w:val="2"/>
          <w:sz w:val="28"/>
          <w:szCs w:val="24"/>
          <w:lang w:val="en-US" w:eastAsia="zh-CN" w:bidi="ar-SA"/>
        </w:rPr>
        <w:t>操作步骤</w:t>
      </w:r>
      <w:bookmarkEnd w:id="60"/>
      <w:bookmarkEnd w:id="61"/>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第一步，点击菜单【预算编制】，进入该菜单的主操作界面。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99710" cy="2348230"/>
            <wp:effectExtent l="0" t="0" r="8890" b="1270"/>
            <wp:docPr id="6" name="图片 6" descr="167117630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71176308453"/>
                    <pic:cNvPicPr>
                      <a:picLocks noChangeAspect="1"/>
                    </pic:cNvPicPr>
                  </pic:nvPicPr>
                  <pic:blipFill>
                    <a:blip r:embed="rId22"/>
                    <a:stretch>
                      <a:fillRect/>
                    </a:stretch>
                  </pic:blipFill>
                  <pic:spPr>
                    <a:xfrm>
                      <a:off x="0" y="0"/>
                      <a:ext cx="5299710" cy="234823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第二步，点击【新增】功能按钮，进入预算编制的明细界面。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74945" cy="2544445"/>
            <wp:effectExtent l="0" t="0" r="8255" b="8255"/>
            <wp:docPr id="23" name="图片 23" descr="167028999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670289994679"/>
                    <pic:cNvPicPr>
                      <a:picLocks noChangeAspect="1"/>
                    </pic:cNvPicPr>
                  </pic:nvPicPr>
                  <pic:blipFill>
                    <a:blip r:embed="rId23"/>
                    <a:stretch>
                      <a:fillRect/>
                    </a:stretch>
                  </pic:blipFill>
                  <pic:spPr>
                    <a:xfrm>
                      <a:off x="0" y="0"/>
                      <a:ext cx="5274945" cy="254444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提报单位即为当前登录单位。如需操作本人权限范围内其他单位的业务，需在界面右上方切换业务单位。</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业务操作人需明确并填写预算单位、业务部门，预算年度、预算周期、周期区间，确认上级接收单位。</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按照所选信息，填写预算明细。界面如下：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346700" cy="2705735"/>
            <wp:effectExtent l="0" t="0" r="0" b="12065"/>
            <wp:docPr id="24" name="图片 24" descr="167029029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670290298610"/>
                    <pic:cNvPicPr>
                      <a:picLocks noChangeAspect="1"/>
                    </pic:cNvPicPr>
                  </pic:nvPicPr>
                  <pic:blipFill>
                    <a:blip r:embed="rId24"/>
                    <a:stretch>
                      <a:fillRect/>
                    </a:stretch>
                  </pic:blipFill>
                  <pic:spPr>
                    <a:xfrm>
                      <a:off x="0" y="0"/>
                      <a:ext cx="5346700" cy="270573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4"/>
        </w:numPr>
        <w:kinsoku/>
        <w:wordWrap/>
        <w:overflowPunct/>
        <w:topLinePunct w:val="0"/>
        <w:autoSpaceDE/>
        <w:autoSpaceDN/>
        <w:bidi w:val="0"/>
        <w:adjustRightInd/>
        <w:snapToGrid/>
        <w:spacing w:before="157" w:beforeLines="50"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需要填写对集团外收支、对本单位母或子公司间、对集团内其他单位预算数据，      数值位数不超过20位，小数点后保留2位。金额合计，由填写金额自动计算得出。</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填写金额单位为：元，可切换至万元、亿元查看转换金额，如需继续填写，需切换到单位：元。</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可按照预算编制模板导入数据，也可将页面已编制数据导出至excel文档。</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【保存】：暂存数据。</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第三步，查看本人编制的预算计划业务单据，并跟踪状态。</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预算编制主界面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62" w:name="_Toc11954"/>
      <w:bookmarkStart w:id="63" w:name="_Toc5852"/>
      <w:bookmarkStart w:id="64" w:name="_如何汇总融资计划"/>
      <w:r>
        <w:rPr>
          <w:rFonts w:hint="eastAsia" w:ascii="Arial" w:hAnsi="Times New Roman" w:eastAsia="宋体" w:cs="Times New Roman"/>
          <w:b/>
          <w:kern w:val="2"/>
          <w:sz w:val="30"/>
          <w:szCs w:val="24"/>
          <w:lang w:val="en-US" w:eastAsia="zh-CN" w:bidi="ar-SA"/>
        </w:rPr>
        <w:t>如何汇总</w:t>
      </w:r>
      <w:r>
        <w:rPr>
          <w:rFonts w:hint="eastAsia" w:ascii="Arial" w:cs="Times New Roman"/>
          <w:b/>
          <w:kern w:val="2"/>
          <w:sz w:val="30"/>
          <w:szCs w:val="24"/>
          <w:lang w:val="en-US" w:eastAsia="zh-CN" w:bidi="ar-SA"/>
        </w:rPr>
        <w:t>本单位各部门</w:t>
      </w:r>
      <w:r>
        <w:rPr>
          <w:rFonts w:hint="eastAsia" w:ascii="Arial" w:hAnsi="Times New Roman" w:eastAsia="宋体" w:cs="Times New Roman"/>
          <w:b/>
          <w:kern w:val="2"/>
          <w:sz w:val="30"/>
          <w:szCs w:val="24"/>
          <w:lang w:val="en-US" w:eastAsia="zh-CN" w:bidi="ar-SA"/>
        </w:rPr>
        <w:t>预算</w:t>
      </w:r>
      <w:r>
        <w:rPr>
          <w:rFonts w:hint="eastAsia" w:ascii="Arial" w:cs="Times New Roman"/>
          <w:b/>
          <w:kern w:val="2"/>
          <w:sz w:val="30"/>
          <w:szCs w:val="24"/>
          <w:lang w:val="en-US" w:eastAsia="zh-CN" w:bidi="ar-SA"/>
        </w:rPr>
        <w:t>和</w:t>
      </w:r>
      <w:r>
        <w:rPr>
          <w:rFonts w:hint="eastAsia" w:ascii="Arial" w:hAnsi="Times New Roman" w:eastAsia="宋体" w:cs="Times New Roman"/>
          <w:b/>
          <w:kern w:val="2"/>
          <w:sz w:val="30"/>
          <w:szCs w:val="24"/>
          <w:lang w:val="en-US" w:eastAsia="zh-CN" w:bidi="ar-SA"/>
        </w:rPr>
        <w:t>计划</w:t>
      </w:r>
      <w:bookmarkEnd w:id="62"/>
      <w:bookmarkEnd w:id="63"/>
    </w:p>
    <w:bookmarkEnd w:id="64"/>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5" w:name="_Toc21713"/>
      <w:bookmarkStart w:id="66" w:name="_Toc16682"/>
      <w:r>
        <w:rPr>
          <w:rFonts w:hint="eastAsia" w:ascii="Times New Roman" w:hAnsi="Times New Roman" w:eastAsia="宋体" w:cs="Times New Roman"/>
          <w:b/>
          <w:kern w:val="2"/>
          <w:sz w:val="28"/>
          <w:szCs w:val="24"/>
          <w:lang w:val="en-US" w:eastAsia="zh-CN" w:bidi="ar-SA"/>
        </w:rPr>
        <w:t>业务场景描述</w:t>
      </w:r>
      <w:bookmarkEnd w:id="65"/>
      <w:bookmarkEnd w:id="66"/>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汇总</w:t>
      </w:r>
      <w:r>
        <w:rPr>
          <w:rFonts w:hint="default" w:ascii="Times New Roman" w:hAnsi="Times New Roman" w:eastAsia="宋体" w:cs="Times New Roman"/>
          <w:kern w:val="2"/>
          <w:sz w:val="24"/>
          <w:szCs w:val="24"/>
          <w:lang w:val="en-US" w:eastAsia="zh-CN" w:bidi="ar-SA"/>
        </w:rPr>
        <w:t>本单位</w:t>
      </w:r>
      <w:r>
        <w:rPr>
          <w:rFonts w:hint="eastAsia" w:cs="Times New Roman"/>
          <w:kern w:val="2"/>
          <w:sz w:val="24"/>
          <w:szCs w:val="24"/>
          <w:lang w:val="en-US" w:eastAsia="zh-CN" w:bidi="ar-SA"/>
        </w:rPr>
        <w:t>各部门</w:t>
      </w:r>
      <w:r>
        <w:rPr>
          <w:rFonts w:hint="default" w:ascii="Times New Roman" w:hAnsi="Times New Roman" w:eastAsia="宋体" w:cs="Times New Roman"/>
          <w:kern w:val="2"/>
          <w:sz w:val="24"/>
          <w:szCs w:val="24"/>
          <w:lang w:val="en-US" w:eastAsia="zh-CN" w:bidi="ar-SA"/>
        </w:rPr>
        <w:t>的</w:t>
      </w:r>
      <w:r>
        <w:rPr>
          <w:rFonts w:hint="eastAsia" w:cs="Times New Roman"/>
          <w:kern w:val="2"/>
          <w:sz w:val="24"/>
          <w:szCs w:val="24"/>
          <w:lang w:val="en-US" w:eastAsia="zh-CN" w:bidi="ar-SA"/>
        </w:rPr>
        <w:t>年度</w:t>
      </w: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/月度</w:t>
      </w:r>
      <w:r>
        <w:rPr>
          <w:rFonts w:hint="eastAsia" w:ascii="Times New Roman" w:hAnsi="Times New Roman" w:eastAsia="宋体" w:cs="Times New Roman"/>
          <w:kern w:val="2"/>
          <w:sz w:val="24"/>
          <w:szCs w:val="24"/>
          <w:lang w:val="en-US" w:eastAsia="zh-CN" w:bidi="ar-SA"/>
        </w:rPr>
        <w:t>计划</w:t>
      </w:r>
      <w:r>
        <w:rPr>
          <w:rFonts w:hint="default" w:ascii="Times New Roman" w:hAnsi="Times New Roman" w:eastAsia="宋体" w:cs="Times New Roman"/>
          <w:kern w:val="2"/>
          <w:sz w:val="24"/>
          <w:szCs w:val="24"/>
          <w:lang w:val="en-US" w:eastAsia="zh-CN" w:bidi="ar-SA"/>
        </w:rPr>
        <w:t>提报数据，形成本单位汇总版本</w:t>
      </w:r>
      <w:r>
        <w:rPr>
          <w:rFonts w:hint="eastAsia" w:cs="Times New Roman"/>
          <w:kern w:val="2"/>
          <w:sz w:val="24"/>
          <w:szCs w:val="24"/>
          <w:lang w:val="en-US" w:eastAsia="zh-CN" w:bidi="ar-SA"/>
        </w:rPr>
        <w:t>年度</w:t>
      </w:r>
      <w:r>
        <w:rPr>
          <w:rFonts w:hint="default"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/月度计划</w:t>
      </w:r>
      <w:r>
        <w:rPr>
          <w:rFonts w:hint="default" w:ascii="Times New Roman" w:hAnsi="Times New Roman" w:eastAsia="宋体"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，并</w:t>
      </w:r>
      <w:r>
        <w:rPr>
          <w:rFonts w:hint="default" w:ascii="Times New Roman" w:hAnsi="Times New Roman" w:eastAsia="宋体" w:cs="Times New Roman"/>
          <w:kern w:val="2"/>
          <w:sz w:val="24"/>
          <w:szCs w:val="24"/>
          <w:lang w:val="en-US" w:eastAsia="zh-CN" w:bidi="ar-SA"/>
        </w:rPr>
        <w:t>提交本单位相关人员</w:t>
      </w:r>
      <w:r>
        <w:rPr>
          <w:rFonts w:hint="eastAsia" w:ascii="Times New Roman" w:hAnsi="Times New Roman" w:eastAsia="宋体" w:cs="Times New Roman"/>
          <w:kern w:val="2"/>
          <w:sz w:val="24"/>
          <w:szCs w:val="24"/>
          <w:lang w:val="en-US" w:eastAsia="zh-CN" w:bidi="ar-SA"/>
        </w:rPr>
        <w:t>审核</w:t>
      </w:r>
      <w:r>
        <w:rPr>
          <w:rFonts w:hint="default" w:ascii="Times New Roman" w:hAnsi="Times New Roman" w:eastAsia="宋体" w:cs="Times New Roman"/>
          <w:kern w:val="2"/>
          <w:sz w:val="24"/>
          <w:szCs w:val="24"/>
          <w:lang w:val="en-US" w:eastAsia="zh-CN" w:bidi="ar-SA"/>
        </w:rPr>
        <w:t>。汇总版本预算经本单位审批通过后，自动流转到上级单位，逐级上报。</w:t>
      </w:r>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67" w:name="_Toc6585"/>
      <w:bookmarkStart w:id="68" w:name="_Toc7493"/>
      <w:r>
        <w:rPr>
          <w:rFonts w:hint="eastAsia" w:ascii="Times New Roman" w:hAnsi="Times New Roman" w:eastAsia="宋体" w:cs="Times New Roman"/>
          <w:b/>
          <w:kern w:val="2"/>
          <w:sz w:val="28"/>
          <w:szCs w:val="24"/>
          <w:lang w:val="en-US" w:eastAsia="zh-CN" w:bidi="ar-SA"/>
        </w:rPr>
        <w:t>菜单路径</w:t>
      </w:r>
      <w:bookmarkEnd w:id="67"/>
      <w:bookmarkEnd w:id="68"/>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bookmarkStart w:id="69" w:name="_Toc9884"/>
      <w:r>
        <w:rPr>
          <w:rFonts w:hint="eastAsia" w:ascii="宋体" w:hAnsi="宋体" w:eastAsia="宋体" w:cs="宋体"/>
          <w:kern w:val="2"/>
          <w:sz w:val="24"/>
          <w:szCs w:val="24"/>
          <w:vertAlign w:val="baseline"/>
          <w:lang w:val="en-US" w:eastAsia="zh-CN" w:bidi="ar-SA"/>
        </w:rPr>
        <w:t>【资金预算】-【预算管理】-【</w:t>
      </w:r>
      <w:r>
        <w:rPr>
          <w:rFonts w:hint="eastAsia" w:ascii="宋体" w:hAnsi="宋体" w:cs="宋体"/>
          <w:kern w:val="2"/>
          <w:sz w:val="24"/>
          <w:szCs w:val="24"/>
          <w:vertAlign w:val="baseline"/>
          <w:lang w:val="en-US" w:eastAsia="zh-CN" w:bidi="ar-SA"/>
        </w:rPr>
        <w:t>单位</w:t>
      </w:r>
      <w:r>
        <w:rPr>
          <w:rFonts w:hint="eastAsia" w:ascii="宋体" w:hAnsi="宋体" w:eastAsia="宋体" w:cs="宋体"/>
          <w:kern w:val="2"/>
          <w:sz w:val="24"/>
          <w:szCs w:val="24"/>
          <w:vertAlign w:val="baseline"/>
          <w:lang w:val="en-US" w:eastAsia="zh-CN" w:bidi="ar-SA"/>
        </w:rPr>
        <w:t>汇总】。</w:t>
      </w:r>
    </w:p>
    <w:p>
      <w:pPr>
        <w:widowControl w:val="0"/>
        <w:numPr>
          <w:ilvl w:val="2"/>
          <w:numId w:val="1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0" w:name="_Toc22101"/>
      <w:r>
        <w:rPr>
          <w:rFonts w:hint="eastAsia" w:ascii="Times New Roman" w:hAnsi="Times New Roman" w:eastAsia="宋体" w:cs="Times New Roman"/>
          <w:b/>
          <w:kern w:val="2"/>
          <w:sz w:val="28"/>
          <w:szCs w:val="24"/>
          <w:lang w:val="en-US" w:eastAsia="zh-CN" w:bidi="ar-SA"/>
        </w:rPr>
        <w:t>操作步骤</w:t>
      </w:r>
      <w:bookmarkEnd w:id="69"/>
      <w:bookmarkEnd w:id="70"/>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单位</w:t>
      </w:r>
      <w:r>
        <w:rPr>
          <w:rFonts w:hint="eastAsia" w:ascii="宋体" w:hAnsi="Times New Roman" w:eastAsia="宋体" w:cs="宋体"/>
          <w:kern w:val="0"/>
          <w:sz w:val="24"/>
          <w:szCs w:val="21"/>
          <w:lang w:val="en-US" w:eastAsia="zh-CN" w:bidi="ar-SA"/>
        </w:rPr>
        <w:t>汇总】，进入该菜单的主操作界面。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195" cy="2631440"/>
            <wp:effectExtent l="0" t="0" r="1905" b="1651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5"/>
                    <a:stretch>
                      <a:fillRect/>
                    </a:stretch>
                  </pic:blipFill>
                  <pic:spPr>
                    <a:xfrm>
                      <a:off x="0" y="0"/>
                      <a:ext cx="5751195" cy="2631440"/>
                    </a:xfrm>
                    <a:prstGeom prst="rect">
                      <a:avLst/>
                    </a:prstGeom>
                    <a:noFill/>
                    <a:ln>
                      <a:noFill/>
                    </a:ln>
                  </pic:spPr>
                </pic:pic>
              </a:graphicData>
            </a:graphic>
          </wp:inline>
        </w:drawing>
      </w:r>
    </w:p>
    <w:p>
      <w:pPr>
        <w:widowControl w:val="0"/>
        <w:numPr>
          <w:ilvl w:val="0"/>
          <w:numId w:val="0"/>
        </w:numPr>
        <w:spacing w:line="360" w:lineRule="auto"/>
        <w:ind w:leftChars="0"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支持查看预算计划明细的详情信息，如需调整可退回提报单位。</w:t>
      </w:r>
    </w:p>
    <w:p>
      <w:pPr>
        <w:widowControl w:val="0"/>
        <w:numPr>
          <w:ilvl w:val="0"/>
          <w:numId w:val="0"/>
        </w:numPr>
        <w:spacing w:line="360" w:lineRule="auto"/>
        <w:ind w:leftChars="0" w:firstLine="420" w:firstLineChars="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待数据完整且无误后，进行下一步操作。</w:t>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第二步，确定列表中待汇总的明细数据，点击【汇总】功能按钮，进入预算计划汇总提报界面。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545455" cy="2525395"/>
            <wp:effectExtent l="0" t="0" r="4445" b="1905"/>
            <wp:docPr id="26" name="图片 26" descr="167029242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70292428422"/>
                    <pic:cNvPicPr>
                      <a:picLocks noChangeAspect="1"/>
                    </pic:cNvPicPr>
                  </pic:nvPicPr>
                  <pic:blipFill>
                    <a:blip r:embed="rId26"/>
                    <a:stretch>
                      <a:fillRect/>
                    </a:stretch>
                  </pic:blipFill>
                  <pic:spPr>
                    <a:xfrm>
                      <a:off x="0" y="0"/>
                      <a:ext cx="5545455" cy="252539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提报单位即为当前登录单位。如需操作本人权限范围内其他单位的业务，需在界面右上方切换业务单位。</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预算单位、上级接收单位、预算年度、预算体系、预算周期、周期区间、预算编制方法、预算开始日期、预算结束日期、备注，均根据预算计划明细信息自动生成，不允许修改。</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可选择预算汇总数据，通过【穿透下级查询】功能，查看汇总单位明细。</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汇总单位各部门编制的预算按照本单位设置的子模版进行汇总，汇总下级企业的预算按照总模板进行，汇总时提示本单位及下级单位是否上报了预算。选择是继续汇总，否暂时不汇总。</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本单位审核通过后单据自动流转到界面上所选“上级接收单位”进行汇总及逐级上报。</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第三步，查看本人提交的融资计划业务单据，并跟踪状态。</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预算汇总主界面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1" w:name="_Toc26545"/>
      <w:r>
        <w:rPr>
          <w:rFonts w:hint="eastAsia" w:ascii="Arial" w:hAnsi="Times New Roman" w:eastAsia="宋体" w:cs="Times New Roman"/>
          <w:b/>
          <w:kern w:val="2"/>
          <w:sz w:val="30"/>
          <w:szCs w:val="24"/>
          <w:lang w:val="en-US" w:eastAsia="zh-CN" w:bidi="ar-SA"/>
        </w:rPr>
        <w:t>如何汇总</w:t>
      </w:r>
      <w:r>
        <w:rPr>
          <w:rFonts w:hint="eastAsia" w:ascii="Arial" w:cs="Times New Roman"/>
          <w:b/>
          <w:kern w:val="2"/>
          <w:sz w:val="30"/>
          <w:szCs w:val="24"/>
          <w:lang w:val="en-US" w:eastAsia="zh-CN" w:bidi="ar-SA"/>
        </w:rPr>
        <w:t>所属单位</w:t>
      </w:r>
      <w:r>
        <w:rPr>
          <w:rFonts w:hint="eastAsia" w:ascii="Arial" w:hAnsi="Times New Roman" w:eastAsia="宋体" w:cs="Times New Roman"/>
          <w:b/>
          <w:kern w:val="2"/>
          <w:sz w:val="30"/>
          <w:szCs w:val="24"/>
          <w:lang w:val="en-US" w:eastAsia="zh-CN" w:bidi="ar-SA"/>
        </w:rPr>
        <w:t>预算</w:t>
      </w:r>
      <w:r>
        <w:rPr>
          <w:rFonts w:hint="eastAsia" w:ascii="Arial" w:cs="Times New Roman"/>
          <w:b/>
          <w:kern w:val="2"/>
          <w:sz w:val="30"/>
          <w:szCs w:val="24"/>
          <w:lang w:val="en-US" w:eastAsia="zh-CN" w:bidi="ar-SA"/>
        </w:rPr>
        <w:t>和</w:t>
      </w:r>
      <w:r>
        <w:rPr>
          <w:rFonts w:hint="eastAsia" w:ascii="Arial" w:hAnsi="Times New Roman" w:eastAsia="宋体" w:cs="Times New Roman"/>
          <w:b/>
          <w:kern w:val="2"/>
          <w:sz w:val="30"/>
          <w:szCs w:val="24"/>
          <w:lang w:val="en-US" w:eastAsia="zh-CN" w:bidi="ar-SA"/>
        </w:rPr>
        <w:t>计划</w:t>
      </w:r>
      <w:bookmarkEnd w:id="71"/>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2" w:name="_Toc20457"/>
      <w:r>
        <w:rPr>
          <w:rFonts w:hint="eastAsia" w:ascii="Times New Roman" w:hAnsi="Times New Roman" w:eastAsia="宋体" w:cs="Times New Roman"/>
          <w:b/>
          <w:kern w:val="2"/>
          <w:sz w:val="28"/>
          <w:szCs w:val="24"/>
          <w:lang w:val="en-US" w:eastAsia="zh-CN" w:bidi="ar-SA"/>
        </w:rPr>
        <w:t>业务场景描述</w:t>
      </w:r>
      <w:bookmarkEnd w:id="72"/>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汇总</w:t>
      </w:r>
      <w:r>
        <w:rPr>
          <w:rFonts w:hint="default" w:ascii="Times New Roman" w:hAnsi="Times New Roman" w:eastAsia="宋体" w:cs="Times New Roman"/>
          <w:kern w:val="2"/>
          <w:sz w:val="24"/>
          <w:szCs w:val="24"/>
          <w:lang w:val="en-US" w:eastAsia="zh-CN" w:bidi="ar-SA"/>
        </w:rPr>
        <w:t>本单位及下级单位的</w:t>
      </w:r>
      <w:r>
        <w:rPr>
          <w:rFonts w:hint="eastAsia" w:cs="Times New Roman"/>
          <w:kern w:val="2"/>
          <w:sz w:val="24"/>
          <w:szCs w:val="24"/>
          <w:lang w:val="en-US" w:eastAsia="zh-CN" w:bidi="ar-SA"/>
        </w:rPr>
        <w:t>年度</w:t>
      </w:r>
      <w:r>
        <w:rPr>
          <w:rFonts w:hint="eastAsia"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、月度</w:t>
      </w:r>
      <w:r>
        <w:rPr>
          <w:rFonts w:hint="eastAsia" w:ascii="Times New Roman" w:hAnsi="Times New Roman" w:eastAsia="宋体" w:cs="Times New Roman"/>
          <w:kern w:val="2"/>
          <w:sz w:val="24"/>
          <w:szCs w:val="24"/>
          <w:lang w:val="en-US" w:eastAsia="zh-CN" w:bidi="ar-SA"/>
        </w:rPr>
        <w:t>计划</w:t>
      </w:r>
      <w:r>
        <w:rPr>
          <w:rFonts w:hint="default" w:ascii="Times New Roman" w:hAnsi="Times New Roman" w:eastAsia="宋体" w:cs="Times New Roman"/>
          <w:kern w:val="2"/>
          <w:sz w:val="24"/>
          <w:szCs w:val="24"/>
          <w:lang w:val="en-US" w:eastAsia="zh-CN" w:bidi="ar-SA"/>
        </w:rPr>
        <w:t>提报数据，形成本单位汇总版本</w:t>
      </w:r>
      <w:r>
        <w:rPr>
          <w:rFonts w:hint="eastAsia" w:cs="Times New Roman"/>
          <w:kern w:val="2"/>
          <w:sz w:val="24"/>
          <w:szCs w:val="24"/>
          <w:lang w:val="en-US" w:eastAsia="zh-CN" w:bidi="ar-SA"/>
        </w:rPr>
        <w:t>年度</w:t>
      </w:r>
      <w:r>
        <w:rPr>
          <w:rFonts w:hint="default"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/月度计划</w:t>
      </w:r>
      <w:r>
        <w:rPr>
          <w:rFonts w:hint="default" w:ascii="Times New Roman" w:hAnsi="Times New Roman" w:eastAsia="宋体" w:cs="Times New Roman"/>
          <w:kern w:val="2"/>
          <w:sz w:val="24"/>
          <w:szCs w:val="24"/>
          <w:lang w:val="en-US" w:eastAsia="zh-CN" w:bidi="ar-SA"/>
        </w:rPr>
        <w:t>数据</w:t>
      </w:r>
      <w:r>
        <w:rPr>
          <w:rFonts w:hint="eastAsia" w:ascii="Times New Roman" w:hAnsi="Times New Roman" w:eastAsia="宋体" w:cs="Times New Roman"/>
          <w:kern w:val="2"/>
          <w:sz w:val="24"/>
          <w:szCs w:val="24"/>
          <w:lang w:val="en-US" w:eastAsia="zh-CN" w:bidi="ar-SA"/>
        </w:rPr>
        <w:t>，并</w:t>
      </w:r>
      <w:r>
        <w:rPr>
          <w:rFonts w:hint="default" w:ascii="Times New Roman" w:hAnsi="Times New Roman" w:eastAsia="宋体" w:cs="Times New Roman"/>
          <w:kern w:val="2"/>
          <w:sz w:val="24"/>
          <w:szCs w:val="24"/>
          <w:lang w:val="en-US" w:eastAsia="zh-CN" w:bidi="ar-SA"/>
        </w:rPr>
        <w:t>提交本单位相关人员</w:t>
      </w:r>
      <w:r>
        <w:rPr>
          <w:rFonts w:hint="eastAsia" w:ascii="Times New Roman" w:hAnsi="Times New Roman" w:eastAsia="宋体" w:cs="Times New Roman"/>
          <w:kern w:val="2"/>
          <w:sz w:val="24"/>
          <w:szCs w:val="24"/>
          <w:lang w:val="en-US" w:eastAsia="zh-CN" w:bidi="ar-SA"/>
        </w:rPr>
        <w:t>审核</w:t>
      </w:r>
      <w:r>
        <w:rPr>
          <w:rFonts w:hint="default" w:ascii="Times New Roman" w:hAnsi="Times New Roman" w:eastAsia="宋体" w:cs="Times New Roman"/>
          <w:kern w:val="2"/>
          <w:sz w:val="24"/>
          <w:szCs w:val="24"/>
          <w:lang w:val="en-US" w:eastAsia="zh-CN" w:bidi="ar-SA"/>
        </w:rPr>
        <w:t>。汇总版本</w:t>
      </w:r>
      <w:r>
        <w:rPr>
          <w:rFonts w:hint="eastAsia" w:cs="Times New Roman"/>
          <w:kern w:val="2"/>
          <w:sz w:val="24"/>
          <w:szCs w:val="24"/>
          <w:lang w:val="en-US" w:eastAsia="zh-CN" w:bidi="ar-SA"/>
        </w:rPr>
        <w:t>年度</w:t>
      </w:r>
      <w:r>
        <w:rPr>
          <w:rFonts w:hint="default" w:ascii="Times New Roman" w:hAnsi="Times New Roman" w:eastAsia="宋体" w:cs="Times New Roman"/>
          <w:kern w:val="2"/>
          <w:sz w:val="24"/>
          <w:szCs w:val="24"/>
          <w:lang w:val="en-US" w:eastAsia="zh-CN" w:bidi="ar-SA"/>
        </w:rPr>
        <w:t>预算</w:t>
      </w:r>
      <w:r>
        <w:rPr>
          <w:rFonts w:hint="eastAsia" w:cs="Times New Roman"/>
          <w:kern w:val="2"/>
          <w:sz w:val="24"/>
          <w:szCs w:val="24"/>
          <w:lang w:val="en-US" w:eastAsia="zh-CN" w:bidi="ar-SA"/>
        </w:rPr>
        <w:t>/月度计划</w:t>
      </w:r>
      <w:r>
        <w:rPr>
          <w:rFonts w:hint="default" w:ascii="Times New Roman" w:hAnsi="Times New Roman" w:eastAsia="宋体" w:cs="Times New Roman"/>
          <w:kern w:val="2"/>
          <w:sz w:val="24"/>
          <w:szCs w:val="24"/>
          <w:lang w:val="en-US" w:eastAsia="zh-CN" w:bidi="ar-SA"/>
        </w:rPr>
        <w:t>经本单位审批通过后，自动流转到其上级单位，逐级上报。</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3" w:name="_Toc3210"/>
      <w:r>
        <w:rPr>
          <w:rFonts w:hint="eastAsia" w:ascii="Times New Roman" w:hAnsi="Times New Roman" w:eastAsia="宋体" w:cs="Times New Roman"/>
          <w:b/>
          <w:kern w:val="2"/>
          <w:sz w:val="28"/>
          <w:szCs w:val="24"/>
          <w:lang w:val="en-US" w:eastAsia="zh-CN" w:bidi="ar-SA"/>
        </w:rPr>
        <w:t>菜单路径</w:t>
      </w:r>
      <w:bookmarkEnd w:id="73"/>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【资金预算】-【预算管理】-【</w:t>
      </w:r>
      <w:r>
        <w:rPr>
          <w:rFonts w:hint="eastAsia" w:ascii="宋体" w:hAnsi="宋体" w:cs="宋体"/>
          <w:kern w:val="2"/>
          <w:sz w:val="24"/>
          <w:szCs w:val="24"/>
          <w:vertAlign w:val="baseline"/>
          <w:lang w:val="en-US" w:eastAsia="zh-CN" w:bidi="ar-SA"/>
        </w:rPr>
        <w:t>逐级</w:t>
      </w:r>
      <w:r>
        <w:rPr>
          <w:rFonts w:hint="eastAsia" w:ascii="宋体" w:hAnsi="宋体" w:eastAsia="宋体" w:cs="宋体"/>
          <w:kern w:val="2"/>
          <w:sz w:val="24"/>
          <w:szCs w:val="24"/>
          <w:vertAlign w:val="baseline"/>
          <w:lang w:val="en-US" w:eastAsia="zh-CN" w:bidi="ar-SA"/>
        </w:rPr>
        <w:t>汇总】。</w:t>
      </w:r>
    </w:p>
    <w:p>
      <w:pPr>
        <w:widowControl w:val="0"/>
        <w:numPr>
          <w:ilvl w:val="2"/>
          <w:numId w:val="2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4" w:name="_Toc22586"/>
      <w:r>
        <w:rPr>
          <w:rFonts w:hint="eastAsia" w:ascii="Times New Roman" w:hAnsi="Times New Roman" w:eastAsia="宋体" w:cs="Times New Roman"/>
          <w:b/>
          <w:kern w:val="2"/>
          <w:sz w:val="28"/>
          <w:szCs w:val="24"/>
          <w:lang w:val="en-US" w:eastAsia="zh-CN" w:bidi="ar-SA"/>
        </w:rPr>
        <w:t>操作步骤</w:t>
      </w:r>
      <w:bookmarkEnd w:id="74"/>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逐级</w:t>
      </w:r>
      <w:r>
        <w:rPr>
          <w:rFonts w:hint="eastAsia" w:ascii="宋体" w:hAnsi="Times New Roman" w:eastAsia="宋体" w:cs="宋体"/>
          <w:kern w:val="0"/>
          <w:sz w:val="24"/>
          <w:szCs w:val="21"/>
          <w:lang w:val="en-US" w:eastAsia="zh-CN" w:bidi="ar-SA"/>
        </w:rPr>
        <w:t>汇总】，进入该菜单的主操作界面。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195" cy="2631440"/>
            <wp:effectExtent l="0" t="0" r="1905" b="1651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7"/>
                    <a:stretch>
                      <a:fillRect/>
                    </a:stretch>
                  </pic:blipFill>
                  <pic:spPr>
                    <a:xfrm>
                      <a:off x="0" y="0"/>
                      <a:ext cx="5751195" cy="2631440"/>
                    </a:xfrm>
                    <a:prstGeom prst="rect">
                      <a:avLst/>
                    </a:prstGeom>
                    <a:noFill/>
                    <a:ln>
                      <a:noFill/>
                    </a:ln>
                  </pic:spPr>
                </pic:pic>
              </a:graphicData>
            </a:graphic>
          </wp:inline>
        </w:drawing>
      </w:r>
    </w:p>
    <w:p>
      <w:pPr>
        <w:widowControl w:val="0"/>
        <w:numPr>
          <w:ilvl w:val="0"/>
          <w:numId w:val="0"/>
        </w:numPr>
        <w:spacing w:line="360" w:lineRule="auto"/>
        <w:ind w:leftChars="0"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支持查看预算计划明细的详情信息，如需调整可退回提报单位。</w:t>
      </w:r>
    </w:p>
    <w:p>
      <w:pPr>
        <w:widowControl w:val="0"/>
        <w:numPr>
          <w:ilvl w:val="0"/>
          <w:numId w:val="0"/>
        </w:numPr>
        <w:spacing w:line="360" w:lineRule="auto"/>
        <w:ind w:leftChars="0" w:firstLine="420" w:firstLineChars="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待数据完整且无误后，进行下一步操作。</w:t>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第二步，确定列表中待汇总的明细数据，点击【汇总】功能按钮，进入预算计划汇总提报界面。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545455" cy="2525395"/>
            <wp:effectExtent l="0" t="0" r="17145" b="8255"/>
            <wp:docPr id="14" name="图片 14" descr="167029242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670292428422"/>
                    <pic:cNvPicPr>
                      <a:picLocks noChangeAspect="1"/>
                    </pic:cNvPicPr>
                  </pic:nvPicPr>
                  <pic:blipFill>
                    <a:blip r:embed="rId26"/>
                    <a:stretch>
                      <a:fillRect/>
                    </a:stretch>
                  </pic:blipFill>
                  <pic:spPr>
                    <a:xfrm>
                      <a:off x="0" y="0"/>
                      <a:ext cx="5545455" cy="252539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提报单位即为当前登录单位。如需操作本人权限范围内其他单位的业务，需在界面右上方切换业务单位。</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预算单位、上级接收单位、预算年度、预算体系、预算周期、周期区间、预算编制方法、预算开始日期、预算结束日期、备注，均根据预算计划明细信息自动生成，不允许修改。</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可选择预算汇总数据，通过【穿透下级查询】功能，查看汇总单位明细。</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汇总单位各部门编制的预算按照本单位设置的子模版进行汇总，汇总下级企业的预算按照总模板进行，汇总时提示本单位及下级单位是否上报了预算。选择是继续汇总，否暂时不汇总。</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本单位审核通过后单据自动流转到界面上所选“上级接收单位”进行汇总及逐级上报。</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第三步，查看本人提交的融资计划业务单据，并跟踪状态。</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预算汇总主界面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jc w:val="both"/>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default" w:ascii="Arial" w:hAnsi="Times New Roman" w:eastAsia="宋体" w:cs="Times New Roman"/>
          <w:b/>
          <w:kern w:val="2"/>
          <w:sz w:val="30"/>
          <w:szCs w:val="24"/>
          <w:lang w:val="en-US" w:eastAsia="zh-CN" w:bidi="ar-SA"/>
        </w:rPr>
      </w:pPr>
      <w:bookmarkStart w:id="75" w:name="_Toc3105"/>
      <w:r>
        <w:rPr>
          <w:rFonts w:hint="eastAsia" w:ascii="Arial" w:hAnsi="Times New Roman" w:eastAsia="宋体" w:cs="Times New Roman"/>
          <w:b/>
          <w:kern w:val="2"/>
          <w:sz w:val="30"/>
          <w:szCs w:val="24"/>
          <w:lang w:val="en-US" w:eastAsia="zh-CN" w:bidi="ar-SA"/>
        </w:rPr>
        <w:t>如何</w:t>
      </w:r>
      <w:r>
        <w:rPr>
          <w:rFonts w:hint="eastAsia" w:ascii="Arial" w:cs="Times New Roman"/>
          <w:b/>
          <w:kern w:val="2"/>
          <w:sz w:val="30"/>
          <w:szCs w:val="24"/>
          <w:lang w:val="en-US" w:eastAsia="zh-CN" w:bidi="ar-SA"/>
        </w:rPr>
        <w:t>编制预算调整</w:t>
      </w:r>
      <w:bookmarkEnd w:id="75"/>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6" w:name="_Toc6265"/>
      <w:r>
        <w:rPr>
          <w:rFonts w:hint="eastAsia" w:ascii="Times New Roman" w:hAnsi="Times New Roman" w:eastAsia="宋体" w:cs="Times New Roman"/>
          <w:b/>
          <w:kern w:val="2"/>
          <w:sz w:val="28"/>
          <w:szCs w:val="24"/>
          <w:lang w:val="en-US" w:eastAsia="zh-CN" w:bidi="ar-SA"/>
        </w:rPr>
        <w:t>业务场景描述</w:t>
      </w:r>
      <w:bookmarkEnd w:id="76"/>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如年度预算或者月度计划需要</w:t>
      </w:r>
      <w:r>
        <w:rPr>
          <w:rFonts w:hint="eastAsia" w:ascii="Times New Roman" w:hAnsi="Times New Roman" w:eastAsia="宋体" w:cs="Times New Roman"/>
          <w:kern w:val="2"/>
          <w:sz w:val="24"/>
          <w:szCs w:val="24"/>
          <w:lang w:val="en-US" w:eastAsia="zh-CN" w:bidi="ar-SA"/>
        </w:rPr>
        <w:t>调整</w:t>
      </w:r>
      <w:r>
        <w:rPr>
          <w:rFonts w:hint="eastAsia" w:cs="Times New Roman"/>
          <w:kern w:val="2"/>
          <w:sz w:val="24"/>
          <w:szCs w:val="24"/>
          <w:lang w:val="en-US" w:eastAsia="zh-CN" w:bidi="ar-SA"/>
        </w:rPr>
        <w:t>，使用本功能，预算调整的前提是</w:t>
      </w:r>
      <w:r>
        <w:rPr>
          <w:rFonts w:hint="eastAsia" w:ascii="Times New Roman" w:hAnsi="Times New Roman" w:eastAsia="宋体" w:cs="Times New Roman"/>
          <w:kern w:val="2"/>
          <w:sz w:val="24"/>
          <w:szCs w:val="24"/>
          <w:lang w:val="en-US" w:eastAsia="zh-CN" w:bidi="ar-SA"/>
        </w:rPr>
        <w:t>本单位</w:t>
      </w:r>
      <w:r>
        <w:rPr>
          <w:rFonts w:hint="eastAsia" w:cs="Times New Roman"/>
          <w:kern w:val="2"/>
          <w:sz w:val="24"/>
          <w:szCs w:val="24"/>
          <w:lang w:val="en-US" w:eastAsia="zh-CN" w:bidi="ar-SA"/>
        </w:rPr>
        <w:t>预算</w:t>
      </w:r>
      <w:r>
        <w:rPr>
          <w:rFonts w:hint="eastAsia" w:ascii="Times New Roman" w:hAnsi="Times New Roman" w:eastAsia="宋体" w:cs="Times New Roman"/>
          <w:kern w:val="2"/>
          <w:sz w:val="24"/>
          <w:szCs w:val="24"/>
          <w:lang w:val="en-US" w:eastAsia="zh-CN" w:bidi="ar-SA"/>
        </w:rPr>
        <w:t>已经</w:t>
      </w:r>
      <w:r>
        <w:rPr>
          <w:rFonts w:hint="eastAsia" w:cs="Times New Roman"/>
          <w:kern w:val="2"/>
          <w:sz w:val="24"/>
          <w:szCs w:val="24"/>
          <w:lang w:val="en-US" w:eastAsia="zh-CN" w:bidi="ar-SA"/>
        </w:rPr>
        <w:t>审批</w:t>
      </w:r>
      <w:r>
        <w:rPr>
          <w:rFonts w:hint="eastAsia" w:ascii="Times New Roman" w:hAnsi="Times New Roman" w:eastAsia="宋体" w:cs="Times New Roman"/>
          <w:kern w:val="2"/>
          <w:sz w:val="24"/>
          <w:szCs w:val="24"/>
          <w:lang w:val="en-US" w:eastAsia="zh-CN" w:bidi="ar-SA"/>
        </w:rPr>
        <w:t>生效；</w:t>
      </w:r>
      <w:r>
        <w:rPr>
          <w:rFonts w:hint="eastAsia" w:cs="Times New Roman"/>
          <w:kern w:val="2"/>
          <w:sz w:val="24"/>
          <w:szCs w:val="24"/>
          <w:lang w:val="en-US" w:eastAsia="zh-CN" w:bidi="ar-SA"/>
        </w:rPr>
        <w:t>预算调整也是从部门发起，</w:t>
      </w:r>
      <w:r>
        <w:rPr>
          <w:rFonts w:hint="eastAsia" w:ascii="Times New Roman" w:hAnsi="Times New Roman" w:eastAsia="宋体" w:cs="Times New Roman"/>
          <w:kern w:val="2"/>
          <w:sz w:val="24"/>
          <w:szCs w:val="24"/>
          <w:lang w:val="en-US" w:eastAsia="zh-CN" w:bidi="ar-SA"/>
        </w:rPr>
        <w:t>经本单位审批通过后，根据汇总合计数按金额、按比例分级授权审批规则，自动流转到上级单位，逐级上报逐级审批</w:t>
      </w:r>
      <w:r>
        <w:rPr>
          <w:rFonts w:hint="default" w:ascii="Times New Roman" w:hAnsi="Times New Roman" w:eastAsia="宋体" w:cs="Times New Roman"/>
          <w:kern w:val="2"/>
          <w:sz w:val="24"/>
          <w:szCs w:val="24"/>
          <w:lang w:val="en-US" w:eastAsia="zh-CN" w:bidi="ar-SA"/>
        </w:rPr>
        <w:t>。</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7" w:name="_Toc29818"/>
      <w:r>
        <w:rPr>
          <w:rFonts w:hint="eastAsia" w:ascii="Times New Roman" w:hAnsi="Times New Roman" w:eastAsia="宋体" w:cs="Times New Roman"/>
          <w:b/>
          <w:kern w:val="2"/>
          <w:sz w:val="28"/>
          <w:szCs w:val="24"/>
          <w:lang w:val="en-US" w:eastAsia="zh-CN" w:bidi="ar-SA"/>
        </w:rPr>
        <w:t>菜单路径</w:t>
      </w:r>
      <w:bookmarkEnd w:id="77"/>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【资金预算】-【预算管理】-【预算调整】。</w:t>
      </w:r>
    </w:p>
    <w:p>
      <w:pPr>
        <w:widowControl w:val="0"/>
        <w:numPr>
          <w:ilvl w:val="2"/>
          <w:numId w:val="22"/>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78" w:name="_Toc12745"/>
      <w:r>
        <w:rPr>
          <w:rFonts w:hint="eastAsia" w:ascii="Times New Roman" w:hAnsi="Times New Roman" w:eastAsia="宋体" w:cs="Times New Roman"/>
          <w:b/>
          <w:kern w:val="2"/>
          <w:sz w:val="28"/>
          <w:szCs w:val="24"/>
          <w:lang w:val="en-US" w:eastAsia="zh-CN" w:bidi="ar-SA"/>
        </w:rPr>
        <w:t>操作步骤</w:t>
      </w:r>
      <w:bookmarkEnd w:id="78"/>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第一步，点击菜单【预算</w:t>
      </w:r>
      <w:r>
        <w:rPr>
          <w:rFonts w:hint="eastAsia" w:ascii="宋体" w:cs="宋体"/>
          <w:kern w:val="0"/>
          <w:sz w:val="24"/>
          <w:szCs w:val="21"/>
          <w:lang w:val="en-US" w:eastAsia="zh-CN" w:bidi="ar-SA"/>
        </w:rPr>
        <w:t>调整</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173980" cy="2226310"/>
            <wp:effectExtent l="0" t="0" r="7620" b="8890"/>
            <wp:docPr id="8" name="图片 8" descr="167117644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71176446073"/>
                    <pic:cNvPicPr>
                      <a:picLocks noChangeAspect="1"/>
                    </pic:cNvPicPr>
                  </pic:nvPicPr>
                  <pic:blipFill>
                    <a:blip r:embed="rId28"/>
                    <a:stretch>
                      <a:fillRect/>
                    </a:stretch>
                  </pic:blipFill>
                  <pic:spPr>
                    <a:xfrm>
                      <a:off x="0" y="0"/>
                      <a:ext cx="5173980" cy="2226310"/>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第二步，点击【新增】功能按钮，进入预算</w:t>
      </w:r>
      <w:r>
        <w:rPr>
          <w:rFonts w:hint="eastAsia" w:ascii="宋体" w:cs="宋体"/>
          <w:kern w:val="0"/>
          <w:sz w:val="24"/>
          <w:szCs w:val="21"/>
          <w:lang w:val="en-US" w:eastAsia="zh-CN" w:bidi="ar-SA"/>
        </w:rPr>
        <w:t>调整</w:t>
      </w:r>
      <w:r>
        <w:rPr>
          <w:rFonts w:hint="eastAsia" w:ascii="宋体" w:hAnsi="Times New Roman" w:eastAsia="宋体" w:cs="宋体"/>
          <w:kern w:val="0"/>
          <w:sz w:val="24"/>
          <w:szCs w:val="21"/>
          <w:lang w:val="en-US" w:eastAsia="zh-CN" w:bidi="ar-SA"/>
        </w:rPr>
        <w:t>的明细界面。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90185" cy="2376170"/>
            <wp:effectExtent l="0" t="0" r="5715" b="11430"/>
            <wp:docPr id="30" name="图片 30" descr="167029413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670294137086"/>
                    <pic:cNvPicPr>
                      <a:picLocks noChangeAspect="1"/>
                    </pic:cNvPicPr>
                  </pic:nvPicPr>
                  <pic:blipFill>
                    <a:blip r:embed="rId29"/>
                    <a:stretch>
                      <a:fillRect/>
                    </a:stretch>
                  </pic:blipFill>
                  <pic:spPr>
                    <a:xfrm>
                      <a:off x="0" y="0"/>
                      <a:ext cx="5290185" cy="2376170"/>
                    </a:xfrm>
                    <a:prstGeom prst="rect">
                      <a:avLst/>
                    </a:prstGeom>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提报单位即为当前登录单位。如需操作本人权限范围内其他单位的业务，需在界面右上方切换业务单位。</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业务操作人需</w:t>
      </w:r>
      <w:r>
        <w:rPr>
          <w:rFonts w:hint="eastAsia" w:cs="Times New Roman"/>
          <w:kern w:val="2"/>
          <w:sz w:val="24"/>
          <w:szCs w:val="24"/>
          <w:lang w:val="en-US" w:eastAsia="zh-CN" w:bidi="ar-SA"/>
        </w:rPr>
        <w:t>选择预算编号，</w:t>
      </w:r>
      <w:r>
        <w:rPr>
          <w:rFonts w:hint="eastAsia" w:ascii="Times New Roman" w:hAnsi="Times New Roman" w:eastAsia="宋体" w:cs="Times New Roman"/>
          <w:kern w:val="2"/>
          <w:sz w:val="24"/>
          <w:szCs w:val="24"/>
          <w:lang w:val="en-US" w:eastAsia="zh-CN" w:bidi="ar-SA"/>
        </w:rPr>
        <w:t>按照所选信息，填写</w:t>
      </w:r>
      <w:r>
        <w:rPr>
          <w:rFonts w:hint="eastAsia" w:cs="Times New Roman"/>
          <w:kern w:val="2"/>
          <w:sz w:val="24"/>
          <w:szCs w:val="24"/>
          <w:lang w:val="en-US" w:eastAsia="zh-CN" w:bidi="ar-SA"/>
        </w:rPr>
        <w:t>调整金额</w:t>
      </w:r>
      <w:r>
        <w:rPr>
          <w:rFonts w:hint="eastAsia" w:ascii="Times New Roman" w:hAnsi="Times New Roman" w:eastAsia="宋体" w:cs="Times New Roman"/>
          <w:kern w:val="2"/>
          <w:sz w:val="24"/>
          <w:szCs w:val="24"/>
          <w:lang w:val="en-US" w:eastAsia="zh-CN" w:bidi="ar-SA"/>
        </w:rPr>
        <w:t>。界面如下：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564505" cy="2603500"/>
            <wp:effectExtent l="0" t="0" r="10795" b="0"/>
            <wp:docPr id="32" name="图片 32" descr="167031007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670310074032"/>
                    <pic:cNvPicPr>
                      <a:picLocks noChangeAspect="1"/>
                    </pic:cNvPicPr>
                  </pic:nvPicPr>
                  <pic:blipFill>
                    <a:blip r:embed="rId30"/>
                    <a:stretch>
                      <a:fillRect/>
                    </a:stretch>
                  </pic:blipFill>
                  <pic:spPr>
                    <a:xfrm>
                      <a:off x="0" y="0"/>
                      <a:ext cx="5564505" cy="260350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需要填写对集团外收支、对本单位母或子公司间、对集团内其他单位预算数据，      数值位数不超过20位，小数点后保留2位。金额合计，由填写金额自动计算得出。</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【保存】：暂存数据。</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第三步，查看本人编制的预算计划业务单据，并跟踪状态。</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预算编制主界面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79" w:name="_Toc18584"/>
      <w:r>
        <w:rPr>
          <w:rFonts w:hint="eastAsia" w:ascii="Arial" w:cs="Times New Roman"/>
          <w:b/>
          <w:kern w:val="2"/>
          <w:sz w:val="30"/>
          <w:szCs w:val="24"/>
          <w:highlight w:val="none"/>
          <w:lang w:val="en-US" w:eastAsia="zh-CN" w:bidi="ar-SA"/>
        </w:rPr>
        <w:t>如何剔除预算执行数</w:t>
      </w:r>
      <w:r>
        <w:rPr>
          <w:rFonts w:hint="eastAsia" w:ascii="Arial" w:hAnsi="Times New Roman" w:eastAsia="宋体" w:cs="Times New Roman"/>
          <w:b/>
          <w:kern w:val="2"/>
          <w:sz w:val="30"/>
          <w:szCs w:val="24"/>
          <w:highlight w:val="none"/>
          <w:lang w:val="en-US" w:eastAsia="zh-CN" w:bidi="ar-SA"/>
        </w:rPr>
        <w:t>客观事项</w:t>
      </w:r>
      <w:bookmarkEnd w:id="79"/>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0" w:name="_Toc4070"/>
      <w:r>
        <w:rPr>
          <w:rFonts w:hint="eastAsia" w:ascii="Times New Roman" w:hAnsi="Times New Roman" w:eastAsia="宋体" w:cs="Times New Roman"/>
          <w:b/>
          <w:kern w:val="2"/>
          <w:sz w:val="28"/>
          <w:szCs w:val="24"/>
          <w:lang w:val="en-US" w:eastAsia="zh-CN" w:bidi="ar-SA"/>
        </w:rPr>
        <w:t>业务场景描述</w:t>
      </w:r>
      <w:bookmarkEnd w:id="80"/>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对于影响资金预算执行的客观事项，由各级</w:t>
      </w:r>
      <w:r>
        <w:rPr>
          <w:rFonts w:hint="eastAsia" w:cs="Times New Roman"/>
          <w:kern w:val="2"/>
          <w:sz w:val="24"/>
          <w:szCs w:val="24"/>
          <w:lang w:val="en-US" w:eastAsia="zh-CN" w:bidi="ar-SA"/>
        </w:rPr>
        <w:t>单位财务</w:t>
      </w:r>
      <w:r>
        <w:rPr>
          <w:rFonts w:hint="eastAsia" w:ascii="Times New Roman" w:hAnsi="Times New Roman" w:eastAsia="宋体" w:cs="Times New Roman"/>
          <w:kern w:val="2"/>
          <w:sz w:val="24"/>
          <w:szCs w:val="24"/>
          <w:lang w:val="en-US" w:eastAsia="zh-CN" w:bidi="ar-SA"/>
        </w:rPr>
        <w:t>经办申请剔除流程</w:t>
      </w:r>
      <w:r>
        <w:rPr>
          <w:rFonts w:hint="eastAsia" w:cs="Times New Roman"/>
          <w:kern w:val="2"/>
          <w:sz w:val="24"/>
          <w:szCs w:val="24"/>
          <w:lang w:val="en-US" w:eastAsia="zh-CN" w:bidi="ar-SA"/>
        </w:rPr>
        <w:t>，至少</w:t>
      </w:r>
      <w:r>
        <w:rPr>
          <w:rFonts w:hint="eastAsia" w:ascii="Times New Roman" w:hAnsi="Times New Roman" w:eastAsia="宋体" w:cs="Times New Roman"/>
          <w:kern w:val="2"/>
          <w:sz w:val="24"/>
          <w:szCs w:val="24"/>
          <w:lang w:val="en-US" w:eastAsia="zh-CN" w:bidi="ar-SA"/>
        </w:rPr>
        <w:t>审批层级是该企业财务经办人-财务部门负责人（应上传证明资料作为附件），逐级上报至集团公司审批</w:t>
      </w:r>
      <w:r>
        <w:rPr>
          <w:rFonts w:hint="eastAsia" w:cs="Times New Roman"/>
          <w:kern w:val="2"/>
          <w:sz w:val="24"/>
          <w:szCs w:val="24"/>
          <w:lang w:val="en-US" w:eastAsia="zh-CN" w:bidi="ar-SA"/>
        </w:rPr>
        <w:t>通过后，</w:t>
      </w:r>
      <w:r>
        <w:rPr>
          <w:rFonts w:hint="eastAsia" w:ascii="Times New Roman" w:hAnsi="Times New Roman" w:eastAsia="宋体" w:cs="Times New Roman"/>
          <w:kern w:val="2"/>
          <w:sz w:val="24"/>
          <w:szCs w:val="24"/>
          <w:lang w:val="en-US" w:eastAsia="zh-CN" w:bidi="ar-SA"/>
        </w:rPr>
        <w:t>系统自动计算剔除。</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1" w:name="_Toc28419"/>
      <w:r>
        <w:rPr>
          <w:rFonts w:hint="eastAsia" w:ascii="Times New Roman" w:hAnsi="Times New Roman" w:eastAsia="宋体" w:cs="Times New Roman"/>
          <w:b/>
          <w:kern w:val="2"/>
          <w:sz w:val="28"/>
          <w:szCs w:val="24"/>
          <w:lang w:val="en-US" w:eastAsia="zh-CN" w:bidi="ar-SA"/>
        </w:rPr>
        <w:t>菜单路径</w:t>
      </w:r>
      <w:bookmarkEnd w:id="81"/>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预算管理</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客观事项剔除</w:t>
      </w:r>
      <w:r>
        <w:rPr>
          <w:rFonts w:hint="eastAsia" w:ascii="宋体" w:hAnsi="宋体" w:eastAsia="宋体" w:cs="宋体"/>
          <w:kern w:val="2"/>
          <w:sz w:val="24"/>
          <w:szCs w:val="24"/>
          <w:vertAlign w:val="baseline"/>
          <w:lang w:val="en-US" w:eastAsia="zh-CN" w:bidi="ar-SA"/>
        </w:rPr>
        <w:t>】。</w:t>
      </w:r>
    </w:p>
    <w:p>
      <w:pPr>
        <w:widowControl w:val="0"/>
        <w:numPr>
          <w:ilvl w:val="2"/>
          <w:numId w:val="25"/>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2" w:name="_Toc27142"/>
      <w:r>
        <w:rPr>
          <w:rFonts w:hint="eastAsia" w:ascii="Times New Roman" w:hAnsi="Times New Roman" w:eastAsia="宋体" w:cs="Times New Roman"/>
          <w:b/>
          <w:kern w:val="2"/>
          <w:sz w:val="28"/>
          <w:szCs w:val="24"/>
          <w:lang w:val="en-US" w:eastAsia="zh-CN" w:bidi="ar-SA"/>
        </w:rPr>
        <w:t>操作步骤</w:t>
      </w:r>
      <w:bookmarkEnd w:id="82"/>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第一步，点击菜单【</w:t>
      </w:r>
      <w:r>
        <w:rPr>
          <w:rFonts w:hint="eastAsia" w:ascii="宋体" w:cs="宋体"/>
          <w:kern w:val="0"/>
          <w:sz w:val="24"/>
          <w:szCs w:val="21"/>
          <w:lang w:val="en-US" w:eastAsia="zh-CN" w:bidi="ar-SA"/>
        </w:rPr>
        <w:t>客观事项剔除</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001260" cy="1993265"/>
            <wp:effectExtent l="0" t="0" r="2540" b="635"/>
            <wp:docPr id="9" name="图片 9" descr="167081535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70815351078"/>
                    <pic:cNvPicPr>
                      <a:picLocks noChangeAspect="1"/>
                    </pic:cNvPicPr>
                  </pic:nvPicPr>
                  <pic:blipFill>
                    <a:blip r:embed="rId31"/>
                    <a:stretch>
                      <a:fillRect/>
                    </a:stretch>
                  </pic:blipFill>
                  <pic:spPr>
                    <a:xfrm>
                      <a:off x="0" y="0"/>
                      <a:ext cx="5001260" cy="1993265"/>
                    </a:xfrm>
                    <a:prstGeom prst="rect">
                      <a:avLst/>
                    </a:prstGeom>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第二步，点击【新增】功能按钮，进入预</w:t>
      </w:r>
      <w:r>
        <w:rPr>
          <w:rFonts w:hint="eastAsia" w:ascii="宋体" w:cs="宋体"/>
          <w:kern w:val="0"/>
          <w:sz w:val="24"/>
          <w:szCs w:val="21"/>
          <w:lang w:val="en-US" w:eastAsia="zh-CN" w:bidi="ar-SA"/>
        </w:rPr>
        <w:t>客观事项剔除</w:t>
      </w:r>
      <w:r>
        <w:rPr>
          <w:rFonts w:hint="eastAsia" w:ascii="宋体" w:hAnsi="Times New Roman" w:eastAsia="宋体" w:cs="宋体"/>
          <w:kern w:val="0"/>
          <w:sz w:val="24"/>
          <w:szCs w:val="21"/>
          <w:lang w:val="en-US" w:eastAsia="zh-CN" w:bidi="ar-SA"/>
        </w:rPr>
        <w:t>的明细界面。</w:t>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251450" cy="2284095"/>
            <wp:effectExtent l="0" t="0" r="6350" b="1905"/>
            <wp:docPr id="11" name="图片 11" descr="167081549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70815492683"/>
                    <pic:cNvPicPr>
                      <a:picLocks noChangeAspect="1"/>
                    </pic:cNvPicPr>
                  </pic:nvPicPr>
                  <pic:blipFill>
                    <a:blip r:embed="rId32"/>
                    <a:stretch>
                      <a:fillRect/>
                    </a:stretch>
                  </pic:blipFill>
                  <pic:spPr>
                    <a:xfrm>
                      <a:off x="0" y="0"/>
                      <a:ext cx="5251450" cy="2284095"/>
                    </a:xfrm>
                    <a:prstGeom prst="rect">
                      <a:avLst/>
                    </a:prstGeom>
                  </pic:spPr>
                </pic:pic>
              </a:graphicData>
            </a:graphic>
          </wp:inline>
        </w:drawing>
      </w:r>
    </w:p>
    <w:p>
      <w:pPr>
        <w:widowControl w:val="0"/>
        <w:numPr>
          <w:ilvl w:val="0"/>
          <w:numId w:val="0"/>
        </w:numPr>
        <w:spacing w:line="360" w:lineRule="auto"/>
        <w:ind w:leftChars="0" w:firstLine="480" w:firstLineChars="200"/>
        <w:jc w:val="both"/>
        <w:rPr>
          <w:rFonts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提报单位即为当前登录单位。如需操作本人权限范围内其他单位的业务，需在界面右上方切换业务单位。</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业务操作人需</w:t>
      </w:r>
      <w:r>
        <w:rPr>
          <w:rFonts w:hint="eastAsia" w:cs="Times New Roman"/>
          <w:kern w:val="2"/>
          <w:sz w:val="24"/>
          <w:szCs w:val="24"/>
          <w:lang w:val="en-US" w:eastAsia="zh-CN" w:bidi="ar-SA"/>
        </w:rPr>
        <w:t>选择预算体系、业务部门、预算年度、预算周期、周期区间，</w:t>
      </w:r>
      <w:r>
        <w:rPr>
          <w:rFonts w:hint="eastAsia" w:ascii="Times New Roman" w:hAnsi="Times New Roman" w:eastAsia="宋体" w:cs="Times New Roman"/>
          <w:kern w:val="2"/>
          <w:sz w:val="24"/>
          <w:szCs w:val="24"/>
          <w:lang w:val="en-US" w:eastAsia="zh-CN" w:bidi="ar-SA"/>
        </w:rPr>
        <w:t>按照所选信息，填写</w:t>
      </w:r>
      <w:r>
        <w:rPr>
          <w:rFonts w:hint="eastAsia" w:cs="Times New Roman"/>
          <w:kern w:val="2"/>
          <w:sz w:val="24"/>
          <w:szCs w:val="24"/>
          <w:lang w:val="en-US" w:eastAsia="zh-CN" w:bidi="ar-SA"/>
        </w:rPr>
        <w:t>调整金额</w:t>
      </w:r>
      <w:r>
        <w:rPr>
          <w:rFonts w:hint="eastAsia" w:ascii="Times New Roman" w:hAnsi="Times New Roman" w:eastAsia="宋体" w:cs="Times New Roman"/>
          <w:kern w:val="2"/>
          <w:sz w:val="24"/>
          <w:szCs w:val="24"/>
          <w:lang w:val="en-US" w:eastAsia="zh-CN" w:bidi="ar-SA"/>
        </w:rPr>
        <w:t>。界面如下：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drawing>
          <wp:inline distT="0" distB="0" distL="114300" distR="114300">
            <wp:extent cx="5039360" cy="2050415"/>
            <wp:effectExtent l="0" t="0" r="2540" b="6985"/>
            <wp:docPr id="10" name="图片 10" descr="167081539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70815396223"/>
                    <pic:cNvPicPr>
                      <a:picLocks noChangeAspect="1"/>
                    </pic:cNvPicPr>
                  </pic:nvPicPr>
                  <pic:blipFill>
                    <a:blip r:embed="rId33"/>
                    <a:stretch>
                      <a:fillRect/>
                    </a:stretch>
                  </pic:blipFill>
                  <pic:spPr>
                    <a:xfrm>
                      <a:off x="0" y="0"/>
                      <a:ext cx="5039360" cy="20504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需要填写</w:t>
      </w:r>
      <w:r>
        <w:rPr>
          <w:rFonts w:hint="eastAsia" w:cs="Times New Roman"/>
          <w:kern w:val="2"/>
          <w:sz w:val="24"/>
          <w:szCs w:val="24"/>
          <w:lang w:val="en-US" w:eastAsia="zh-CN" w:bidi="ar-SA"/>
        </w:rPr>
        <w:t>增加金额、减少金额，</w:t>
      </w:r>
      <w:r>
        <w:rPr>
          <w:rFonts w:hint="eastAsia" w:ascii="Times New Roman" w:hAnsi="Times New Roman" w:eastAsia="宋体" w:cs="Times New Roman"/>
          <w:kern w:val="2"/>
          <w:sz w:val="24"/>
          <w:szCs w:val="24"/>
          <w:lang w:val="en-US" w:eastAsia="zh-CN" w:bidi="ar-SA"/>
        </w:rPr>
        <w:t>数值位数不超过20位，小数点后保留2位。金额合计，由填写金额自动计算得出。</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w:t>
      </w:r>
      <w:r>
        <w:rPr>
          <w:rFonts w:hint="eastAsia" w:cs="Times New Roman"/>
          <w:kern w:val="2"/>
          <w:sz w:val="24"/>
          <w:szCs w:val="24"/>
          <w:lang w:val="en-US" w:eastAsia="zh-CN" w:bidi="ar-SA"/>
        </w:rPr>
        <w:t>。</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经集团审批后，自动计算预算执行率，自动更新该企业的预算评价分数。</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预算项目范围：按照三项流入合计和三项流出合计进行评价</w:t>
      </w:r>
      <w:r>
        <w:rPr>
          <w:rFonts w:hint="eastAsia" w:cs="Times New Roman"/>
          <w:kern w:val="2"/>
          <w:sz w:val="24"/>
          <w:szCs w:val="24"/>
          <w:lang w:val="en-US" w:eastAsia="zh-CN" w:bidi="ar-SA"/>
        </w:rPr>
        <w:t>。</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剔除审批流程：剔除审批流程从单位逐级到集团审批，如流程退回，可指定退回前面任意一个节点。</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【保存】：暂存数据。</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第三步，查看本人编制的预算计划业务单据，并跟踪状态。</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预算编制主界面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highlight w:val="none"/>
          <w:lang w:val="en-US" w:eastAsia="zh-CN" w:bidi="ar-SA"/>
        </w:rPr>
      </w:pPr>
      <w:bookmarkStart w:id="83" w:name="_Toc18844"/>
      <w:r>
        <w:rPr>
          <w:rFonts w:hint="eastAsia" w:ascii="Arial" w:cs="Times New Roman"/>
          <w:b/>
          <w:kern w:val="2"/>
          <w:sz w:val="30"/>
          <w:szCs w:val="24"/>
          <w:highlight w:val="none"/>
          <w:lang w:val="en-US" w:eastAsia="zh-CN" w:bidi="ar-SA"/>
        </w:rPr>
        <w:t>如何进行年度预算更新</w:t>
      </w:r>
      <w:bookmarkEnd w:id="83"/>
    </w:p>
    <w:p>
      <w:pPr>
        <w:widowControl w:val="0"/>
        <w:numPr>
          <w:ilvl w:val="2"/>
          <w:numId w:val="27"/>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4" w:name="_Toc11242"/>
      <w:r>
        <w:rPr>
          <w:rFonts w:hint="eastAsia" w:ascii="Times New Roman" w:hAnsi="Times New Roman" w:eastAsia="宋体" w:cs="Times New Roman"/>
          <w:b/>
          <w:kern w:val="2"/>
          <w:sz w:val="28"/>
          <w:szCs w:val="24"/>
          <w:lang w:val="en-US" w:eastAsia="zh-CN" w:bidi="ar-SA"/>
        </w:rPr>
        <w:t>业务场景描述</w:t>
      </w:r>
      <w:bookmarkEnd w:id="84"/>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集团公司对各单位的年预算二下后，各单位根据总部下达的年度预算进行年预算更新</w:t>
      </w:r>
      <w:r>
        <w:rPr>
          <w:rFonts w:hint="eastAsia" w:ascii="Times New Roman" w:hAnsi="Times New Roman" w:eastAsia="宋体" w:cs="Times New Roman"/>
          <w:kern w:val="2"/>
          <w:sz w:val="24"/>
          <w:szCs w:val="24"/>
          <w:lang w:val="en-US" w:eastAsia="zh-CN" w:bidi="ar-SA"/>
        </w:rPr>
        <w:t>。</w:t>
      </w:r>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5" w:name="_Toc26880"/>
      <w:r>
        <w:rPr>
          <w:rFonts w:hint="eastAsia" w:ascii="Times New Roman" w:hAnsi="Times New Roman" w:eastAsia="宋体" w:cs="Times New Roman"/>
          <w:b/>
          <w:kern w:val="2"/>
          <w:sz w:val="28"/>
          <w:szCs w:val="24"/>
          <w:lang w:val="en-US" w:eastAsia="zh-CN" w:bidi="ar-SA"/>
        </w:rPr>
        <w:t>菜单路径</w:t>
      </w:r>
      <w:bookmarkEnd w:id="85"/>
    </w:p>
    <w:p>
      <w:pPr>
        <w:widowControl w:val="0"/>
        <w:spacing w:line="360" w:lineRule="auto"/>
        <w:ind w:firstLine="480" w:firstLineChars="200"/>
        <w:jc w:val="both"/>
        <w:rPr>
          <w:rFonts w:hint="eastAsia" w:ascii="宋体" w:hAnsi="宋体" w:eastAsia="宋体" w:cs="宋体"/>
          <w:kern w:val="2"/>
          <w:sz w:val="24"/>
          <w:szCs w:val="24"/>
          <w:vertAlign w:val="baseline"/>
          <w:lang w:val="en-US" w:eastAsia="zh-CN" w:bidi="ar-SA"/>
        </w:rPr>
      </w:pPr>
      <w:r>
        <w:rPr>
          <w:rFonts w:hint="eastAsia" w:ascii="宋体" w:hAnsi="宋体" w:eastAsia="宋体" w:cs="宋体"/>
          <w:kern w:val="2"/>
          <w:sz w:val="24"/>
          <w:szCs w:val="24"/>
          <w:vertAlign w:val="baseline"/>
          <w:lang w:val="en-US" w:eastAsia="zh-CN" w:bidi="ar-SA"/>
        </w:rPr>
        <w:t>【资金预算】-【</w:t>
      </w:r>
      <w:r>
        <w:rPr>
          <w:rFonts w:hint="eastAsia" w:ascii="宋体" w:hAnsi="宋体" w:cs="宋体"/>
          <w:kern w:val="2"/>
          <w:sz w:val="24"/>
          <w:szCs w:val="24"/>
          <w:vertAlign w:val="baseline"/>
          <w:lang w:val="en-US" w:eastAsia="zh-CN" w:bidi="ar-SA"/>
        </w:rPr>
        <w:t>预算管理</w:t>
      </w:r>
      <w:r>
        <w:rPr>
          <w:rFonts w:hint="eastAsia" w:ascii="宋体" w:hAnsi="宋体" w:eastAsia="宋体" w:cs="宋体"/>
          <w:kern w:val="2"/>
          <w:sz w:val="24"/>
          <w:szCs w:val="24"/>
          <w:vertAlign w:val="baseline"/>
          <w:lang w:val="en-US" w:eastAsia="zh-CN" w:bidi="ar-SA"/>
        </w:rPr>
        <w:t>】-【</w:t>
      </w:r>
      <w:r>
        <w:rPr>
          <w:rFonts w:hint="eastAsia" w:ascii="宋体" w:hAnsi="宋体" w:cs="宋体"/>
          <w:kern w:val="2"/>
          <w:sz w:val="24"/>
          <w:szCs w:val="24"/>
          <w:vertAlign w:val="baseline"/>
          <w:lang w:val="en-US" w:eastAsia="zh-CN" w:bidi="ar-SA"/>
        </w:rPr>
        <w:t>预算编制</w:t>
      </w:r>
      <w:r>
        <w:rPr>
          <w:rFonts w:hint="eastAsia" w:ascii="宋体" w:hAnsi="宋体" w:eastAsia="宋体" w:cs="宋体"/>
          <w:kern w:val="2"/>
          <w:sz w:val="24"/>
          <w:szCs w:val="24"/>
          <w:vertAlign w:val="baseline"/>
          <w:lang w:val="en-US" w:eastAsia="zh-CN" w:bidi="ar-SA"/>
        </w:rPr>
        <w:t>】。</w:t>
      </w:r>
    </w:p>
    <w:p>
      <w:pPr>
        <w:widowControl w:val="0"/>
        <w:numPr>
          <w:ilvl w:val="2"/>
          <w:numId w:val="28"/>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86" w:name="_Toc4142"/>
      <w:r>
        <w:rPr>
          <w:rFonts w:hint="eastAsia" w:ascii="Times New Roman" w:hAnsi="Times New Roman" w:eastAsia="宋体" w:cs="Times New Roman"/>
          <w:b/>
          <w:kern w:val="2"/>
          <w:sz w:val="28"/>
          <w:szCs w:val="24"/>
          <w:lang w:val="en-US" w:eastAsia="zh-CN" w:bidi="ar-SA"/>
        </w:rPr>
        <w:t>操作步骤</w:t>
      </w:r>
      <w:bookmarkEnd w:id="86"/>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hAnsi="Times New Roman" w:eastAsia="宋体" w:cs="宋体"/>
          <w:kern w:val="0"/>
          <w:sz w:val="24"/>
          <w:szCs w:val="21"/>
          <w:lang w:val="en-US" w:eastAsia="zh-CN" w:bidi="ar-SA"/>
        </w:rPr>
        <w:t>第一步，首先由各单位预算管理员，打开年预算更新开关，菜单路径【资金预算】-【基础设置】-【预算编制设置】-【年预算更新开关】。</w:t>
      </w:r>
    </w:p>
    <w:p>
      <w:pPr>
        <w:widowControl w:val="0"/>
        <w:numPr>
          <w:ilvl w:val="0"/>
          <w:numId w:val="12"/>
        </w:numPr>
        <w:spacing w:line="360" w:lineRule="auto"/>
        <w:ind w:left="420" w:leftChars="0" w:hanging="420" w:firstLineChars="0"/>
        <w:jc w:val="both"/>
        <w:rPr>
          <w:rFonts w:hint="eastAsia" w:ascii="宋体" w:hAnsi="Times New Roman" w:eastAsia="宋体" w:cs="宋体"/>
          <w:kern w:val="0"/>
          <w:sz w:val="24"/>
          <w:szCs w:val="21"/>
          <w:lang w:val="en-US" w:eastAsia="zh-CN" w:bidi="ar-SA"/>
        </w:rPr>
      </w:pPr>
      <w:r>
        <w:rPr>
          <w:rFonts w:hint="eastAsia" w:ascii="宋体" w:cs="宋体"/>
          <w:kern w:val="0"/>
          <w:sz w:val="24"/>
          <w:szCs w:val="21"/>
          <w:lang w:val="en-US" w:eastAsia="zh-CN" w:bidi="ar-SA"/>
        </w:rPr>
        <w:t>第二部，</w:t>
      </w:r>
      <w:r>
        <w:rPr>
          <w:rFonts w:hint="eastAsia" w:ascii="宋体" w:hAnsi="Times New Roman" w:eastAsia="宋体" w:cs="宋体"/>
          <w:kern w:val="0"/>
          <w:sz w:val="24"/>
          <w:szCs w:val="21"/>
          <w:lang w:val="en-US" w:eastAsia="zh-CN" w:bidi="ar-SA"/>
        </w:rPr>
        <w:t>点击菜单【</w:t>
      </w:r>
      <w:r>
        <w:rPr>
          <w:rFonts w:hint="eastAsia" w:ascii="宋体" w:cs="宋体"/>
          <w:kern w:val="0"/>
          <w:sz w:val="24"/>
          <w:szCs w:val="21"/>
          <w:lang w:val="en-US" w:eastAsia="zh-CN" w:bidi="ar-SA"/>
        </w:rPr>
        <w:t>预算编制</w:t>
      </w:r>
      <w:r>
        <w:rPr>
          <w:rFonts w:hint="eastAsia" w:ascii="宋体" w:hAnsi="Times New Roman" w:eastAsia="宋体" w:cs="宋体"/>
          <w:kern w:val="0"/>
          <w:sz w:val="24"/>
          <w:szCs w:val="21"/>
          <w:lang w:val="en-US" w:eastAsia="zh-CN" w:bidi="ar-SA"/>
        </w:rPr>
        <w:t>】，进入该菜单的主操作界面。</w:t>
      </w:r>
    </w:p>
    <w:p>
      <w:pPr>
        <w:widowControl w:val="0"/>
        <w:numPr>
          <w:ilvl w:val="0"/>
          <w:numId w:val="0"/>
        </w:numPr>
        <w:spacing w:line="360" w:lineRule="auto"/>
        <w:jc w:val="both"/>
        <w:rPr>
          <w:rFonts w:ascii="Times New Roman" w:hAnsi="Times New Roman" w:eastAsia="宋体" w:cs="Times New Roman"/>
          <w:kern w:val="2"/>
          <w:sz w:val="24"/>
          <w:szCs w:val="24"/>
          <w:lang w:val="en-US" w:eastAsia="zh-CN" w:bidi="ar-SA"/>
        </w:rPr>
      </w:pPr>
      <w:r>
        <w:drawing>
          <wp:inline distT="0" distB="0" distL="114300" distR="114300">
            <wp:extent cx="5751195" cy="2631440"/>
            <wp:effectExtent l="0" t="0" r="1905" b="1651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4"/>
                    <a:stretch>
                      <a:fillRect/>
                    </a:stretch>
                  </pic:blipFill>
                  <pic:spPr>
                    <a:xfrm>
                      <a:off x="0" y="0"/>
                      <a:ext cx="5751195" cy="2631440"/>
                    </a:xfrm>
                    <a:prstGeom prst="rect">
                      <a:avLst/>
                    </a:prstGeom>
                    <a:noFill/>
                    <a:ln>
                      <a:noFill/>
                    </a:ln>
                  </pic:spPr>
                </pic:pic>
              </a:graphicData>
            </a:graphic>
          </wp:inline>
        </w:drawing>
      </w:r>
    </w:p>
    <w:p>
      <w:pPr>
        <w:widowControl w:val="0"/>
        <w:numPr>
          <w:ilvl w:val="0"/>
          <w:numId w:val="12"/>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宋体" w:hAnsi="Times New Roman" w:eastAsia="宋体" w:cs="宋体"/>
          <w:kern w:val="0"/>
          <w:sz w:val="24"/>
          <w:szCs w:val="21"/>
          <w:lang w:val="en-US" w:eastAsia="zh-CN" w:bidi="ar-SA"/>
        </w:rPr>
        <w:t>第二步，</w:t>
      </w:r>
      <w:r>
        <w:rPr>
          <w:rFonts w:hint="eastAsia" w:ascii="宋体" w:cs="宋体"/>
          <w:kern w:val="0"/>
          <w:sz w:val="24"/>
          <w:szCs w:val="21"/>
          <w:lang w:val="en-US" w:eastAsia="zh-CN" w:bidi="ar-SA"/>
        </w:rPr>
        <w:t>选中要更新的年预算，</w:t>
      </w:r>
      <w:r>
        <w:rPr>
          <w:rFonts w:hint="eastAsia" w:ascii="宋体" w:hAnsi="Times New Roman" w:eastAsia="宋体" w:cs="宋体"/>
          <w:kern w:val="0"/>
          <w:sz w:val="24"/>
          <w:szCs w:val="21"/>
          <w:lang w:val="en-US" w:eastAsia="zh-CN" w:bidi="ar-SA"/>
        </w:rPr>
        <w:t>点击【</w:t>
      </w:r>
      <w:r>
        <w:rPr>
          <w:rFonts w:hint="eastAsia" w:ascii="宋体" w:cs="宋体"/>
          <w:kern w:val="0"/>
          <w:sz w:val="24"/>
          <w:szCs w:val="21"/>
          <w:lang w:val="en-US" w:eastAsia="zh-CN" w:bidi="ar-SA"/>
        </w:rPr>
        <w:t>年预算更新</w:t>
      </w:r>
      <w:r>
        <w:rPr>
          <w:rFonts w:hint="eastAsia" w:ascii="宋体" w:hAnsi="Times New Roman" w:eastAsia="宋体" w:cs="宋体"/>
          <w:kern w:val="0"/>
          <w:sz w:val="24"/>
          <w:szCs w:val="21"/>
          <w:lang w:val="en-US" w:eastAsia="zh-CN" w:bidi="ar-SA"/>
        </w:rPr>
        <w:t>】功能按钮，进入</w:t>
      </w:r>
      <w:r>
        <w:rPr>
          <w:rFonts w:hint="eastAsia" w:ascii="宋体" w:cs="宋体"/>
          <w:kern w:val="0"/>
          <w:sz w:val="24"/>
          <w:szCs w:val="21"/>
          <w:lang w:val="en-US" w:eastAsia="zh-CN" w:bidi="ar-SA"/>
        </w:rPr>
        <w:t>预算编制详情</w:t>
      </w:r>
      <w:r>
        <w:rPr>
          <w:rFonts w:hint="eastAsia" w:ascii="宋体" w:hAnsi="Times New Roman" w:eastAsia="宋体" w:cs="宋体"/>
          <w:kern w:val="0"/>
          <w:sz w:val="24"/>
          <w:szCs w:val="21"/>
          <w:lang w:val="en-US" w:eastAsia="zh-CN" w:bidi="ar-SA"/>
        </w:rPr>
        <w:t>界面。</w:t>
      </w:r>
    </w:p>
    <w:p>
      <w:pPr>
        <w:widowControl w:val="0"/>
        <w:numPr>
          <w:ilvl w:val="0"/>
          <w:numId w:val="0"/>
        </w:numPr>
        <w:spacing w:line="360" w:lineRule="auto"/>
        <w:ind w:leftChars="0" w:firstLine="420" w:firstLineChars="200"/>
        <w:jc w:val="both"/>
        <w:rPr>
          <w:rFonts w:ascii="Times New Roman" w:hAnsi="Times New Roman" w:eastAsia="宋体" w:cs="Times New Roman"/>
          <w:kern w:val="2"/>
          <w:sz w:val="24"/>
          <w:szCs w:val="24"/>
          <w:lang w:val="en-US" w:eastAsia="zh-CN" w:bidi="ar-SA"/>
        </w:rPr>
      </w:pPr>
      <w:r>
        <w:drawing>
          <wp:inline distT="0" distB="0" distL="114300" distR="114300">
            <wp:extent cx="5751195" cy="2631440"/>
            <wp:effectExtent l="0" t="0" r="1905" b="1651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5"/>
                    <a:stretch>
                      <a:fillRect/>
                    </a:stretch>
                  </pic:blipFill>
                  <pic:spPr>
                    <a:xfrm>
                      <a:off x="0" y="0"/>
                      <a:ext cx="5751195" cy="2631440"/>
                    </a:xfrm>
                    <a:prstGeom prst="rect">
                      <a:avLst/>
                    </a:prstGeom>
                    <a:noFill/>
                    <a:ln>
                      <a:noFill/>
                    </a:ln>
                  </pic:spPr>
                </pic:pic>
              </a:graphicData>
            </a:graphic>
          </wp:inline>
        </w:drawing>
      </w:r>
    </w:p>
    <w:bookmarkEnd w:id="4"/>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bookmarkStart w:id="87" w:name="_Toc18282"/>
      <w:bookmarkStart w:id="88" w:name="_Toc24615"/>
      <w:bookmarkStart w:id="89" w:name="_如何查询业务数据"/>
      <w:r>
        <w:rPr>
          <w:rFonts w:hint="eastAsia" w:ascii="Times New Roman" w:hAnsi="Times New Roman" w:eastAsia="宋体" w:cs="Times New Roman"/>
          <w:kern w:val="2"/>
          <w:sz w:val="24"/>
          <w:szCs w:val="24"/>
          <w:lang w:val="en-US" w:eastAsia="zh-CN" w:bidi="ar-SA"/>
        </w:rPr>
        <w:t>界面要点说明：</w:t>
      </w:r>
    </w:p>
    <w:p>
      <w:pPr>
        <w:keepNext w:val="0"/>
        <w:keepLines w:val="0"/>
        <w:pageBreakBefore w:val="0"/>
        <w:widowControl w:val="0"/>
        <w:numPr>
          <w:ilvl w:val="0"/>
          <w:numId w:val="29"/>
        </w:numPr>
        <w:kinsoku/>
        <w:wordWrap/>
        <w:overflowPunct/>
        <w:topLinePunct w:val="0"/>
        <w:autoSpaceDE/>
        <w:autoSpaceDN/>
        <w:bidi w:val="0"/>
        <w:adjustRightInd/>
        <w:snapToGrid/>
        <w:spacing w:before="157" w:beforeLines="50"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需要填写对集团外收支、对本单位母或子公司间、对集团内其他单位预算数据，      数值位数不超过20位，小数点后保留2位。金额合计，由填写金额自动计算得出。</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填写金额单位为：元，可切换至万元、亿元查看转换金额，如需继续填写，需切换到单位：元。</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可按照预算编制模板导入数据，也可将页面已编制数据导出至excel文档。</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kern w:val="2"/>
          <w:sz w:val="24"/>
          <w:szCs w:val="24"/>
          <w:lang w:val="en-US" w:eastAsia="zh-CN" w:bidi="ar-SA"/>
        </w:rPr>
        <w:t>上传附件。按照集团管理规定上传相关文件。支持pdf、csv、jpg、png格式文件，pdf、jpg、png格式支持在线预览功能。</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【保存】：暂存数据。</w:t>
      </w:r>
    </w:p>
    <w:p>
      <w:pPr>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【提交】：提交到本单位审批人审核。</w:t>
      </w:r>
    </w:p>
    <w:p>
      <w:pPr>
        <w:widowControl w:val="0"/>
        <w:numPr>
          <w:ilvl w:val="0"/>
          <w:numId w:val="15"/>
        </w:numPr>
        <w:spacing w:line="360" w:lineRule="auto"/>
        <w:ind w:left="420" w:leftChars="0" w:hanging="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第三步，查看本人编制的预算计划业务单据，并跟踪状态。</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本人提单的单据，可通过</w:t>
      </w:r>
      <w:r>
        <w:rPr>
          <w:rFonts w:hint="eastAsia" w:cs="Times New Roman"/>
          <w:color w:val="auto"/>
          <w:kern w:val="2"/>
          <w:sz w:val="24"/>
          <w:szCs w:val="24"/>
          <w:lang w:val="en-US" w:eastAsia="zh-CN" w:bidi="ar-SA"/>
        </w:rPr>
        <w:t>预算编制主界面</w:t>
      </w:r>
      <w:r>
        <w:rPr>
          <w:rFonts w:hint="eastAsia" w:ascii="Times New Roman" w:hAnsi="Times New Roman" w:eastAsia="宋体" w:cs="Times New Roman"/>
          <w:color w:val="auto"/>
          <w:kern w:val="2"/>
          <w:sz w:val="24"/>
          <w:szCs w:val="24"/>
          <w:lang w:val="en-US" w:eastAsia="zh-CN" w:bidi="ar-SA"/>
        </w:rPr>
        <w:t>进行查询</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针对审批流程相关业务，提单用户及参与审批用户可在首页</w:t>
      </w:r>
      <w:r>
        <w:rPr>
          <w:rFonts w:hint="eastAsia" w:cs="Times New Roman"/>
          <w:color w:val="auto"/>
          <w:kern w:val="2"/>
          <w:sz w:val="24"/>
          <w:szCs w:val="24"/>
          <w:lang w:val="en-US" w:eastAsia="zh-CN" w:bidi="ar-SA"/>
        </w:rPr>
        <w:t>-待办任务、流程管理</w:t>
      </w:r>
      <w:r>
        <w:rPr>
          <w:rFonts w:hint="eastAsia" w:ascii="Times New Roman" w:hAnsi="Times New Roman" w:eastAsia="宋体" w:cs="Times New Roman"/>
          <w:color w:val="auto"/>
          <w:kern w:val="2"/>
          <w:sz w:val="24"/>
          <w:szCs w:val="24"/>
          <w:lang w:val="en-US" w:eastAsia="zh-CN" w:bidi="ar-SA"/>
        </w:rPr>
        <w:t>查询本人提单或本人待审核或本人已审核的业务单据。</w:t>
      </w:r>
    </w:p>
    <w:p>
      <w:pPr>
        <w:keepNext w:val="0"/>
        <w:keepLines w:val="0"/>
        <w:pageBreakBefore w:val="0"/>
        <w:widowControl w:val="0"/>
        <w:numPr>
          <w:ilvl w:val="0"/>
          <w:numId w:val="10"/>
        </w:numPr>
        <w:pBdr>
          <w:bottom w:val="single" w:color="auto" w:sz="12" w:space="1"/>
        </w:pBdr>
        <w:spacing w:before="60" w:after="60"/>
        <w:ind w:left="0" w:leftChars="0" w:firstLine="420" w:firstLineChars="0"/>
        <w:jc w:val="both"/>
        <w:outlineLvl w:val="0"/>
        <w:rPr>
          <w:rFonts w:hint="eastAsia" w:ascii="Arial" w:hAnsi="Times New Roman" w:eastAsia="宋体" w:cs="Times New Roman"/>
          <w:b/>
          <w:kern w:val="2"/>
          <w:sz w:val="30"/>
          <w:szCs w:val="24"/>
          <w:lang w:val="en-US" w:eastAsia="zh-CN" w:bidi="ar-SA"/>
        </w:rPr>
      </w:pPr>
      <w:bookmarkStart w:id="90" w:name="_Toc8195"/>
      <w:r>
        <w:rPr>
          <w:rFonts w:hint="eastAsia" w:ascii="Arial" w:hAnsi="Times New Roman" w:eastAsia="宋体" w:cs="Times New Roman"/>
          <w:b/>
          <w:kern w:val="2"/>
          <w:sz w:val="30"/>
          <w:szCs w:val="24"/>
          <w:lang w:val="en-US" w:eastAsia="zh-CN" w:bidi="ar-SA"/>
        </w:rPr>
        <w:t>如何查询业务数据</w:t>
      </w:r>
      <w:bookmarkEnd w:id="87"/>
      <w:bookmarkEnd w:id="90"/>
    </w:p>
    <w:bookmarkEnd w:id="88"/>
    <w:bookmarkEnd w:id="89"/>
    <w:p>
      <w:pPr>
        <w:widowControl w:val="0"/>
        <w:numPr>
          <w:ilvl w:val="2"/>
          <w:numId w:val="3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1" w:name="_Toc3103"/>
      <w:bookmarkStart w:id="92" w:name="_Toc15960"/>
      <w:r>
        <w:rPr>
          <w:rFonts w:hint="eastAsia" w:ascii="Times New Roman" w:hAnsi="Times New Roman" w:eastAsia="宋体" w:cs="Times New Roman"/>
          <w:b/>
          <w:kern w:val="2"/>
          <w:sz w:val="28"/>
          <w:szCs w:val="24"/>
          <w:lang w:val="en-US" w:eastAsia="zh-CN" w:bidi="ar-SA"/>
        </w:rPr>
        <w:t>业务场景描述</w:t>
      </w:r>
      <w:bookmarkEnd w:id="91"/>
      <w:bookmarkEnd w:id="92"/>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业务单据的提单用户、审核用户或其他</w:t>
      </w:r>
      <w:r>
        <w:rPr>
          <w:rFonts w:hint="eastAsia" w:cs="Times New Roman"/>
          <w:kern w:val="2"/>
          <w:sz w:val="24"/>
          <w:szCs w:val="24"/>
          <w:lang w:val="en-US" w:eastAsia="zh-CN" w:bidi="ar-SA"/>
        </w:rPr>
        <w:t>具</w:t>
      </w:r>
      <w:r>
        <w:rPr>
          <w:rFonts w:hint="eastAsia" w:ascii="Times New Roman" w:hAnsi="Times New Roman" w:eastAsia="宋体" w:cs="Times New Roman"/>
          <w:kern w:val="2"/>
          <w:sz w:val="24"/>
          <w:szCs w:val="24"/>
          <w:lang w:val="en-US" w:eastAsia="zh-CN" w:bidi="ar-SA"/>
        </w:rPr>
        <w:t>有查询需求的相关用户，进行业务单据查询。</w:t>
      </w:r>
    </w:p>
    <w:p>
      <w:pPr>
        <w:widowControl w:val="0"/>
        <w:numPr>
          <w:ilvl w:val="2"/>
          <w:numId w:val="30"/>
        </w:numPr>
        <w:bidi w:val="0"/>
        <w:spacing w:before="60" w:after="60"/>
        <w:ind w:left="0" w:leftChars="0" w:firstLine="402" w:firstLineChars="0"/>
        <w:jc w:val="both"/>
        <w:outlineLvl w:val="1"/>
        <w:rPr>
          <w:rFonts w:hint="eastAsia" w:ascii="Times New Roman" w:hAnsi="Times New Roman" w:eastAsia="宋体" w:cs="Times New Roman"/>
          <w:b/>
          <w:kern w:val="2"/>
          <w:sz w:val="28"/>
          <w:szCs w:val="24"/>
          <w:lang w:val="en-US" w:eastAsia="zh-CN" w:bidi="ar-SA"/>
        </w:rPr>
      </w:pPr>
      <w:bookmarkStart w:id="93" w:name="_Toc11517"/>
      <w:bookmarkStart w:id="94" w:name="_Toc8205"/>
      <w:r>
        <w:rPr>
          <w:rFonts w:hint="eastAsia" w:ascii="Times New Roman" w:hAnsi="Times New Roman" w:eastAsia="宋体" w:cs="Times New Roman"/>
          <w:b/>
          <w:kern w:val="2"/>
          <w:sz w:val="28"/>
          <w:szCs w:val="24"/>
          <w:lang w:val="en-US" w:eastAsia="zh-CN" w:bidi="ar-SA"/>
        </w:rPr>
        <w:t>菜单路径</w:t>
      </w:r>
      <w:bookmarkEnd w:id="93"/>
      <w:bookmarkEnd w:id="94"/>
    </w:p>
    <w:p>
      <w:pPr>
        <w:widowControl w:val="0"/>
        <w:spacing w:line="312" w:lineRule="auto"/>
        <w:ind w:firstLine="482" w:firstLineChars="200"/>
        <w:jc w:val="both"/>
        <w:outlineLvl w:val="0"/>
        <w:rPr>
          <w:rFonts w:hint="eastAsia" w:ascii="Times New Roman" w:hAnsi="Times New Roman" w:eastAsia="宋体" w:cs="Times New Roman"/>
          <w:kern w:val="2"/>
          <w:sz w:val="24"/>
          <w:szCs w:val="24"/>
          <w:lang w:val="en-US" w:eastAsia="zh-CN" w:bidi="ar-SA"/>
        </w:rPr>
      </w:pPr>
      <w:bookmarkStart w:id="95" w:name="_Toc4671"/>
      <w:r>
        <w:rPr>
          <w:rFonts w:hint="eastAsia" w:ascii="Times New Roman" w:hAnsi="Times New Roman" w:eastAsia="宋体" w:cs="Times New Roman"/>
          <w:b/>
          <w:bCs/>
          <w:kern w:val="2"/>
          <w:sz w:val="24"/>
          <w:szCs w:val="24"/>
          <w:lang w:val="en-US" w:eastAsia="zh-CN" w:bidi="ar-SA"/>
        </w:rPr>
        <w:t>路径一</w:t>
      </w:r>
      <w:r>
        <w:rPr>
          <w:rFonts w:hint="eastAsia" w:ascii="Times New Roman" w:hAnsi="Times New Roman" w:eastAsia="宋体" w:cs="Times New Roman"/>
          <w:kern w:val="2"/>
          <w:sz w:val="24"/>
          <w:szCs w:val="24"/>
          <w:lang w:val="en-US" w:eastAsia="zh-CN" w:bidi="ar-SA"/>
        </w:rPr>
        <w:t>：统计查询功能菜单</w:t>
      </w:r>
      <w:bookmarkEnd w:id="95"/>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【资金预算申请单查询】【资金预算统计查询】【</w:t>
      </w:r>
      <w:bookmarkStart w:id="96" w:name="_Toc31313"/>
      <w:r>
        <w:rPr>
          <w:rFonts w:hint="eastAsia" w:ascii="Times New Roman" w:hAnsi="Times New Roman" w:eastAsia="宋体" w:cs="Times New Roman"/>
          <w:kern w:val="2"/>
          <w:sz w:val="24"/>
          <w:szCs w:val="24"/>
          <w:lang w:val="en-US" w:eastAsia="zh-CN" w:bidi="ar-SA"/>
        </w:rPr>
        <w:t>资金预算执行分析</w:t>
      </w:r>
      <w:bookmarkEnd w:id="96"/>
      <w:r>
        <w:rPr>
          <w:rFonts w:hint="eastAsia" w:ascii="Times New Roman" w:hAnsi="Times New Roman" w:eastAsia="宋体" w:cs="Times New Roman"/>
          <w:kern w:val="2"/>
          <w:sz w:val="24"/>
          <w:szCs w:val="24"/>
          <w:lang w:val="en-US" w:eastAsia="zh-CN" w:bidi="ar-SA"/>
        </w:rPr>
        <w:t>查询】</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w:t>
      </w:r>
      <w:bookmarkStart w:id="97" w:name="_Toc27877"/>
      <w:r>
        <w:rPr>
          <w:rFonts w:hint="eastAsia" w:ascii="Times New Roman" w:hAnsi="Times New Roman" w:eastAsia="宋体" w:cs="Times New Roman"/>
          <w:kern w:val="2"/>
          <w:sz w:val="24"/>
          <w:szCs w:val="24"/>
          <w:lang w:val="en-US" w:eastAsia="zh-CN" w:bidi="ar-SA"/>
        </w:rPr>
        <w:t>资金调整率分析</w:t>
      </w:r>
      <w:bookmarkEnd w:id="97"/>
      <w:r>
        <w:rPr>
          <w:rFonts w:hint="eastAsia" w:ascii="Times New Roman" w:hAnsi="Times New Roman" w:eastAsia="宋体" w:cs="Times New Roman"/>
          <w:kern w:val="2"/>
          <w:sz w:val="24"/>
          <w:szCs w:val="24"/>
          <w:lang w:val="en-US" w:eastAsia="zh-CN" w:bidi="ar-SA"/>
        </w:rPr>
        <w:t>】</w:t>
      </w:r>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只要拥有菜单权限，均可按单位权限进行各业务数据统计查询。</w:t>
      </w:r>
    </w:p>
    <w:p>
      <w:pPr>
        <w:widowControl w:val="0"/>
        <w:spacing w:line="312" w:lineRule="auto"/>
        <w:ind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数据权限：当前登录单位及其下级单位。</w:t>
      </w:r>
    </w:p>
    <w:p>
      <w:pPr>
        <w:widowControl w:val="0"/>
        <w:spacing w:line="312" w:lineRule="auto"/>
        <w:ind w:firstLine="482" w:firstLineChars="200"/>
        <w:jc w:val="both"/>
        <w:outlineLvl w:val="0"/>
        <w:rPr>
          <w:rFonts w:hint="eastAsia" w:ascii="Times New Roman" w:hAnsi="Times New Roman" w:eastAsia="宋体" w:cs="Times New Roman"/>
          <w:kern w:val="2"/>
          <w:sz w:val="24"/>
          <w:szCs w:val="24"/>
          <w:lang w:val="en-US" w:eastAsia="zh-CN" w:bidi="ar-SA"/>
        </w:rPr>
      </w:pPr>
      <w:bookmarkStart w:id="98" w:name="_Toc19811"/>
      <w:r>
        <w:rPr>
          <w:rFonts w:hint="eastAsia" w:ascii="Times New Roman" w:hAnsi="Times New Roman" w:eastAsia="宋体" w:cs="Times New Roman"/>
          <w:b/>
          <w:bCs/>
          <w:kern w:val="2"/>
          <w:sz w:val="24"/>
          <w:szCs w:val="24"/>
          <w:lang w:val="en-US" w:eastAsia="zh-CN" w:bidi="ar-SA"/>
        </w:rPr>
        <w:t>路径二</w:t>
      </w:r>
      <w:r>
        <w:rPr>
          <w:rFonts w:hint="eastAsia" w:ascii="Times New Roman" w:hAnsi="Times New Roman" w:eastAsia="宋体" w:cs="Times New Roman"/>
          <w:kern w:val="2"/>
          <w:sz w:val="24"/>
          <w:szCs w:val="24"/>
          <w:lang w:val="en-US" w:eastAsia="zh-CN" w:bidi="ar-SA"/>
        </w:rPr>
        <w:t>：【首页】</w:t>
      </w:r>
      <w:bookmarkEnd w:id="98"/>
    </w:p>
    <w:p>
      <w:pPr>
        <w:widowControl w:val="0"/>
        <w:spacing w:line="312"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针对审批流程相关业务（预算编制、预算汇总、预算调整），提单用户及参与审批用户可在首页查询本人提单或本人待审核或本人已审核的业务单据。</w:t>
      </w:r>
    </w:p>
    <w:p>
      <w:pPr>
        <w:widowControl w:val="0"/>
        <w:numPr>
          <w:ilvl w:val="0"/>
          <w:numId w:val="0"/>
        </w:numPr>
        <w:bidi w:val="0"/>
        <w:spacing w:before="60" w:after="60"/>
        <w:ind w:left="402" w:leftChars="0"/>
        <w:jc w:val="both"/>
        <w:outlineLvl w:val="3"/>
        <w:rPr>
          <w:rFonts w:hint="eastAsia" w:ascii="Times New Roman" w:hAnsi="Times New Roman" w:eastAsia="宋体" w:cs="Times New Roman"/>
          <w:b/>
          <w:kern w:val="2"/>
          <w:sz w:val="28"/>
          <w:szCs w:val="24"/>
          <w:lang w:val="en-US" w:eastAsia="zh-CN" w:bidi="ar-SA"/>
        </w:rPr>
      </w:pPr>
    </w:p>
    <w:sectPr>
      <w:headerReference r:id="rId8" w:type="default"/>
      <w:footerReference r:id="rId9" w:type="default"/>
      <w:pgSz w:w="11906" w:h="16838"/>
      <w:pgMar w:top="1440" w:right="1418" w:bottom="1440" w:left="141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HYQiHei">
    <w:altName w:val="Segoe Print"/>
    <w:panose1 w:val="00000000000000000000"/>
    <w:charset w:val="00"/>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HYShuSongErKW">
    <w:altName w:val="Segoe Print"/>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Microsoft JhengHei Light">
    <w:panose1 w:val="020B0304030504040204"/>
    <w:charset w:val="88"/>
    <w:family w:val="swiss"/>
    <w:pitch w:val="default"/>
    <w:sig w:usb0="8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876"/>
        <w:tab w:val="right" w:pos="9752"/>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536"/>
        <w:tab w:val="clear" w:pos="4153"/>
      </w:tabs>
      <w:jc w:val="center"/>
      <w:rPr>
        <w:b/>
        <w:bCs/>
        <w:sz w:val="24"/>
        <w:szCs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rPr>
        <w:szCs w:val="21"/>
        <w:u w:val="single"/>
      </w:rP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p>
    <w:r>
      <w:rPr>
        <w:rFonts w:hint="eastAsia"/>
        <w:sz w:val="18"/>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suppressLineNumbers w:val="0"/>
      <w:pBdr>
        <w:bottom w:val="single" w:color="auto" w:sz="4" w:space="0"/>
      </w:pBdr>
      <w:jc w:val="center"/>
    </w:pPr>
    <w:r>
      <w:rPr>
        <w:rFonts w:ascii="HYShuSongErKW" w:hAnsi="HYShuSongErKW" w:eastAsia="HYShuSongErKW" w:cs="HYShuSongErKW"/>
        <w:color w:val="000000"/>
        <w:kern w:val="0"/>
        <w:sz w:val="20"/>
        <w:szCs w:val="20"/>
        <w:lang w:val="en-US" w:eastAsia="zh-CN" w:bidi="ar"/>
      </w:rPr>
      <w:t>中国航空工业集团有限公司</w:t>
    </w:r>
    <w:r>
      <w:rPr>
        <w:rFonts w:hint="eastAsia" w:ascii="HYShuSongErKW" w:hAnsi="HYShuSongErKW" w:eastAsia="HYShuSongErKW" w:cs="HYShuSongErKW"/>
        <w:color w:val="000000"/>
        <w:kern w:val="0"/>
        <w:sz w:val="20"/>
        <w:szCs w:val="20"/>
        <w:lang w:val="en-US" w:eastAsia="zh-CN" w:bidi="ar"/>
      </w:rPr>
      <w:t>资金收支预算管理</w:t>
    </w:r>
    <w:r>
      <w:rPr>
        <w:rFonts w:ascii="HYShuSongErKW" w:hAnsi="HYShuSongErKW" w:eastAsia="HYShuSongErKW" w:cs="HYShuSongErKW"/>
        <w:color w:val="000000"/>
        <w:kern w:val="0"/>
        <w:sz w:val="20"/>
        <w:szCs w:val="20"/>
        <w:lang w:val="en-US" w:eastAsia="zh-CN" w:bidi="ar"/>
      </w:rPr>
      <w:t>系统操作说明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E897C"/>
    <w:multiLevelType w:val="multilevel"/>
    <w:tmpl w:val="881E897C"/>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88FA1BCC"/>
    <w:multiLevelType w:val="singleLevel"/>
    <w:tmpl w:val="88FA1BCC"/>
    <w:lvl w:ilvl="0" w:tentative="0">
      <w:start w:val="1"/>
      <w:numFmt w:val="decimalEnclosedCircleChinese"/>
      <w:suff w:val="nothing"/>
      <w:lvlText w:val="%1　"/>
      <w:lvlJc w:val="left"/>
      <w:pPr>
        <w:ind w:left="0" w:firstLine="400"/>
      </w:pPr>
      <w:rPr>
        <w:rFonts w:hint="eastAsia"/>
      </w:rPr>
    </w:lvl>
  </w:abstractNum>
  <w:abstractNum w:abstractNumId="2">
    <w:nsid w:val="91F1A8AC"/>
    <w:multiLevelType w:val="singleLevel"/>
    <w:tmpl w:val="91F1A8AC"/>
    <w:lvl w:ilvl="0" w:tentative="0">
      <w:start w:val="1"/>
      <w:numFmt w:val="bullet"/>
      <w:lvlText w:val=""/>
      <w:lvlJc w:val="left"/>
      <w:pPr>
        <w:ind w:left="420" w:hanging="420"/>
      </w:pPr>
      <w:rPr>
        <w:rFonts w:hint="default" w:ascii="Wingdings" w:hAnsi="Wingdings"/>
      </w:rPr>
    </w:lvl>
  </w:abstractNum>
  <w:abstractNum w:abstractNumId="3">
    <w:nsid w:val="9746BED4"/>
    <w:multiLevelType w:val="multilevel"/>
    <w:tmpl w:val="9746BED4"/>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
    <w:nsid w:val="9B97BE0E"/>
    <w:multiLevelType w:val="singleLevel"/>
    <w:tmpl w:val="9B97BE0E"/>
    <w:lvl w:ilvl="0" w:tentative="0">
      <w:start w:val="1"/>
      <w:numFmt w:val="decimalEnclosedCircleChinese"/>
      <w:suff w:val="nothing"/>
      <w:lvlText w:val="%1　"/>
      <w:lvlJc w:val="left"/>
      <w:pPr>
        <w:ind w:left="0" w:firstLine="400"/>
      </w:pPr>
      <w:rPr>
        <w:rFonts w:hint="eastAsia"/>
      </w:rPr>
    </w:lvl>
  </w:abstractNum>
  <w:abstractNum w:abstractNumId="5">
    <w:nsid w:val="B98189D2"/>
    <w:multiLevelType w:val="singleLevel"/>
    <w:tmpl w:val="B98189D2"/>
    <w:lvl w:ilvl="0" w:tentative="0">
      <w:start w:val="1"/>
      <w:numFmt w:val="decimalEnclosedCircleChinese"/>
      <w:suff w:val="nothing"/>
      <w:lvlText w:val="%1　"/>
      <w:lvlJc w:val="left"/>
      <w:pPr>
        <w:ind w:left="0" w:firstLine="400"/>
      </w:pPr>
      <w:rPr>
        <w:rFonts w:hint="eastAsia"/>
      </w:rPr>
    </w:lvl>
  </w:abstractNum>
  <w:abstractNum w:abstractNumId="6">
    <w:nsid w:val="CB97DA28"/>
    <w:multiLevelType w:val="multilevel"/>
    <w:tmpl w:val="CB97DA2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7">
    <w:nsid w:val="EA4D70AF"/>
    <w:multiLevelType w:val="singleLevel"/>
    <w:tmpl w:val="EA4D70AF"/>
    <w:lvl w:ilvl="0" w:tentative="0">
      <w:start w:val="1"/>
      <w:numFmt w:val="chineseCounting"/>
      <w:suff w:val="nothing"/>
      <w:lvlText w:val="%1、"/>
      <w:lvlJc w:val="left"/>
      <w:pPr>
        <w:ind w:left="0" w:firstLine="0"/>
      </w:pPr>
      <w:rPr>
        <w:rFonts w:hint="eastAsia"/>
      </w:rPr>
    </w:lvl>
  </w:abstractNum>
  <w:abstractNum w:abstractNumId="8">
    <w:nsid w:val="EB6FF74F"/>
    <w:multiLevelType w:val="singleLevel"/>
    <w:tmpl w:val="EB6FF74F"/>
    <w:lvl w:ilvl="0" w:tentative="0">
      <w:start w:val="1"/>
      <w:numFmt w:val="decimalEnclosedCircleChinese"/>
      <w:suff w:val="nothing"/>
      <w:lvlText w:val="%1　"/>
      <w:lvlJc w:val="left"/>
      <w:pPr>
        <w:ind w:left="0" w:firstLine="400"/>
      </w:pPr>
      <w:rPr>
        <w:rFonts w:hint="eastAsia"/>
      </w:rPr>
    </w:lvl>
  </w:abstractNum>
  <w:abstractNum w:abstractNumId="9">
    <w:nsid w:val="EDF14B48"/>
    <w:multiLevelType w:val="singleLevel"/>
    <w:tmpl w:val="EDF14B48"/>
    <w:lvl w:ilvl="0" w:tentative="0">
      <w:start w:val="1"/>
      <w:numFmt w:val="decimalEnclosedCircleChinese"/>
      <w:suff w:val="nothing"/>
      <w:lvlText w:val="%1　"/>
      <w:lvlJc w:val="left"/>
      <w:pPr>
        <w:ind w:left="0" w:firstLine="400"/>
      </w:pPr>
      <w:rPr>
        <w:rFonts w:hint="eastAsia"/>
      </w:rPr>
    </w:lvl>
  </w:abstractNum>
  <w:abstractNum w:abstractNumId="10">
    <w:nsid w:val="F9858454"/>
    <w:multiLevelType w:val="singleLevel"/>
    <w:tmpl w:val="F9858454"/>
    <w:lvl w:ilvl="0" w:tentative="0">
      <w:start w:val="1"/>
      <w:numFmt w:val="bullet"/>
      <w:lvlText w:val=""/>
      <w:lvlJc w:val="left"/>
      <w:pPr>
        <w:ind w:left="420" w:hanging="420"/>
      </w:pPr>
      <w:rPr>
        <w:rFonts w:hint="default" w:ascii="Wingdings" w:hAnsi="Wingdings"/>
      </w:rPr>
    </w:lvl>
  </w:abstractNum>
  <w:abstractNum w:abstractNumId="11">
    <w:nsid w:val="00000007"/>
    <w:multiLevelType w:val="multilevel"/>
    <w:tmpl w:val="00000007"/>
    <w:lvl w:ilvl="0" w:tentative="0">
      <w:start w:val="1"/>
      <w:numFmt w:val="japaneseCounting"/>
      <w:pStyle w:val="43"/>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000002E"/>
    <w:multiLevelType w:val="multilevel"/>
    <w:tmpl w:val="0000002E"/>
    <w:lvl w:ilvl="0" w:tentative="0">
      <w:start w:val="1"/>
      <w:numFmt w:val="chineseCountingThousand"/>
      <w:lvlText w:val="第%1章"/>
      <w:lvlJc w:val="left"/>
      <w:pPr>
        <w:tabs>
          <w:tab w:val="left" w:pos="1673"/>
        </w:tabs>
        <w:ind w:left="426" w:firstLine="0"/>
      </w:pPr>
      <w:rPr>
        <w:rFonts w:hint="eastAsia"/>
        <w:lang w:val="en-US"/>
      </w:rPr>
    </w:lvl>
    <w:lvl w:ilvl="1" w:tentative="0">
      <w:start w:val="1"/>
      <w:numFmt w:val="decimal"/>
      <w:pStyle w:val="49"/>
      <w:isLgl/>
      <w:lvlText w:val="%1.%2"/>
      <w:lvlJc w:val="left"/>
      <w:pPr>
        <w:tabs>
          <w:tab w:val="left" w:pos="454"/>
        </w:tabs>
        <w:ind w:left="0" w:firstLine="0"/>
      </w:pPr>
      <w:rPr>
        <w:rFonts w:hint="eastAsia"/>
      </w:rPr>
    </w:lvl>
    <w:lvl w:ilvl="2" w:tentative="0">
      <w:start w:val="1"/>
      <w:numFmt w:val="decimal"/>
      <w:pStyle w:val="46"/>
      <w:isLgl/>
      <w:lvlText w:val="%1.%2.%3"/>
      <w:lvlJc w:val="left"/>
      <w:pPr>
        <w:tabs>
          <w:tab w:val="left" w:pos="709"/>
        </w:tabs>
        <w:ind w:left="0" w:firstLine="0"/>
      </w:pPr>
      <w:rPr>
        <w:rFonts w:hint="eastAsia"/>
      </w:rPr>
    </w:lvl>
    <w:lvl w:ilvl="3" w:tentative="0">
      <w:start w:val="1"/>
      <w:numFmt w:val="decimal"/>
      <w:isLgl/>
      <w:lvlText w:val="%1.%2.%3.%4"/>
      <w:lvlJc w:val="left"/>
      <w:pPr>
        <w:tabs>
          <w:tab w:val="left" w:pos="936"/>
        </w:tabs>
        <w:ind w:left="0" w:firstLine="0"/>
      </w:pPr>
      <w:rPr>
        <w:rFonts w:hint="eastAsia"/>
      </w:rPr>
    </w:lvl>
    <w:lvl w:ilvl="4" w:tentative="0">
      <w:start w:val="1"/>
      <w:numFmt w:val="decimal"/>
      <w:isLgl/>
      <w:lvlText w:val="%1.%2.%3.%4.%5"/>
      <w:lvlJc w:val="left"/>
      <w:pPr>
        <w:tabs>
          <w:tab w:val="left" w:pos="1162"/>
        </w:tabs>
        <w:ind w:left="0" w:firstLine="0"/>
      </w:pPr>
      <w:rPr>
        <w:rFonts w:hint="eastAsia"/>
      </w:rPr>
    </w:lvl>
    <w:lvl w:ilvl="5" w:tentative="0">
      <w:start w:val="1"/>
      <w:numFmt w:val="decimal"/>
      <w:isLgl/>
      <w:lvlText w:val="%1.%2.%3.%4.%5.%6"/>
      <w:lvlJc w:val="left"/>
      <w:pPr>
        <w:tabs>
          <w:tab w:val="left" w:pos="1389"/>
        </w:tabs>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3">
    <w:nsid w:val="08B009D6"/>
    <w:multiLevelType w:val="multilevel"/>
    <w:tmpl w:val="08B009D6"/>
    <w:lvl w:ilvl="0" w:tentative="0">
      <w:start w:val="0"/>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1430"/>
        </w:tabs>
        <w:ind w:left="1430" w:hanging="720"/>
      </w:pPr>
      <w:rPr>
        <w:rFonts w:hint="eastAsia"/>
      </w:rPr>
    </w:lvl>
    <w:lvl w:ilvl="3" w:tentative="0">
      <w:start w:val="1"/>
      <w:numFmt w:val="decimal"/>
      <w:pStyle w:val="6"/>
      <w:lvlText w:val="%1.%2.%3.%4"/>
      <w:lvlJc w:val="left"/>
      <w:pPr>
        <w:tabs>
          <w:tab w:val="left" w:pos="1857"/>
        </w:tabs>
        <w:ind w:left="1857"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
    <w:nsid w:val="09695B2E"/>
    <w:multiLevelType w:val="singleLevel"/>
    <w:tmpl w:val="09695B2E"/>
    <w:lvl w:ilvl="0" w:tentative="0">
      <w:start w:val="1"/>
      <w:numFmt w:val="decimalEnclosedCircleChinese"/>
      <w:suff w:val="nothing"/>
      <w:lvlText w:val="%1　"/>
      <w:lvlJc w:val="left"/>
      <w:pPr>
        <w:ind w:left="0" w:firstLine="400"/>
      </w:pPr>
      <w:rPr>
        <w:rFonts w:hint="eastAsia"/>
      </w:rPr>
    </w:lvl>
  </w:abstractNum>
  <w:abstractNum w:abstractNumId="15">
    <w:nsid w:val="0A3D904C"/>
    <w:multiLevelType w:val="singleLevel"/>
    <w:tmpl w:val="0A3D904C"/>
    <w:lvl w:ilvl="0" w:tentative="0">
      <w:start w:val="1"/>
      <w:numFmt w:val="decimalEnclosedCircleChinese"/>
      <w:suff w:val="nothing"/>
      <w:lvlText w:val="%1　"/>
      <w:lvlJc w:val="left"/>
      <w:pPr>
        <w:ind w:left="0" w:firstLine="400"/>
      </w:pPr>
      <w:rPr>
        <w:rFonts w:hint="eastAsia"/>
      </w:rPr>
    </w:lvl>
  </w:abstractNum>
  <w:abstractNum w:abstractNumId="16">
    <w:nsid w:val="0C779126"/>
    <w:multiLevelType w:val="singleLevel"/>
    <w:tmpl w:val="0C779126"/>
    <w:lvl w:ilvl="0" w:tentative="0">
      <w:start w:val="1"/>
      <w:numFmt w:val="decimalEnclosedCircleChinese"/>
      <w:suff w:val="nothing"/>
      <w:lvlText w:val="%1　"/>
      <w:lvlJc w:val="left"/>
      <w:pPr>
        <w:ind w:left="0" w:firstLine="403"/>
      </w:pPr>
      <w:rPr>
        <w:rFonts w:hint="eastAsia"/>
      </w:rPr>
    </w:lvl>
  </w:abstractNum>
  <w:abstractNum w:abstractNumId="17">
    <w:nsid w:val="20C6D8D4"/>
    <w:multiLevelType w:val="multilevel"/>
    <w:tmpl w:val="20C6D8D4"/>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8">
    <w:nsid w:val="23770C9B"/>
    <w:multiLevelType w:val="singleLevel"/>
    <w:tmpl w:val="23770C9B"/>
    <w:lvl w:ilvl="0" w:tentative="0">
      <w:start w:val="1"/>
      <w:numFmt w:val="decimalEnclosedCircleChinese"/>
      <w:suff w:val="nothing"/>
      <w:lvlText w:val="%1　"/>
      <w:lvlJc w:val="left"/>
      <w:pPr>
        <w:ind w:left="0" w:firstLine="400"/>
      </w:pPr>
      <w:rPr>
        <w:rFonts w:hint="eastAsia"/>
      </w:rPr>
    </w:lvl>
  </w:abstractNum>
  <w:abstractNum w:abstractNumId="19">
    <w:nsid w:val="2874EB03"/>
    <w:multiLevelType w:val="multilevel"/>
    <w:tmpl w:val="2874EB0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0">
    <w:nsid w:val="29846CD3"/>
    <w:multiLevelType w:val="multilevel"/>
    <w:tmpl w:val="29846CD3"/>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1">
    <w:nsid w:val="3ED53B0B"/>
    <w:multiLevelType w:val="singleLevel"/>
    <w:tmpl w:val="3ED53B0B"/>
    <w:lvl w:ilvl="0" w:tentative="0">
      <w:start w:val="1"/>
      <w:numFmt w:val="decimalEnclosedCircleChinese"/>
      <w:suff w:val="nothing"/>
      <w:lvlText w:val="%1　"/>
      <w:lvlJc w:val="left"/>
      <w:pPr>
        <w:ind w:left="0" w:firstLine="400"/>
      </w:pPr>
      <w:rPr>
        <w:rFonts w:hint="eastAsia"/>
      </w:rPr>
    </w:lvl>
  </w:abstractNum>
  <w:abstractNum w:abstractNumId="22">
    <w:nsid w:val="490AD078"/>
    <w:multiLevelType w:val="multilevel"/>
    <w:tmpl w:val="490AD078"/>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3">
    <w:nsid w:val="63E64672"/>
    <w:multiLevelType w:val="multilevel"/>
    <w:tmpl w:val="63E64672"/>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4">
    <w:nsid w:val="6B98488A"/>
    <w:multiLevelType w:val="multilevel"/>
    <w:tmpl w:val="6B98488A"/>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5">
    <w:nsid w:val="6CB11212"/>
    <w:multiLevelType w:val="multilevel"/>
    <w:tmpl w:val="6CB11212"/>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6">
    <w:nsid w:val="6F9D2001"/>
    <w:multiLevelType w:val="multilevel"/>
    <w:tmpl w:val="6F9D2001"/>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7">
    <w:nsid w:val="78BD8ED9"/>
    <w:multiLevelType w:val="singleLevel"/>
    <w:tmpl w:val="78BD8ED9"/>
    <w:lvl w:ilvl="0" w:tentative="0">
      <w:start w:val="1"/>
      <w:numFmt w:val="chineseCounting"/>
      <w:suff w:val="nothing"/>
      <w:lvlText w:val="%1、"/>
      <w:lvlJc w:val="left"/>
      <w:pPr>
        <w:ind w:left="0" w:firstLine="420"/>
      </w:pPr>
      <w:rPr>
        <w:rFonts w:hint="eastAsia"/>
      </w:rPr>
    </w:lvl>
  </w:abstractNum>
  <w:abstractNum w:abstractNumId="28">
    <w:nsid w:val="7DB71245"/>
    <w:multiLevelType w:val="singleLevel"/>
    <w:tmpl w:val="7DB71245"/>
    <w:lvl w:ilvl="0" w:tentative="0">
      <w:start w:val="1"/>
      <w:numFmt w:val="decimalEnclosedCircleChinese"/>
      <w:suff w:val="nothing"/>
      <w:lvlText w:val="%1　"/>
      <w:lvlJc w:val="left"/>
      <w:pPr>
        <w:ind w:left="0" w:firstLine="400"/>
      </w:pPr>
      <w:rPr>
        <w:rFonts w:hint="eastAsia"/>
      </w:rPr>
    </w:lvl>
  </w:abstractNum>
  <w:abstractNum w:abstractNumId="29">
    <w:nsid w:val="7E500ACD"/>
    <w:multiLevelType w:val="multilevel"/>
    <w:tmpl w:val="7E500ACD"/>
    <w:lvl w:ilvl="0" w:tentative="0">
      <w:start w:val="1"/>
      <w:numFmt w:val="decimal"/>
      <w:lvlText w:val="%1."/>
      <w:lvlJc w:val="left"/>
      <w:pPr>
        <w:ind w:left="360" w:hanging="360"/>
      </w:pPr>
      <w:rPr>
        <w:rFonts w:hint="default" w:ascii="Arial" w:hAnsi="Arial" w:cs="Arial"/>
        <w:b w:val="0"/>
        <w:sz w:val="21"/>
        <w:szCs w:val="21"/>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3"/>
  </w:num>
  <w:num w:numId="2">
    <w:abstractNumId w:val="25"/>
  </w:num>
  <w:num w:numId="3">
    <w:abstractNumId w:val="11"/>
  </w:num>
  <w:num w:numId="4">
    <w:abstractNumId w:val="12"/>
  </w:num>
  <w:num w:numId="5">
    <w:abstractNumId w:val="7"/>
  </w:num>
  <w:num w:numId="6">
    <w:abstractNumId w:val="29"/>
  </w:num>
  <w:num w:numId="7">
    <w:abstractNumId w:val="3"/>
  </w:num>
  <w:num w:numId="8">
    <w:abstractNumId w:val="23"/>
    <w:lvlOverride w:ilvl="0">
      <w:lvl w:ilvl="0" w:tentative="1">
        <w:start w:val="0"/>
        <w:numFmt w:val="decimal"/>
        <w:lvlText w:val=""/>
        <w:lvlJc w:val="left"/>
      </w:lvl>
    </w:lvlOverride>
    <w:lvlOverride w:ilvl="1">
      <w:lvl w:ilvl="1" w:tentative="1">
        <w:start w:val="0"/>
        <w:numFmt w:val="decimal"/>
        <w:lvlText w:val=""/>
        <w:lvlJc w:val="left"/>
      </w:lvl>
    </w:lvlOverride>
    <w:lvlOverride w:ilvl="2">
      <w:lvl w:ilvl="2" w:tentative="1">
        <w:start w:val="1"/>
        <w:numFmt w:val="decimal"/>
        <w:lvlText w:val="%1.%2.%3"/>
        <w:lvlJc w:val="left"/>
        <w:pPr>
          <w:tabs>
            <w:tab w:val="left" w:pos="851"/>
          </w:tabs>
          <w:ind w:left="851" w:hanging="709"/>
        </w:pPr>
        <w:rPr>
          <w:rFonts w:hint="eastAsia"/>
        </w:rPr>
      </w:lvl>
    </w:lvlOverride>
  </w:num>
  <w:num w:numId="9">
    <w:abstractNumId w:val="16"/>
  </w:num>
  <w:num w:numId="10">
    <w:abstractNumId w:val="27"/>
  </w:num>
  <w:num w:numId="11">
    <w:abstractNumId w:val="24"/>
  </w:num>
  <w:num w:numId="12">
    <w:abstractNumId w:val="2"/>
  </w:num>
  <w:num w:numId="13">
    <w:abstractNumId w:val="28"/>
  </w:num>
  <w:num w:numId="14">
    <w:abstractNumId w:val="18"/>
  </w:num>
  <w:num w:numId="15">
    <w:abstractNumId w:val="10"/>
  </w:num>
  <w:num w:numId="16">
    <w:abstractNumId w:val="5"/>
  </w:num>
  <w:num w:numId="17">
    <w:abstractNumId w:val="6"/>
  </w:num>
  <w:num w:numId="18">
    <w:abstractNumId w:val="4"/>
  </w:num>
  <w:num w:numId="19">
    <w:abstractNumId w:val="21"/>
  </w:num>
  <w:num w:numId="20">
    <w:abstractNumId w:val="17"/>
  </w:num>
  <w:num w:numId="21">
    <w:abstractNumId w:val="15"/>
  </w:num>
  <w:num w:numId="22">
    <w:abstractNumId w:val="26"/>
  </w:num>
  <w:num w:numId="23">
    <w:abstractNumId w:val="1"/>
  </w:num>
  <w:num w:numId="24">
    <w:abstractNumId w:val="14"/>
  </w:num>
  <w:num w:numId="25">
    <w:abstractNumId w:val="0"/>
  </w:num>
  <w:num w:numId="26">
    <w:abstractNumId w:val="9"/>
  </w:num>
  <w:num w:numId="27">
    <w:abstractNumId w:val="22"/>
  </w:num>
  <w:num w:numId="28">
    <w:abstractNumId w:val="19"/>
  </w:num>
  <w:num w:numId="29">
    <w:abstractNumId w:val="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NkNDFjMmFiZDJlMWY3NDE2NzgyMDE1NDYwODE2NmYifQ=="/>
  </w:docVars>
  <w:rsids>
    <w:rsidRoot w:val="275A7A4D"/>
    <w:rsid w:val="0000753F"/>
    <w:rsid w:val="00007A23"/>
    <w:rsid w:val="00013842"/>
    <w:rsid w:val="0001521D"/>
    <w:rsid w:val="00016EFD"/>
    <w:rsid w:val="00017273"/>
    <w:rsid w:val="000360AB"/>
    <w:rsid w:val="00037697"/>
    <w:rsid w:val="00040952"/>
    <w:rsid w:val="0004289B"/>
    <w:rsid w:val="00050956"/>
    <w:rsid w:val="0005165A"/>
    <w:rsid w:val="0005393A"/>
    <w:rsid w:val="00060396"/>
    <w:rsid w:val="0006195B"/>
    <w:rsid w:val="0006629B"/>
    <w:rsid w:val="00076E15"/>
    <w:rsid w:val="00076E49"/>
    <w:rsid w:val="00077787"/>
    <w:rsid w:val="000809F9"/>
    <w:rsid w:val="0008222A"/>
    <w:rsid w:val="00082786"/>
    <w:rsid w:val="00083FAA"/>
    <w:rsid w:val="00084B1A"/>
    <w:rsid w:val="000A3752"/>
    <w:rsid w:val="000A5C4E"/>
    <w:rsid w:val="000A76C4"/>
    <w:rsid w:val="000B3207"/>
    <w:rsid w:val="000B460C"/>
    <w:rsid w:val="000B7596"/>
    <w:rsid w:val="000C0240"/>
    <w:rsid w:val="000C0AB3"/>
    <w:rsid w:val="000C0D9A"/>
    <w:rsid w:val="000C4DA3"/>
    <w:rsid w:val="000C5488"/>
    <w:rsid w:val="000D3D22"/>
    <w:rsid w:val="000D400F"/>
    <w:rsid w:val="000D6DF0"/>
    <w:rsid w:val="000E0295"/>
    <w:rsid w:val="000E6F26"/>
    <w:rsid w:val="000F3255"/>
    <w:rsid w:val="00101F45"/>
    <w:rsid w:val="00103977"/>
    <w:rsid w:val="00107E67"/>
    <w:rsid w:val="001146CE"/>
    <w:rsid w:val="0011559B"/>
    <w:rsid w:val="00117300"/>
    <w:rsid w:val="00125A3E"/>
    <w:rsid w:val="00130109"/>
    <w:rsid w:val="00132CCE"/>
    <w:rsid w:val="00135B0F"/>
    <w:rsid w:val="001424F0"/>
    <w:rsid w:val="00156023"/>
    <w:rsid w:val="001620C8"/>
    <w:rsid w:val="001628B7"/>
    <w:rsid w:val="0016387F"/>
    <w:rsid w:val="00163990"/>
    <w:rsid w:val="001651DA"/>
    <w:rsid w:val="0016572D"/>
    <w:rsid w:val="00170161"/>
    <w:rsid w:val="001752DE"/>
    <w:rsid w:val="001818F4"/>
    <w:rsid w:val="00184801"/>
    <w:rsid w:val="00184F8E"/>
    <w:rsid w:val="001955C1"/>
    <w:rsid w:val="001A26D2"/>
    <w:rsid w:val="001A53D5"/>
    <w:rsid w:val="001A691E"/>
    <w:rsid w:val="001B1491"/>
    <w:rsid w:val="001B1D5D"/>
    <w:rsid w:val="001B2A7F"/>
    <w:rsid w:val="001B3CE6"/>
    <w:rsid w:val="001B5341"/>
    <w:rsid w:val="001C7D7E"/>
    <w:rsid w:val="001D0CB3"/>
    <w:rsid w:val="001D5044"/>
    <w:rsid w:val="001E4BCA"/>
    <w:rsid w:val="001E68E1"/>
    <w:rsid w:val="001F1436"/>
    <w:rsid w:val="001F2F76"/>
    <w:rsid w:val="00203735"/>
    <w:rsid w:val="002054A6"/>
    <w:rsid w:val="00207267"/>
    <w:rsid w:val="002108E0"/>
    <w:rsid w:val="00213212"/>
    <w:rsid w:val="00220C34"/>
    <w:rsid w:val="00222014"/>
    <w:rsid w:val="002227B2"/>
    <w:rsid w:val="00226D0E"/>
    <w:rsid w:val="00235D2C"/>
    <w:rsid w:val="00246E44"/>
    <w:rsid w:val="002526FD"/>
    <w:rsid w:val="00253636"/>
    <w:rsid w:val="00255BBB"/>
    <w:rsid w:val="00261AB5"/>
    <w:rsid w:val="00263D80"/>
    <w:rsid w:val="00266826"/>
    <w:rsid w:val="002670BF"/>
    <w:rsid w:val="00271A31"/>
    <w:rsid w:val="00277519"/>
    <w:rsid w:val="00281D43"/>
    <w:rsid w:val="002837CE"/>
    <w:rsid w:val="0028685F"/>
    <w:rsid w:val="00287A5C"/>
    <w:rsid w:val="0029536F"/>
    <w:rsid w:val="002A00C9"/>
    <w:rsid w:val="002A3885"/>
    <w:rsid w:val="002B0F6A"/>
    <w:rsid w:val="002B53FA"/>
    <w:rsid w:val="002B721A"/>
    <w:rsid w:val="002C7039"/>
    <w:rsid w:val="002D18BC"/>
    <w:rsid w:val="002D2C03"/>
    <w:rsid w:val="002D34E1"/>
    <w:rsid w:val="002D67CA"/>
    <w:rsid w:val="002E09BC"/>
    <w:rsid w:val="002E5548"/>
    <w:rsid w:val="002E7A7F"/>
    <w:rsid w:val="002E7E95"/>
    <w:rsid w:val="002F4B37"/>
    <w:rsid w:val="00301907"/>
    <w:rsid w:val="00302A68"/>
    <w:rsid w:val="00307FEC"/>
    <w:rsid w:val="00310DE2"/>
    <w:rsid w:val="00310F02"/>
    <w:rsid w:val="0032047A"/>
    <w:rsid w:val="00320760"/>
    <w:rsid w:val="003223B4"/>
    <w:rsid w:val="00322F50"/>
    <w:rsid w:val="00322F5A"/>
    <w:rsid w:val="00330014"/>
    <w:rsid w:val="00340019"/>
    <w:rsid w:val="00340AB2"/>
    <w:rsid w:val="00342004"/>
    <w:rsid w:val="0034256E"/>
    <w:rsid w:val="00352DBB"/>
    <w:rsid w:val="00356692"/>
    <w:rsid w:val="0036468C"/>
    <w:rsid w:val="00364C7C"/>
    <w:rsid w:val="0037054C"/>
    <w:rsid w:val="00373F12"/>
    <w:rsid w:val="003746BB"/>
    <w:rsid w:val="003839FD"/>
    <w:rsid w:val="003855FD"/>
    <w:rsid w:val="003865EF"/>
    <w:rsid w:val="00387D9B"/>
    <w:rsid w:val="00391438"/>
    <w:rsid w:val="003914C8"/>
    <w:rsid w:val="003929CB"/>
    <w:rsid w:val="003A2311"/>
    <w:rsid w:val="003A6E37"/>
    <w:rsid w:val="003A7728"/>
    <w:rsid w:val="003B139B"/>
    <w:rsid w:val="003B7374"/>
    <w:rsid w:val="003C0B02"/>
    <w:rsid w:val="003C3C3E"/>
    <w:rsid w:val="003C7E2B"/>
    <w:rsid w:val="003D1F52"/>
    <w:rsid w:val="003D1FAD"/>
    <w:rsid w:val="003D24F8"/>
    <w:rsid w:val="003D2706"/>
    <w:rsid w:val="003E04F9"/>
    <w:rsid w:val="003E18BD"/>
    <w:rsid w:val="003E3718"/>
    <w:rsid w:val="003E7130"/>
    <w:rsid w:val="003F0256"/>
    <w:rsid w:val="003F40BF"/>
    <w:rsid w:val="003F40E5"/>
    <w:rsid w:val="003F45B0"/>
    <w:rsid w:val="003F7C0B"/>
    <w:rsid w:val="00401F87"/>
    <w:rsid w:val="004020B6"/>
    <w:rsid w:val="00402E98"/>
    <w:rsid w:val="00403866"/>
    <w:rsid w:val="00403D06"/>
    <w:rsid w:val="00410FFC"/>
    <w:rsid w:val="00412B93"/>
    <w:rsid w:val="00415D74"/>
    <w:rsid w:val="00421FB2"/>
    <w:rsid w:val="00422A46"/>
    <w:rsid w:val="004252B6"/>
    <w:rsid w:val="004270C4"/>
    <w:rsid w:val="00427B11"/>
    <w:rsid w:val="00435E93"/>
    <w:rsid w:val="00442F50"/>
    <w:rsid w:val="00446328"/>
    <w:rsid w:val="00457E6C"/>
    <w:rsid w:val="00460347"/>
    <w:rsid w:val="004633AD"/>
    <w:rsid w:val="00463411"/>
    <w:rsid w:val="00467551"/>
    <w:rsid w:val="004721AB"/>
    <w:rsid w:val="004762F0"/>
    <w:rsid w:val="0048045F"/>
    <w:rsid w:val="00490B33"/>
    <w:rsid w:val="00490E29"/>
    <w:rsid w:val="0049483A"/>
    <w:rsid w:val="00496DDA"/>
    <w:rsid w:val="004978FC"/>
    <w:rsid w:val="00497AE7"/>
    <w:rsid w:val="004A05E5"/>
    <w:rsid w:val="004A129A"/>
    <w:rsid w:val="004A1E37"/>
    <w:rsid w:val="004A2569"/>
    <w:rsid w:val="004A5344"/>
    <w:rsid w:val="004B5A7B"/>
    <w:rsid w:val="004B62A8"/>
    <w:rsid w:val="004B687F"/>
    <w:rsid w:val="004B7F0A"/>
    <w:rsid w:val="004C6111"/>
    <w:rsid w:val="004C7A39"/>
    <w:rsid w:val="004D01B8"/>
    <w:rsid w:val="004D1236"/>
    <w:rsid w:val="004D1C6F"/>
    <w:rsid w:val="004D2FDE"/>
    <w:rsid w:val="004E3796"/>
    <w:rsid w:val="004E3E5E"/>
    <w:rsid w:val="004E56D9"/>
    <w:rsid w:val="004F1DBA"/>
    <w:rsid w:val="005033EE"/>
    <w:rsid w:val="00503B73"/>
    <w:rsid w:val="00513A44"/>
    <w:rsid w:val="00514D2F"/>
    <w:rsid w:val="005150AE"/>
    <w:rsid w:val="00520607"/>
    <w:rsid w:val="00524311"/>
    <w:rsid w:val="00525B01"/>
    <w:rsid w:val="00533562"/>
    <w:rsid w:val="00533B0A"/>
    <w:rsid w:val="00535D45"/>
    <w:rsid w:val="005372C2"/>
    <w:rsid w:val="00542FB4"/>
    <w:rsid w:val="00543C47"/>
    <w:rsid w:val="005452D9"/>
    <w:rsid w:val="00551B48"/>
    <w:rsid w:val="005520B8"/>
    <w:rsid w:val="00554911"/>
    <w:rsid w:val="0056742F"/>
    <w:rsid w:val="00574C42"/>
    <w:rsid w:val="00585B22"/>
    <w:rsid w:val="005933FD"/>
    <w:rsid w:val="00593A2F"/>
    <w:rsid w:val="00594827"/>
    <w:rsid w:val="00595069"/>
    <w:rsid w:val="00596991"/>
    <w:rsid w:val="005A02E3"/>
    <w:rsid w:val="005A3C08"/>
    <w:rsid w:val="005B104C"/>
    <w:rsid w:val="005B390D"/>
    <w:rsid w:val="005B4C16"/>
    <w:rsid w:val="005C45F8"/>
    <w:rsid w:val="005C5ACA"/>
    <w:rsid w:val="005D05A9"/>
    <w:rsid w:val="005E2130"/>
    <w:rsid w:val="005E3686"/>
    <w:rsid w:val="005E7835"/>
    <w:rsid w:val="005F0740"/>
    <w:rsid w:val="005F19E3"/>
    <w:rsid w:val="005F3576"/>
    <w:rsid w:val="005F53E2"/>
    <w:rsid w:val="005F5C5A"/>
    <w:rsid w:val="00604E4C"/>
    <w:rsid w:val="00606D24"/>
    <w:rsid w:val="00606F42"/>
    <w:rsid w:val="00611184"/>
    <w:rsid w:val="006116C2"/>
    <w:rsid w:val="00613F30"/>
    <w:rsid w:val="006168B0"/>
    <w:rsid w:val="0062233B"/>
    <w:rsid w:val="00622957"/>
    <w:rsid w:val="00623B82"/>
    <w:rsid w:val="00623E7A"/>
    <w:rsid w:val="00624E4F"/>
    <w:rsid w:val="00625883"/>
    <w:rsid w:val="00627F74"/>
    <w:rsid w:val="006304EE"/>
    <w:rsid w:val="0063126E"/>
    <w:rsid w:val="0063492B"/>
    <w:rsid w:val="00635A17"/>
    <w:rsid w:val="00637452"/>
    <w:rsid w:val="00641B30"/>
    <w:rsid w:val="006477AD"/>
    <w:rsid w:val="00651F00"/>
    <w:rsid w:val="00652395"/>
    <w:rsid w:val="00652616"/>
    <w:rsid w:val="00652A94"/>
    <w:rsid w:val="00653280"/>
    <w:rsid w:val="006557AC"/>
    <w:rsid w:val="0065624B"/>
    <w:rsid w:val="00657739"/>
    <w:rsid w:val="00661B41"/>
    <w:rsid w:val="00662E84"/>
    <w:rsid w:val="00670112"/>
    <w:rsid w:val="00670ADC"/>
    <w:rsid w:val="006710E3"/>
    <w:rsid w:val="006713CD"/>
    <w:rsid w:val="00674D37"/>
    <w:rsid w:val="006806D3"/>
    <w:rsid w:val="0068089A"/>
    <w:rsid w:val="00682EB6"/>
    <w:rsid w:val="00682F60"/>
    <w:rsid w:val="0068454C"/>
    <w:rsid w:val="006847E6"/>
    <w:rsid w:val="006863DB"/>
    <w:rsid w:val="0069583C"/>
    <w:rsid w:val="0069662B"/>
    <w:rsid w:val="006A1DE5"/>
    <w:rsid w:val="006A22D3"/>
    <w:rsid w:val="006A2A0C"/>
    <w:rsid w:val="006A2C14"/>
    <w:rsid w:val="006A30A9"/>
    <w:rsid w:val="006B2DD2"/>
    <w:rsid w:val="006B3595"/>
    <w:rsid w:val="006B5598"/>
    <w:rsid w:val="006C1E04"/>
    <w:rsid w:val="006C2CDE"/>
    <w:rsid w:val="006E2134"/>
    <w:rsid w:val="006E57D6"/>
    <w:rsid w:val="006E685D"/>
    <w:rsid w:val="006F1DA8"/>
    <w:rsid w:val="006F3F78"/>
    <w:rsid w:val="006F66D3"/>
    <w:rsid w:val="006F71F7"/>
    <w:rsid w:val="00703817"/>
    <w:rsid w:val="00705C98"/>
    <w:rsid w:val="00707285"/>
    <w:rsid w:val="007109D9"/>
    <w:rsid w:val="00713E6A"/>
    <w:rsid w:val="0071766A"/>
    <w:rsid w:val="007205A3"/>
    <w:rsid w:val="007207C0"/>
    <w:rsid w:val="00722A39"/>
    <w:rsid w:val="00723848"/>
    <w:rsid w:val="007273D3"/>
    <w:rsid w:val="00732AB7"/>
    <w:rsid w:val="007354B2"/>
    <w:rsid w:val="00736414"/>
    <w:rsid w:val="0074360F"/>
    <w:rsid w:val="007464A2"/>
    <w:rsid w:val="00746DC7"/>
    <w:rsid w:val="00747ABC"/>
    <w:rsid w:val="00750A21"/>
    <w:rsid w:val="00751DA1"/>
    <w:rsid w:val="0075302C"/>
    <w:rsid w:val="00756F99"/>
    <w:rsid w:val="00762B4E"/>
    <w:rsid w:val="00766475"/>
    <w:rsid w:val="00770B3D"/>
    <w:rsid w:val="00773C2F"/>
    <w:rsid w:val="007754CC"/>
    <w:rsid w:val="007954F4"/>
    <w:rsid w:val="007A0FC6"/>
    <w:rsid w:val="007A25DF"/>
    <w:rsid w:val="007A6C8E"/>
    <w:rsid w:val="007B0DE2"/>
    <w:rsid w:val="007B24A3"/>
    <w:rsid w:val="007B2647"/>
    <w:rsid w:val="007B3865"/>
    <w:rsid w:val="007B546D"/>
    <w:rsid w:val="007C0D35"/>
    <w:rsid w:val="007C10A4"/>
    <w:rsid w:val="007D229F"/>
    <w:rsid w:val="007D487F"/>
    <w:rsid w:val="007D648F"/>
    <w:rsid w:val="007E1C02"/>
    <w:rsid w:val="007E6190"/>
    <w:rsid w:val="007E67AD"/>
    <w:rsid w:val="007E7352"/>
    <w:rsid w:val="00801841"/>
    <w:rsid w:val="00804130"/>
    <w:rsid w:val="008060CB"/>
    <w:rsid w:val="008061FB"/>
    <w:rsid w:val="0081417D"/>
    <w:rsid w:val="00816346"/>
    <w:rsid w:val="0081774E"/>
    <w:rsid w:val="008213DD"/>
    <w:rsid w:val="0082386C"/>
    <w:rsid w:val="008278A4"/>
    <w:rsid w:val="00831E78"/>
    <w:rsid w:val="008352BB"/>
    <w:rsid w:val="0083652E"/>
    <w:rsid w:val="00836D12"/>
    <w:rsid w:val="008408BE"/>
    <w:rsid w:val="00841C0D"/>
    <w:rsid w:val="008462D6"/>
    <w:rsid w:val="00846B13"/>
    <w:rsid w:val="00854EA0"/>
    <w:rsid w:val="008576E0"/>
    <w:rsid w:val="00862E5A"/>
    <w:rsid w:val="00863AC9"/>
    <w:rsid w:val="008673A3"/>
    <w:rsid w:val="0087297F"/>
    <w:rsid w:val="00886904"/>
    <w:rsid w:val="00891BA4"/>
    <w:rsid w:val="008A04A1"/>
    <w:rsid w:val="008A7EDE"/>
    <w:rsid w:val="008B1457"/>
    <w:rsid w:val="008B5320"/>
    <w:rsid w:val="008B57CD"/>
    <w:rsid w:val="008C69AC"/>
    <w:rsid w:val="008C79D2"/>
    <w:rsid w:val="008D059F"/>
    <w:rsid w:val="008D19FF"/>
    <w:rsid w:val="008E39C0"/>
    <w:rsid w:val="008E64FA"/>
    <w:rsid w:val="008E6EDE"/>
    <w:rsid w:val="008F06CA"/>
    <w:rsid w:val="008F43B1"/>
    <w:rsid w:val="008F4E09"/>
    <w:rsid w:val="008F574F"/>
    <w:rsid w:val="00901CB4"/>
    <w:rsid w:val="00901DBF"/>
    <w:rsid w:val="00901E8C"/>
    <w:rsid w:val="009025E6"/>
    <w:rsid w:val="00906C34"/>
    <w:rsid w:val="00913AA5"/>
    <w:rsid w:val="00913BD0"/>
    <w:rsid w:val="0091644E"/>
    <w:rsid w:val="00916D1A"/>
    <w:rsid w:val="00917807"/>
    <w:rsid w:val="00930FB0"/>
    <w:rsid w:val="0093182C"/>
    <w:rsid w:val="00943D4E"/>
    <w:rsid w:val="0094682B"/>
    <w:rsid w:val="00950EED"/>
    <w:rsid w:val="00953A0B"/>
    <w:rsid w:val="00953EA4"/>
    <w:rsid w:val="00956556"/>
    <w:rsid w:val="00971D02"/>
    <w:rsid w:val="00980602"/>
    <w:rsid w:val="00980C75"/>
    <w:rsid w:val="0098161C"/>
    <w:rsid w:val="009861ED"/>
    <w:rsid w:val="009869A2"/>
    <w:rsid w:val="0099036B"/>
    <w:rsid w:val="009916C4"/>
    <w:rsid w:val="009A0BDA"/>
    <w:rsid w:val="009A16EC"/>
    <w:rsid w:val="009B3E93"/>
    <w:rsid w:val="009C09F6"/>
    <w:rsid w:val="009C2DC9"/>
    <w:rsid w:val="009C6C00"/>
    <w:rsid w:val="009C6E30"/>
    <w:rsid w:val="009C7442"/>
    <w:rsid w:val="009D24B2"/>
    <w:rsid w:val="009D7822"/>
    <w:rsid w:val="009E088B"/>
    <w:rsid w:val="009E284A"/>
    <w:rsid w:val="009E3A9F"/>
    <w:rsid w:val="009E3DB6"/>
    <w:rsid w:val="009E3DD2"/>
    <w:rsid w:val="009E7155"/>
    <w:rsid w:val="009F313F"/>
    <w:rsid w:val="00A00C68"/>
    <w:rsid w:val="00A00F87"/>
    <w:rsid w:val="00A03E1D"/>
    <w:rsid w:val="00A103AE"/>
    <w:rsid w:val="00A11327"/>
    <w:rsid w:val="00A13FDB"/>
    <w:rsid w:val="00A1511B"/>
    <w:rsid w:val="00A15E6E"/>
    <w:rsid w:val="00A226AD"/>
    <w:rsid w:val="00A24E31"/>
    <w:rsid w:val="00A274C3"/>
    <w:rsid w:val="00A31093"/>
    <w:rsid w:val="00A31169"/>
    <w:rsid w:val="00A33386"/>
    <w:rsid w:val="00A44976"/>
    <w:rsid w:val="00A45784"/>
    <w:rsid w:val="00A458FB"/>
    <w:rsid w:val="00A50C6B"/>
    <w:rsid w:val="00A5455F"/>
    <w:rsid w:val="00A55AA2"/>
    <w:rsid w:val="00A61A20"/>
    <w:rsid w:val="00A6242D"/>
    <w:rsid w:val="00A63FA2"/>
    <w:rsid w:val="00A642D2"/>
    <w:rsid w:val="00A644CC"/>
    <w:rsid w:val="00A703AC"/>
    <w:rsid w:val="00A72418"/>
    <w:rsid w:val="00A73AD5"/>
    <w:rsid w:val="00A757CF"/>
    <w:rsid w:val="00A75CDD"/>
    <w:rsid w:val="00A833BF"/>
    <w:rsid w:val="00A870F0"/>
    <w:rsid w:val="00A9447D"/>
    <w:rsid w:val="00A95A14"/>
    <w:rsid w:val="00AA1FCC"/>
    <w:rsid w:val="00AB0888"/>
    <w:rsid w:val="00AB1398"/>
    <w:rsid w:val="00AB1DA0"/>
    <w:rsid w:val="00AB2B00"/>
    <w:rsid w:val="00AB7274"/>
    <w:rsid w:val="00AB7865"/>
    <w:rsid w:val="00AC1856"/>
    <w:rsid w:val="00AC295B"/>
    <w:rsid w:val="00AC3003"/>
    <w:rsid w:val="00AC469F"/>
    <w:rsid w:val="00AD1450"/>
    <w:rsid w:val="00AE0161"/>
    <w:rsid w:val="00AE070B"/>
    <w:rsid w:val="00AE13EF"/>
    <w:rsid w:val="00AE491E"/>
    <w:rsid w:val="00AF233F"/>
    <w:rsid w:val="00AF2377"/>
    <w:rsid w:val="00AF2AA4"/>
    <w:rsid w:val="00AF7AE9"/>
    <w:rsid w:val="00B04304"/>
    <w:rsid w:val="00B04E92"/>
    <w:rsid w:val="00B05538"/>
    <w:rsid w:val="00B05B05"/>
    <w:rsid w:val="00B05DDD"/>
    <w:rsid w:val="00B065BA"/>
    <w:rsid w:val="00B1155D"/>
    <w:rsid w:val="00B11716"/>
    <w:rsid w:val="00B11C25"/>
    <w:rsid w:val="00B136D0"/>
    <w:rsid w:val="00B148EC"/>
    <w:rsid w:val="00B23D0D"/>
    <w:rsid w:val="00B2584B"/>
    <w:rsid w:val="00B3064F"/>
    <w:rsid w:val="00B317B2"/>
    <w:rsid w:val="00B34C1E"/>
    <w:rsid w:val="00B367B4"/>
    <w:rsid w:val="00B40FF8"/>
    <w:rsid w:val="00B42DFC"/>
    <w:rsid w:val="00B455B7"/>
    <w:rsid w:val="00B461E4"/>
    <w:rsid w:val="00B518F8"/>
    <w:rsid w:val="00B51CC6"/>
    <w:rsid w:val="00B53F60"/>
    <w:rsid w:val="00B56F06"/>
    <w:rsid w:val="00B6160A"/>
    <w:rsid w:val="00B6655F"/>
    <w:rsid w:val="00B721E2"/>
    <w:rsid w:val="00B7299A"/>
    <w:rsid w:val="00B72D9A"/>
    <w:rsid w:val="00B73899"/>
    <w:rsid w:val="00B7514F"/>
    <w:rsid w:val="00B8332B"/>
    <w:rsid w:val="00B93304"/>
    <w:rsid w:val="00B943B9"/>
    <w:rsid w:val="00B95444"/>
    <w:rsid w:val="00BA12F4"/>
    <w:rsid w:val="00BA239A"/>
    <w:rsid w:val="00BA2693"/>
    <w:rsid w:val="00BA3D3F"/>
    <w:rsid w:val="00BB0095"/>
    <w:rsid w:val="00BB0215"/>
    <w:rsid w:val="00BB5228"/>
    <w:rsid w:val="00BB5A7F"/>
    <w:rsid w:val="00BB64F4"/>
    <w:rsid w:val="00BB74DD"/>
    <w:rsid w:val="00BC232E"/>
    <w:rsid w:val="00BC7FC1"/>
    <w:rsid w:val="00BD6195"/>
    <w:rsid w:val="00BD6C83"/>
    <w:rsid w:val="00BE01E6"/>
    <w:rsid w:val="00BE03E6"/>
    <w:rsid w:val="00BE047F"/>
    <w:rsid w:val="00BF0095"/>
    <w:rsid w:val="00BF0238"/>
    <w:rsid w:val="00BF0DB8"/>
    <w:rsid w:val="00BF671B"/>
    <w:rsid w:val="00C01BB9"/>
    <w:rsid w:val="00C076D5"/>
    <w:rsid w:val="00C07D0D"/>
    <w:rsid w:val="00C134E2"/>
    <w:rsid w:val="00C142E7"/>
    <w:rsid w:val="00C17F18"/>
    <w:rsid w:val="00C23BD5"/>
    <w:rsid w:val="00C27394"/>
    <w:rsid w:val="00C27A0C"/>
    <w:rsid w:val="00C453A6"/>
    <w:rsid w:val="00C45CA0"/>
    <w:rsid w:val="00C45FEA"/>
    <w:rsid w:val="00C50DAF"/>
    <w:rsid w:val="00C5225E"/>
    <w:rsid w:val="00C55DE3"/>
    <w:rsid w:val="00C57A76"/>
    <w:rsid w:val="00C61365"/>
    <w:rsid w:val="00C62AB5"/>
    <w:rsid w:val="00C62E16"/>
    <w:rsid w:val="00C64EC3"/>
    <w:rsid w:val="00C74269"/>
    <w:rsid w:val="00C75A92"/>
    <w:rsid w:val="00C76E43"/>
    <w:rsid w:val="00C936EB"/>
    <w:rsid w:val="00C96A9A"/>
    <w:rsid w:val="00CA064A"/>
    <w:rsid w:val="00CA3CBE"/>
    <w:rsid w:val="00CA3ED2"/>
    <w:rsid w:val="00CA7E90"/>
    <w:rsid w:val="00CB1F47"/>
    <w:rsid w:val="00CB25E4"/>
    <w:rsid w:val="00CB2771"/>
    <w:rsid w:val="00CB5952"/>
    <w:rsid w:val="00CB6436"/>
    <w:rsid w:val="00CC7D03"/>
    <w:rsid w:val="00CD18FD"/>
    <w:rsid w:val="00CD1CDD"/>
    <w:rsid w:val="00CD3432"/>
    <w:rsid w:val="00CE0841"/>
    <w:rsid w:val="00CE4E11"/>
    <w:rsid w:val="00CE5C55"/>
    <w:rsid w:val="00CF18B7"/>
    <w:rsid w:val="00CF26A7"/>
    <w:rsid w:val="00CF2EB3"/>
    <w:rsid w:val="00CF306B"/>
    <w:rsid w:val="00CF4102"/>
    <w:rsid w:val="00CF4266"/>
    <w:rsid w:val="00CF5E67"/>
    <w:rsid w:val="00CF7C51"/>
    <w:rsid w:val="00D109EA"/>
    <w:rsid w:val="00D12496"/>
    <w:rsid w:val="00D20900"/>
    <w:rsid w:val="00D2356B"/>
    <w:rsid w:val="00D262CB"/>
    <w:rsid w:val="00D279EE"/>
    <w:rsid w:val="00D3664D"/>
    <w:rsid w:val="00D4349C"/>
    <w:rsid w:val="00D43A27"/>
    <w:rsid w:val="00D43E20"/>
    <w:rsid w:val="00D52BFC"/>
    <w:rsid w:val="00D5407F"/>
    <w:rsid w:val="00D55168"/>
    <w:rsid w:val="00D552FB"/>
    <w:rsid w:val="00D65434"/>
    <w:rsid w:val="00D72C73"/>
    <w:rsid w:val="00D73C61"/>
    <w:rsid w:val="00D75431"/>
    <w:rsid w:val="00D83898"/>
    <w:rsid w:val="00D872CD"/>
    <w:rsid w:val="00D90C17"/>
    <w:rsid w:val="00D91B78"/>
    <w:rsid w:val="00DA117A"/>
    <w:rsid w:val="00DA1D9C"/>
    <w:rsid w:val="00DA4F68"/>
    <w:rsid w:val="00DB3A3C"/>
    <w:rsid w:val="00DB3E47"/>
    <w:rsid w:val="00DB4030"/>
    <w:rsid w:val="00DB6DAB"/>
    <w:rsid w:val="00DB76FF"/>
    <w:rsid w:val="00DC052D"/>
    <w:rsid w:val="00DC75A8"/>
    <w:rsid w:val="00DD00C2"/>
    <w:rsid w:val="00DD3DCD"/>
    <w:rsid w:val="00DE0286"/>
    <w:rsid w:val="00DE10B7"/>
    <w:rsid w:val="00DE54D2"/>
    <w:rsid w:val="00DF2B11"/>
    <w:rsid w:val="00E017FC"/>
    <w:rsid w:val="00E02B5E"/>
    <w:rsid w:val="00E053CA"/>
    <w:rsid w:val="00E05739"/>
    <w:rsid w:val="00E0589F"/>
    <w:rsid w:val="00E11D6D"/>
    <w:rsid w:val="00E16A8B"/>
    <w:rsid w:val="00E20C71"/>
    <w:rsid w:val="00E219D7"/>
    <w:rsid w:val="00E26F20"/>
    <w:rsid w:val="00E31A23"/>
    <w:rsid w:val="00E32CA2"/>
    <w:rsid w:val="00E37536"/>
    <w:rsid w:val="00E40517"/>
    <w:rsid w:val="00E4068E"/>
    <w:rsid w:val="00E4209D"/>
    <w:rsid w:val="00E4460F"/>
    <w:rsid w:val="00E4512F"/>
    <w:rsid w:val="00E462DF"/>
    <w:rsid w:val="00E46C54"/>
    <w:rsid w:val="00E47F12"/>
    <w:rsid w:val="00E513FD"/>
    <w:rsid w:val="00E51662"/>
    <w:rsid w:val="00E516DE"/>
    <w:rsid w:val="00E53F5D"/>
    <w:rsid w:val="00E57312"/>
    <w:rsid w:val="00E61852"/>
    <w:rsid w:val="00E70EEA"/>
    <w:rsid w:val="00E71C7D"/>
    <w:rsid w:val="00E73994"/>
    <w:rsid w:val="00E75412"/>
    <w:rsid w:val="00E773F1"/>
    <w:rsid w:val="00E81A0A"/>
    <w:rsid w:val="00E81F39"/>
    <w:rsid w:val="00E879C9"/>
    <w:rsid w:val="00E87EBF"/>
    <w:rsid w:val="00E9218C"/>
    <w:rsid w:val="00E922A6"/>
    <w:rsid w:val="00E92E3D"/>
    <w:rsid w:val="00EA059B"/>
    <w:rsid w:val="00EA192B"/>
    <w:rsid w:val="00EA2255"/>
    <w:rsid w:val="00EA58AB"/>
    <w:rsid w:val="00EA71DC"/>
    <w:rsid w:val="00EB156E"/>
    <w:rsid w:val="00EB3200"/>
    <w:rsid w:val="00EB3C60"/>
    <w:rsid w:val="00EB49A6"/>
    <w:rsid w:val="00EC36A0"/>
    <w:rsid w:val="00EC3D4A"/>
    <w:rsid w:val="00ED1575"/>
    <w:rsid w:val="00ED1903"/>
    <w:rsid w:val="00ED2A18"/>
    <w:rsid w:val="00EE42F5"/>
    <w:rsid w:val="00EE50CE"/>
    <w:rsid w:val="00EE57C3"/>
    <w:rsid w:val="00EE5970"/>
    <w:rsid w:val="00EE6879"/>
    <w:rsid w:val="00EF1DFB"/>
    <w:rsid w:val="00EF1F5C"/>
    <w:rsid w:val="00EF2B35"/>
    <w:rsid w:val="00EF3BE1"/>
    <w:rsid w:val="00F0045D"/>
    <w:rsid w:val="00F06218"/>
    <w:rsid w:val="00F1340A"/>
    <w:rsid w:val="00F16E0B"/>
    <w:rsid w:val="00F228FB"/>
    <w:rsid w:val="00F2366C"/>
    <w:rsid w:val="00F24B09"/>
    <w:rsid w:val="00F3057D"/>
    <w:rsid w:val="00F3468E"/>
    <w:rsid w:val="00F354DF"/>
    <w:rsid w:val="00F41C67"/>
    <w:rsid w:val="00F50D3D"/>
    <w:rsid w:val="00F53DFE"/>
    <w:rsid w:val="00F57D5C"/>
    <w:rsid w:val="00F623C4"/>
    <w:rsid w:val="00F6402D"/>
    <w:rsid w:val="00F640D2"/>
    <w:rsid w:val="00F65E83"/>
    <w:rsid w:val="00F730FE"/>
    <w:rsid w:val="00F82B22"/>
    <w:rsid w:val="00F82D57"/>
    <w:rsid w:val="00F8354F"/>
    <w:rsid w:val="00F8414F"/>
    <w:rsid w:val="00F852A7"/>
    <w:rsid w:val="00F879D1"/>
    <w:rsid w:val="00F957F4"/>
    <w:rsid w:val="00FA0BBB"/>
    <w:rsid w:val="00FA0C14"/>
    <w:rsid w:val="00FA3E1D"/>
    <w:rsid w:val="00FA6D20"/>
    <w:rsid w:val="00FA6F51"/>
    <w:rsid w:val="00FB2073"/>
    <w:rsid w:val="00FB469F"/>
    <w:rsid w:val="00FB795D"/>
    <w:rsid w:val="00FC1EF6"/>
    <w:rsid w:val="00FC6617"/>
    <w:rsid w:val="00FC7B5B"/>
    <w:rsid w:val="00FC7C8A"/>
    <w:rsid w:val="00FD35C4"/>
    <w:rsid w:val="00FD3EFC"/>
    <w:rsid w:val="00FD5343"/>
    <w:rsid w:val="00FE31ED"/>
    <w:rsid w:val="00FE3C89"/>
    <w:rsid w:val="025B2E43"/>
    <w:rsid w:val="040E1BD0"/>
    <w:rsid w:val="048A70E5"/>
    <w:rsid w:val="04C74740"/>
    <w:rsid w:val="05160F19"/>
    <w:rsid w:val="051C1F88"/>
    <w:rsid w:val="05F15F19"/>
    <w:rsid w:val="06BD5DFB"/>
    <w:rsid w:val="07A82607"/>
    <w:rsid w:val="07A8669E"/>
    <w:rsid w:val="091E7A74"/>
    <w:rsid w:val="0AAA0DF0"/>
    <w:rsid w:val="0AF671E5"/>
    <w:rsid w:val="0F28461F"/>
    <w:rsid w:val="10897D96"/>
    <w:rsid w:val="10C405D5"/>
    <w:rsid w:val="117414B9"/>
    <w:rsid w:val="11B87B88"/>
    <w:rsid w:val="122D02D9"/>
    <w:rsid w:val="129E5C9F"/>
    <w:rsid w:val="12EE521E"/>
    <w:rsid w:val="1404150D"/>
    <w:rsid w:val="14B80E3B"/>
    <w:rsid w:val="159C5177"/>
    <w:rsid w:val="167E7B54"/>
    <w:rsid w:val="170C43AF"/>
    <w:rsid w:val="178B6792"/>
    <w:rsid w:val="189575B0"/>
    <w:rsid w:val="18C662FD"/>
    <w:rsid w:val="18E90642"/>
    <w:rsid w:val="19464ED2"/>
    <w:rsid w:val="19B07661"/>
    <w:rsid w:val="1AB31597"/>
    <w:rsid w:val="1AB45141"/>
    <w:rsid w:val="1AC80C61"/>
    <w:rsid w:val="1B205E1E"/>
    <w:rsid w:val="1BD550E6"/>
    <w:rsid w:val="1EF35C8C"/>
    <w:rsid w:val="1F1A0417"/>
    <w:rsid w:val="1FE46489"/>
    <w:rsid w:val="201F3743"/>
    <w:rsid w:val="20B60B17"/>
    <w:rsid w:val="20C77B4A"/>
    <w:rsid w:val="215D4F00"/>
    <w:rsid w:val="21D20555"/>
    <w:rsid w:val="22195C90"/>
    <w:rsid w:val="22A243CB"/>
    <w:rsid w:val="231A5B6D"/>
    <w:rsid w:val="23482FA1"/>
    <w:rsid w:val="23E03F6A"/>
    <w:rsid w:val="248C5333"/>
    <w:rsid w:val="24ED4662"/>
    <w:rsid w:val="275A7A4D"/>
    <w:rsid w:val="277826A1"/>
    <w:rsid w:val="27EA11BF"/>
    <w:rsid w:val="285F4B0C"/>
    <w:rsid w:val="295C629E"/>
    <w:rsid w:val="29DF7CB3"/>
    <w:rsid w:val="2AB23F50"/>
    <w:rsid w:val="2B147FF5"/>
    <w:rsid w:val="2B1B6BD8"/>
    <w:rsid w:val="2D1A6ABE"/>
    <w:rsid w:val="2D395E9A"/>
    <w:rsid w:val="2D621DCA"/>
    <w:rsid w:val="2DE817C4"/>
    <w:rsid w:val="2F175FAE"/>
    <w:rsid w:val="2FBC567F"/>
    <w:rsid w:val="303705B5"/>
    <w:rsid w:val="303B7C22"/>
    <w:rsid w:val="30F8483A"/>
    <w:rsid w:val="31730EDA"/>
    <w:rsid w:val="32605462"/>
    <w:rsid w:val="32966336"/>
    <w:rsid w:val="32AA58E4"/>
    <w:rsid w:val="34433534"/>
    <w:rsid w:val="34922BBA"/>
    <w:rsid w:val="34EB1585"/>
    <w:rsid w:val="354005B5"/>
    <w:rsid w:val="35C12962"/>
    <w:rsid w:val="36A41CFF"/>
    <w:rsid w:val="37135D64"/>
    <w:rsid w:val="3719062C"/>
    <w:rsid w:val="37A249F8"/>
    <w:rsid w:val="382014AF"/>
    <w:rsid w:val="38A95054"/>
    <w:rsid w:val="38CA1951"/>
    <w:rsid w:val="3B770292"/>
    <w:rsid w:val="3C7821FC"/>
    <w:rsid w:val="3C7D799A"/>
    <w:rsid w:val="3CA516A7"/>
    <w:rsid w:val="3E223086"/>
    <w:rsid w:val="40037A42"/>
    <w:rsid w:val="423E141F"/>
    <w:rsid w:val="429B0B90"/>
    <w:rsid w:val="43DA16C1"/>
    <w:rsid w:val="44746590"/>
    <w:rsid w:val="453A68DA"/>
    <w:rsid w:val="459900E2"/>
    <w:rsid w:val="46595606"/>
    <w:rsid w:val="46A13DD5"/>
    <w:rsid w:val="470B7B0C"/>
    <w:rsid w:val="471C4D54"/>
    <w:rsid w:val="477C646E"/>
    <w:rsid w:val="47D14C87"/>
    <w:rsid w:val="480F66C6"/>
    <w:rsid w:val="483D68B3"/>
    <w:rsid w:val="48C055EE"/>
    <w:rsid w:val="492E74E4"/>
    <w:rsid w:val="49805C47"/>
    <w:rsid w:val="4B552C8E"/>
    <w:rsid w:val="4BD73B3D"/>
    <w:rsid w:val="4D69684A"/>
    <w:rsid w:val="4E10389B"/>
    <w:rsid w:val="4E301ADB"/>
    <w:rsid w:val="4E686953"/>
    <w:rsid w:val="4EE540E8"/>
    <w:rsid w:val="4F0B304A"/>
    <w:rsid w:val="4F0B3A4E"/>
    <w:rsid w:val="50B9397E"/>
    <w:rsid w:val="5148640F"/>
    <w:rsid w:val="517D5C35"/>
    <w:rsid w:val="51A2659D"/>
    <w:rsid w:val="5244006A"/>
    <w:rsid w:val="536E0205"/>
    <w:rsid w:val="53E84859"/>
    <w:rsid w:val="5401323C"/>
    <w:rsid w:val="54446925"/>
    <w:rsid w:val="54640332"/>
    <w:rsid w:val="548310D4"/>
    <w:rsid w:val="54D25A42"/>
    <w:rsid w:val="553025BD"/>
    <w:rsid w:val="55855303"/>
    <w:rsid w:val="55DC231C"/>
    <w:rsid w:val="58FB6F24"/>
    <w:rsid w:val="5962576C"/>
    <w:rsid w:val="59AD338F"/>
    <w:rsid w:val="59B70A84"/>
    <w:rsid w:val="59C46D66"/>
    <w:rsid w:val="5A6F25A8"/>
    <w:rsid w:val="5AE03FA4"/>
    <w:rsid w:val="5B227B31"/>
    <w:rsid w:val="5B9D19EE"/>
    <w:rsid w:val="5BE33F13"/>
    <w:rsid w:val="5BF52F92"/>
    <w:rsid w:val="5C2D1520"/>
    <w:rsid w:val="5CFA0AF8"/>
    <w:rsid w:val="5DBD0424"/>
    <w:rsid w:val="5E0648A7"/>
    <w:rsid w:val="5E0E6B87"/>
    <w:rsid w:val="5E964C3F"/>
    <w:rsid w:val="5F1015A0"/>
    <w:rsid w:val="5F506B87"/>
    <w:rsid w:val="5FC139A7"/>
    <w:rsid w:val="60EC1A4F"/>
    <w:rsid w:val="614E17A2"/>
    <w:rsid w:val="62AA3973"/>
    <w:rsid w:val="63312B48"/>
    <w:rsid w:val="64797B36"/>
    <w:rsid w:val="64816732"/>
    <w:rsid w:val="65813E4E"/>
    <w:rsid w:val="65C642C5"/>
    <w:rsid w:val="65FF005E"/>
    <w:rsid w:val="671E7365"/>
    <w:rsid w:val="68D93544"/>
    <w:rsid w:val="68E00120"/>
    <w:rsid w:val="69140A20"/>
    <w:rsid w:val="692B5B3F"/>
    <w:rsid w:val="69DA2ED4"/>
    <w:rsid w:val="6A054BF2"/>
    <w:rsid w:val="6AD77278"/>
    <w:rsid w:val="6D8C399B"/>
    <w:rsid w:val="6DDF0898"/>
    <w:rsid w:val="6E7C3A35"/>
    <w:rsid w:val="6F3040BE"/>
    <w:rsid w:val="6F862F2F"/>
    <w:rsid w:val="6FEA24DA"/>
    <w:rsid w:val="70361097"/>
    <w:rsid w:val="714639AD"/>
    <w:rsid w:val="71AB3F7F"/>
    <w:rsid w:val="71FD5FD6"/>
    <w:rsid w:val="72542741"/>
    <w:rsid w:val="72C963D7"/>
    <w:rsid w:val="735D2A28"/>
    <w:rsid w:val="738246BE"/>
    <w:rsid w:val="73AE059F"/>
    <w:rsid w:val="73F95C9D"/>
    <w:rsid w:val="75913D16"/>
    <w:rsid w:val="75A77168"/>
    <w:rsid w:val="76A65E7B"/>
    <w:rsid w:val="76B5561E"/>
    <w:rsid w:val="77CB7A92"/>
    <w:rsid w:val="786D1EFA"/>
    <w:rsid w:val="78E45CB4"/>
    <w:rsid w:val="795F67B2"/>
    <w:rsid w:val="7A5B573E"/>
    <w:rsid w:val="7A732EA5"/>
    <w:rsid w:val="7A8D43C0"/>
    <w:rsid w:val="7B343644"/>
    <w:rsid w:val="7E227931"/>
    <w:rsid w:val="7F426367"/>
    <w:rsid w:val="7FD7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0"/>
    <w:pPr>
      <w:keepNext/>
      <w:keepLines/>
      <w:widowControl/>
      <w:numPr>
        <w:ilvl w:val="0"/>
        <w:numId w:val="1"/>
      </w:numPr>
      <w:spacing w:before="340" w:after="330"/>
      <w:jc w:val="left"/>
      <w:outlineLvl w:val="0"/>
    </w:pPr>
    <w:rPr>
      <w:rFonts w:ascii="黑体" w:eastAsia="黑体"/>
      <w:b/>
      <w:kern w:val="44"/>
      <w:sz w:val="32"/>
      <w:szCs w:val="44"/>
      <w:lang w:val="zh-CN"/>
    </w:rPr>
  </w:style>
  <w:style w:type="paragraph" w:styleId="3">
    <w:name w:val="heading 2"/>
    <w:basedOn w:val="1"/>
    <w:next w:val="1"/>
    <w:link w:val="34"/>
    <w:qFormat/>
    <w:uiPriority w:val="0"/>
    <w:pPr>
      <w:keepNext/>
      <w:keepLines/>
      <w:numPr>
        <w:ilvl w:val="1"/>
        <w:numId w:val="1"/>
      </w:numPr>
      <w:spacing w:before="100" w:beforeAutospacing="1" w:after="100" w:afterAutospacing="1" w:line="360" w:lineRule="auto"/>
      <w:jc w:val="left"/>
      <w:outlineLvl w:val="1"/>
    </w:pPr>
    <w:rPr>
      <w:rFonts w:ascii="黑体" w:hAnsi="Arial" w:eastAsia="黑体"/>
      <w:b/>
      <w:kern w:val="0"/>
      <w:sz w:val="30"/>
      <w:lang w:val="zh-CN"/>
    </w:rPr>
  </w:style>
  <w:style w:type="paragraph" w:styleId="4">
    <w:name w:val="heading 3"/>
    <w:basedOn w:val="1"/>
    <w:next w:val="5"/>
    <w:link w:val="44"/>
    <w:qFormat/>
    <w:uiPriority w:val="0"/>
    <w:pPr>
      <w:keepNext/>
      <w:keepLines/>
      <w:numPr>
        <w:ilvl w:val="2"/>
        <w:numId w:val="1"/>
      </w:numPr>
      <w:spacing w:before="260" w:after="260" w:line="416" w:lineRule="auto"/>
      <w:outlineLvl w:val="2"/>
    </w:pPr>
    <w:rPr>
      <w:b/>
      <w:sz w:val="32"/>
    </w:rPr>
  </w:style>
  <w:style w:type="paragraph" w:styleId="6">
    <w:name w:val="heading 4"/>
    <w:basedOn w:val="1"/>
    <w:next w:val="1"/>
    <w:link w:val="37"/>
    <w:unhideWhenUsed/>
    <w:qFormat/>
    <w:uiPriority w:val="0"/>
    <w:pPr>
      <w:keepNext/>
      <w:keepLines/>
      <w:numPr>
        <w:ilvl w:val="3"/>
        <w:numId w:val="1"/>
      </w:numPr>
      <w:spacing w:before="280" w:after="290" w:line="376" w:lineRule="auto"/>
      <w:outlineLvl w:val="3"/>
    </w:pPr>
    <w:rPr>
      <w:rFonts w:ascii="Cambria" w:hAnsi="Cambria"/>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7">
    <w:name w:val="List Number 2"/>
    <w:basedOn w:val="1"/>
    <w:qFormat/>
    <w:uiPriority w:val="0"/>
    <w:pPr>
      <w:numPr>
        <w:ilvl w:val="0"/>
        <w:numId w:val="2"/>
      </w:numPr>
      <w:tabs>
        <w:tab w:val="left" w:pos="567"/>
      </w:tabs>
    </w:pPr>
    <w:rPr>
      <w:sz w:val="28"/>
    </w:rPr>
  </w:style>
  <w:style w:type="paragraph" w:styleId="8">
    <w:name w:val="caption"/>
    <w:basedOn w:val="1"/>
    <w:next w:val="1"/>
    <w:qFormat/>
    <w:uiPriority w:val="0"/>
    <w:pPr>
      <w:spacing w:line="360" w:lineRule="auto"/>
      <w:jc w:val="center"/>
    </w:pPr>
    <w:rPr>
      <w:rFonts w:ascii="Arial" w:hAnsi="Arial" w:eastAsia="黑体"/>
    </w:rPr>
  </w:style>
  <w:style w:type="paragraph" w:styleId="9">
    <w:name w:val="Document Map"/>
    <w:basedOn w:val="1"/>
    <w:link w:val="41"/>
    <w:qFormat/>
    <w:uiPriority w:val="0"/>
    <w:rPr>
      <w:rFonts w:ascii="宋体"/>
      <w:sz w:val="18"/>
      <w:szCs w:val="18"/>
    </w:rPr>
  </w:style>
  <w:style w:type="paragraph" w:styleId="10">
    <w:name w:val="annotation text"/>
    <w:basedOn w:val="1"/>
    <w:link w:val="30"/>
    <w:qFormat/>
    <w:uiPriority w:val="0"/>
    <w:pPr>
      <w:jc w:val="left"/>
    </w:pPr>
    <w:rPr>
      <w:lang w:val="zh-CN"/>
    </w:rPr>
  </w:style>
  <w:style w:type="paragraph" w:styleId="11">
    <w:name w:val="Body Text"/>
    <w:basedOn w:val="1"/>
    <w:link w:val="42"/>
    <w:qFormat/>
    <w:uiPriority w:val="0"/>
    <w:pPr>
      <w:spacing w:after="120"/>
    </w:pPr>
  </w:style>
  <w:style w:type="paragraph" w:styleId="12">
    <w:name w:val="Body Text Indent"/>
    <w:basedOn w:val="1"/>
    <w:qFormat/>
    <w:uiPriority w:val="0"/>
    <w:pPr>
      <w:ind w:firstLine="420"/>
    </w:pPr>
  </w:style>
  <w:style w:type="paragraph" w:styleId="13">
    <w:name w:val="toc 3"/>
    <w:basedOn w:val="1"/>
    <w:next w:val="1"/>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link w:val="32"/>
    <w:qFormat/>
    <w:uiPriority w:val="0"/>
    <w:rPr>
      <w:sz w:val="18"/>
      <w:szCs w:val="18"/>
      <w:lang w:val="zh-CN"/>
    </w:rPr>
  </w:style>
  <w:style w:type="paragraph" w:styleId="16">
    <w:name w:val="footer"/>
    <w:basedOn w:val="1"/>
    <w:link w:val="29"/>
    <w:qFormat/>
    <w:uiPriority w:val="99"/>
    <w:pPr>
      <w:tabs>
        <w:tab w:val="center" w:pos="4153"/>
        <w:tab w:val="right" w:pos="8306"/>
      </w:tabs>
      <w:snapToGrid w:val="0"/>
      <w:jc w:val="left"/>
    </w:pPr>
    <w:rPr>
      <w:sz w:val="18"/>
      <w:szCs w:val="18"/>
      <w:lang w:val="zh-CN"/>
    </w:rPr>
  </w:style>
  <w:style w:type="paragraph" w:styleId="17">
    <w:name w:val="header"/>
    <w:basedOn w:val="1"/>
    <w:link w:val="28"/>
    <w:qFormat/>
    <w:uiPriority w:val="0"/>
    <w:pPr>
      <w:pBdr>
        <w:bottom w:val="single" w:color="auto" w:sz="6" w:space="1"/>
      </w:pBdr>
      <w:tabs>
        <w:tab w:val="center" w:pos="4153"/>
        <w:tab w:val="right" w:pos="8306"/>
      </w:tabs>
      <w:snapToGrid w:val="0"/>
      <w:jc w:val="center"/>
    </w:pPr>
    <w:rPr>
      <w:sz w:val="18"/>
      <w:szCs w:val="18"/>
      <w:lang w:val="zh-CN"/>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annotation subject"/>
    <w:basedOn w:val="10"/>
    <w:next w:val="10"/>
    <w:link w:val="31"/>
    <w:qFormat/>
    <w:uiPriority w:val="0"/>
    <w:rPr>
      <w:b/>
      <w:bCs/>
    </w:rPr>
  </w:style>
  <w:style w:type="paragraph" w:styleId="21">
    <w:name w:val="Body Text First Indent 2"/>
    <w:qFormat/>
    <w:uiPriority w:val="0"/>
    <w:pPr>
      <w:widowControl w:val="0"/>
      <w:spacing w:after="120" w:afterLines="0"/>
      <w:ind w:left="420" w:leftChars="200" w:firstLine="420" w:firstLineChars="200"/>
      <w:jc w:val="both"/>
    </w:pPr>
    <w:rPr>
      <w:rFonts w:ascii="Times New Roman" w:hAnsi="Times New Roman" w:eastAsia="宋体" w:cs="Times New Roman"/>
      <w:kern w:val="2"/>
      <w:sz w:val="21"/>
      <w:szCs w:val="24"/>
      <w:lang w:val="en-US" w:eastAsia="zh-CN" w:bidi="ar-SA"/>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unhideWhenUsed/>
    <w:qFormat/>
    <w:uiPriority w:val="99"/>
    <w:rPr>
      <w:color w:val="0000FF"/>
      <w:u w:val="single"/>
    </w:rPr>
  </w:style>
  <w:style w:type="character" w:styleId="26">
    <w:name w:val="annotation reference"/>
    <w:qFormat/>
    <w:uiPriority w:val="0"/>
    <w:rPr>
      <w:sz w:val="21"/>
      <w:szCs w:val="21"/>
    </w:rPr>
  </w:style>
  <w:style w:type="paragraph" w:customStyle="1" w:styleId="27">
    <w:name w:val="Char"/>
    <w:basedOn w:val="1"/>
    <w:qFormat/>
    <w:uiPriority w:val="0"/>
    <w:pPr>
      <w:widowControl/>
      <w:spacing w:after="160" w:line="240" w:lineRule="exact"/>
      <w:jc w:val="left"/>
    </w:pPr>
    <w:rPr>
      <w:rFonts w:ascii="Verdana" w:hAnsi="Verdana"/>
      <w:kern w:val="0"/>
      <w:sz w:val="20"/>
      <w:lang w:eastAsia="en-US"/>
    </w:rPr>
  </w:style>
  <w:style w:type="character" w:customStyle="1" w:styleId="28">
    <w:name w:val="页眉 字符"/>
    <w:link w:val="17"/>
    <w:qFormat/>
    <w:uiPriority w:val="0"/>
    <w:rPr>
      <w:kern w:val="2"/>
      <w:sz w:val="18"/>
      <w:szCs w:val="18"/>
    </w:rPr>
  </w:style>
  <w:style w:type="character" w:customStyle="1" w:styleId="29">
    <w:name w:val="页脚 字符"/>
    <w:link w:val="16"/>
    <w:qFormat/>
    <w:uiPriority w:val="99"/>
    <w:rPr>
      <w:kern w:val="2"/>
      <w:sz w:val="18"/>
      <w:szCs w:val="18"/>
    </w:rPr>
  </w:style>
  <w:style w:type="character" w:customStyle="1" w:styleId="30">
    <w:name w:val="批注文字 字符"/>
    <w:link w:val="10"/>
    <w:qFormat/>
    <w:uiPriority w:val="0"/>
    <w:rPr>
      <w:kern w:val="2"/>
      <w:sz w:val="21"/>
    </w:rPr>
  </w:style>
  <w:style w:type="character" w:customStyle="1" w:styleId="31">
    <w:name w:val="批注主题 字符"/>
    <w:link w:val="20"/>
    <w:qFormat/>
    <w:uiPriority w:val="0"/>
    <w:rPr>
      <w:b/>
      <w:bCs/>
      <w:kern w:val="2"/>
      <w:sz w:val="21"/>
    </w:rPr>
  </w:style>
  <w:style w:type="character" w:customStyle="1" w:styleId="32">
    <w:name w:val="批注框文本 字符"/>
    <w:link w:val="15"/>
    <w:qFormat/>
    <w:uiPriority w:val="0"/>
    <w:rPr>
      <w:kern w:val="2"/>
      <w:sz w:val="18"/>
      <w:szCs w:val="18"/>
    </w:rPr>
  </w:style>
  <w:style w:type="character" w:customStyle="1" w:styleId="33">
    <w:name w:val="标题 1 字符"/>
    <w:link w:val="2"/>
    <w:qFormat/>
    <w:uiPriority w:val="0"/>
    <w:rPr>
      <w:rFonts w:ascii="黑体" w:eastAsia="黑体"/>
      <w:b/>
      <w:kern w:val="44"/>
      <w:sz w:val="32"/>
      <w:szCs w:val="44"/>
      <w:lang w:val="zh-CN" w:eastAsia="zh-CN"/>
    </w:rPr>
  </w:style>
  <w:style w:type="character" w:customStyle="1" w:styleId="34">
    <w:name w:val="标题 2 字符"/>
    <w:link w:val="3"/>
    <w:qFormat/>
    <w:uiPriority w:val="0"/>
    <w:rPr>
      <w:rFonts w:ascii="黑体" w:hAnsi="Arial" w:eastAsia="黑体"/>
      <w:b/>
      <w:sz w:val="30"/>
      <w:lang w:val="zh-CN" w:eastAsia="zh-CN"/>
    </w:rPr>
  </w:style>
  <w:style w:type="paragraph" w:styleId="35">
    <w:name w:val="List Paragraph"/>
    <w:basedOn w:val="1"/>
    <w:qFormat/>
    <w:uiPriority w:val="34"/>
    <w:pPr>
      <w:ind w:firstLine="420" w:firstLineChars="200"/>
    </w:pPr>
  </w:style>
  <w:style w:type="paragraph" w:customStyle="1" w:styleId="3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37">
    <w:name w:val="标题 4 字符"/>
    <w:basedOn w:val="24"/>
    <w:link w:val="6"/>
    <w:qFormat/>
    <w:uiPriority w:val="0"/>
    <w:rPr>
      <w:rFonts w:ascii="Cambria" w:hAnsi="Cambria"/>
      <w:b/>
      <w:bCs/>
      <w:kern w:val="2"/>
      <w:sz w:val="28"/>
      <w:szCs w:val="28"/>
    </w:rPr>
  </w:style>
  <w:style w:type="paragraph" w:customStyle="1" w:styleId="38">
    <w:name w:val="并列"/>
    <w:basedOn w:val="1"/>
    <w:qFormat/>
    <w:uiPriority w:val="0"/>
    <w:pPr>
      <w:spacing w:line="360" w:lineRule="auto"/>
      <w:ind w:firstLine="200" w:firstLineChars="200"/>
      <w:jc w:val="left"/>
    </w:pPr>
    <w:rPr>
      <w:szCs w:val="24"/>
    </w:rPr>
  </w:style>
  <w:style w:type="paragraph" w:customStyle="1" w:styleId="39">
    <w:name w:val="第1层正文"/>
    <w:basedOn w:val="1"/>
    <w:qFormat/>
    <w:uiPriority w:val="0"/>
    <w:pPr>
      <w:tabs>
        <w:tab w:val="left" w:pos="105"/>
      </w:tabs>
      <w:spacing w:before="120" w:after="120" w:line="360" w:lineRule="auto"/>
      <w:ind w:firstLine="480" w:firstLineChars="200"/>
      <w:jc w:val="left"/>
    </w:pPr>
    <w:rPr>
      <w:sz w:val="24"/>
      <w:szCs w:val="24"/>
    </w:rPr>
  </w:style>
  <w:style w:type="paragraph" w:customStyle="1" w:styleId="40">
    <w:name w:val="说明"/>
    <w:basedOn w:val="39"/>
    <w:next w:val="39"/>
    <w:qFormat/>
    <w:uiPriority w:val="0"/>
    <w:pPr>
      <w:spacing w:before="0" w:line="240" w:lineRule="auto"/>
      <w:ind w:left="450" w:firstLine="0" w:firstLineChars="0"/>
    </w:pPr>
    <w:rPr>
      <w:i/>
      <w:color w:val="000080"/>
      <w:sz w:val="21"/>
    </w:rPr>
  </w:style>
  <w:style w:type="character" w:customStyle="1" w:styleId="41">
    <w:name w:val="文档结构图 字符"/>
    <w:basedOn w:val="24"/>
    <w:link w:val="9"/>
    <w:qFormat/>
    <w:uiPriority w:val="0"/>
    <w:rPr>
      <w:rFonts w:ascii="宋体"/>
      <w:kern w:val="2"/>
      <w:sz w:val="18"/>
      <w:szCs w:val="18"/>
    </w:rPr>
  </w:style>
  <w:style w:type="character" w:customStyle="1" w:styleId="42">
    <w:name w:val="正文文本 字符"/>
    <w:basedOn w:val="24"/>
    <w:link w:val="11"/>
    <w:qFormat/>
    <w:uiPriority w:val="0"/>
    <w:rPr>
      <w:kern w:val="2"/>
      <w:sz w:val="21"/>
    </w:rPr>
  </w:style>
  <w:style w:type="paragraph" w:customStyle="1" w:styleId="43">
    <w:name w:val="样式2"/>
    <w:basedOn w:val="3"/>
    <w:next w:val="1"/>
    <w:qFormat/>
    <w:uiPriority w:val="0"/>
    <w:pPr>
      <w:numPr>
        <w:ilvl w:val="0"/>
        <w:numId w:val="3"/>
      </w:numPr>
    </w:pPr>
    <w:rPr>
      <w:rFonts w:ascii="Arial"/>
      <w:b w:val="0"/>
      <w:bCs/>
      <w:color w:val="000000"/>
      <w:kern w:val="2"/>
      <w:sz w:val="24"/>
      <w:szCs w:val="24"/>
      <w:lang w:val="en-US"/>
    </w:rPr>
  </w:style>
  <w:style w:type="character" w:customStyle="1" w:styleId="44">
    <w:name w:val="标题 3 字符"/>
    <w:basedOn w:val="24"/>
    <w:link w:val="4"/>
    <w:qFormat/>
    <w:uiPriority w:val="0"/>
    <w:rPr>
      <w:b/>
      <w:kern w:val="2"/>
      <w:sz w:val="32"/>
    </w:rPr>
  </w:style>
  <w:style w:type="paragraph" w:customStyle="1" w:styleId="45">
    <w:name w:val="正式正文"/>
    <w:basedOn w:val="1"/>
    <w:qFormat/>
    <w:uiPriority w:val="0"/>
    <w:pPr>
      <w:spacing w:line="312" w:lineRule="auto"/>
      <w:ind w:firstLine="200" w:firstLineChars="200"/>
    </w:pPr>
    <w:rPr>
      <w:sz w:val="24"/>
    </w:rPr>
  </w:style>
  <w:style w:type="paragraph" w:customStyle="1" w:styleId="46">
    <w:name w:val="三级标题"/>
    <w:next w:val="45"/>
    <w:qFormat/>
    <w:uiPriority w:val="0"/>
    <w:pPr>
      <w:widowControl w:val="0"/>
      <w:numPr>
        <w:ilvl w:val="2"/>
        <w:numId w:val="4"/>
      </w:numPr>
      <w:spacing w:before="60" w:after="60"/>
      <w:jc w:val="both"/>
      <w:outlineLvl w:val="2"/>
    </w:pPr>
    <w:rPr>
      <w:rFonts w:ascii="Times New Roman" w:hAnsi="Times New Roman" w:eastAsia="宋体" w:cs="Times New Roman"/>
      <w:b/>
      <w:kern w:val="2"/>
      <w:sz w:val="28"/>
      <w:szCs w:val="24"/>
      <w:lang w:val="en-US" w:eastAsia="zh-CN" w:bidi="ar-SA"/>
    </w:rPr>
  </w:style>
  <w:style w:type="paragraph" w:customStyle="1" w:styleId="47">
    <w:name w:val="TABLE_HEAD"/>
    <w:qFormat/>
    <w:uiPriority w:val="99"/>
    <w:pPr>
      <w:widowControl w:val="0"/>
      <w:autoSpaceDE w:val="0"/>
      <w:autoSpaceDN w:val="0"/>
      <w:jc w:val="center"/>
    </w:pPr>
    <w:rPr>
      <w:rFonts w:ascii="Cambria" w:hAnsi="Cambria" w:eastAsia="宋体" w:cs="Cambria"/>
      <w:kern w:val="0"/>
      <w:sz w:val="16"/>
      <w:szCs w:val="16"/>
      <w:lang w:val="zh-CN" w:eastAsia="zh-CN" w:bidi="ar-SA"/>
    </w:rPr>
  </w:style>
  <w:style w:type="paragraph" w:customStyle="1" w:styleId="48">
    <w:name w:val="HEAD_FOOT"/>
    <w:qFormat/>
    <w:uiPriority w:val="99"/>
    <w:pPr>
      <w:widowControl w:val="0"/>
      <w:autoSpaceDE w:val="0"/>
      <w:autoSpaceDN w:val="0"/>
      <w:jc w:val="both"/>
    </w:pPr>
    <w:rPr>
      <w:rFonts w:ascii="Cambria" w:hAnsi="Cambria" w:eastAsia="宋体" w:cs="Cambria"/>
      <w:kern w:val="0"/>
      <w:sz w:val="18"/>
      <w:szCs w:val="18"/>
      <w:lang w:val="zh-CN" w:eastAsia="zh-CN" w:bidi="ar-SA"/>
    </w:rPr>
  </w:style>
  <w:style w:type="paragraph" w:customStyle="1" w:styleId="49">
    <w:name w:val="二级标题"/>
    <w:next w:val="45"/>
    <w:qFormat/>
    <w:uiPriority w:val="0"/>
    <w:pPr>
      <w:widowControl w:val="0"/>
      <w:numPr>
        <w:ilvl w:val="1"/>
        <w:numId w:val="4"/>
      </w:numPr>
      <w:spacing w:before="60" w:after="60"/>
      <w:jc w:val="both"/>
      <w:outlineLvl w:val="1"/>
    </w:pPr>
    <w:rPr>
      <w:rFonts w:ascii="Times New Roman" w:hAnsi="Times New Roman" w:eastAsia="宋体" w:cs="Times New Roman"/>
      <w:b/>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02&#20854;&#20182;&#24037;&#20316;&#36164;&#26009;\&#36136;&#37327;&#31649;&#29702;&#20307;&#31995;&#20462;&#35746;-2020\&#35768;&#24013;\&#31532;9&#20998;&#20876;&#65306;&#34920;&#26684;&#27169;&#26495;&#65288;&#24320;&#21457;&#31867;&#65289;&#27719;&#32534;\08.&#31995;&#32479;&#19978;&#32447;&#36807;&#31243;\&#39033;&#30446;&#21517;&#31216;-&#29992;&#25143;&#25163;&#2087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8D8BE-EDA4-4A1C-AAF1-EFE028FC3834}">
  <ds:schemaRefs/>
</ds:datastoreItem>
</file>

<file path=docProps/app.xml><?xml version="1.0" encoding="utf-8"?>
<Properties xmlns="http://schemas.openxmlformats.org/officeDocument/2006/extended-properties" xmlns:vt="http://schemas.openxmlformats.org/officeDocument/2006/docPropsVTypes">
  <Template>项目名称-用户手册</Template>
  <Pages>19</Pages>
  <Words>5848</Words>
  <Characters>6073</Characters>
  <Lines>19</Lines>
  <Paragraphs>5</Paragraphs>
  <TotalTime>0</TotalTime>
  <ScaleCrop>false</ScaleCrop>
  <LinksUpToDate>false</LinksUpToDate>
  <CharactersWithSpaces>6159</CharactersWithSpaces>
  <Application>WPS Office_11.8.2.10321_F1E327BC-269C-435d-A152-05C5408002CA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2020-12-15T01:10:00Z</dcterms:created>
  <dc:creator>胖公子</dc:creator>
  <cp:lastModifiedBy>l'x'j</cp:lastModifiedBy>
  <dcterms:modified xsi:type="dcterms:W3CDTF">2024-03-21T08:43:19Z</dcterms:modified>
  <dc:title>管理评审控制程序</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4012C97FBAC64B8DAB6A1C173394C408</vt:lpwstr>
  </property>
</Properties>
</file>