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sz w:val="32"/>
          <w:szCs w:val="32"/>
        </w:rPr>
      </w:pPr>
      <w:bookmarkStart w:id="0" w:name="_Toc184480090"/>
      <w:bookmarkStart w:id="1" w:name="_Toc182121124"/>
    </w:p>
    <w:p>
      <w:pPr>
        <w:rPr>
          <w:rFonts w:ascii="Arial" w:hAnsi="Arial" w:eastAsia="黑体" w:cs="Arial"/>
          <w:b/>
          <w:sz w:val="32"/>
        </w:rPr>
      </w:pPr>
      <w:r>
        <w:rPr>
          <w:rFonts w:ascii="Arial" w:hAnsi="Arial" w:eastAsia="黑体" w:cs="Arial"/>
          <w:sz w:val="32"/>
          <w:szCs w:val="32"/>
        </w:rPr>
        <w:t xml:space="preserve"> </w:t>
      </w:r>
    </w:p>
    <w:p>
      <w:pPr>
        <w:rPr>
          <w:rFonts w:ascii="Arial" w:hAnsi="Arial" w:eastAsia="黑体" w:cs="Arial"/>
          <w:b/>
          <w:sz w:val="32"/>
        </w:rPr>
      </w:pPr>
    </w:p>
    <w:p>
      <w:pPr>
        <w:rPr>
          <w:rFonts w:ascii="Arial" w:hAnsi="Arial" w:eastAsia="黑体" w:cs="Arial"/>
          <w:b/>
          <w:sz w:val="32"/>
        </w:rPr>
      </w:pPr>
    </w:p>
    <w:p>
      <w:pPr>
        <w:rPr>
          <w:rFonts w:ascii="Arial" w:hAnsi="Arial" w:eastAsia="黑体" w:cs="Arial"/>
          <w:b/>
          <w:sz w:val="32"/>
        </w:rPr>
      </w:pPr>
    </w:p>
    <w:p>
      <w:pPr>
        <w:rPr>
          <w:rFonts w:ascii="Arial" w:hAnsi="Arial" w:eastAsia="黑体" w:cs="Arial"/>
          <w:b/>
          <w:sz w:val="32"/>
        </w:rPr>
      </w:pPr>
    </w:p>
    <w:p>
      <w:pPr>
        <w:rPr>
          <w:rFonts w:ascii="Arial" w:hAnsi="Arial" w:eastAsia="黑体" w:cs="Arial"/>
          <w:b/>
          <w:sz w:val="32"/>
        </w:rPr>
      </w:pPr>
    </w:p>
    <w:p>
      <w:pPr>
        <w:jc w:val="center"/>
        <w:rPr>
          <w:rFonts w:ascii="Arial" w:hAnsi="Arial" w:eastAsia="黑体" w:cs="Arial"/>
          <w:b/>
          <w:sz w:val="32"/>
        </w:rPr>
      </w:pPr>
    </w:p>
    <w:p>
      <w:pPr>
        <w:keepNext w:val="0"/>
        <w:keepLines w:val="0"/>
        <w:widowControl/>
        <w:suppressLineNumbers w:val="0"/>
        <w:spacing w:line="360" w:lineRule="auto"/>
        <w:jc w:val="center"/>
      </w:pPr>
      <w:r>
        <w:rPr>
          <w:rFonts w:ascii="HYQiHei" w:hAnsi="HYQiHei" w:eastAsia="HYQiHei" w:cs="HYQiHei"/>
          <w:b/>
          <w:bCs/>
          <w:color w:val="000008"/>
          <w:kern w:val="0"/>
          <w:sz w:val="43"/>
          <w:szCs w:val="43"/>
          <w:lang w:val="en-US" w:eastAsia="zh-CN" w:bidi="ar"/>
        </w:rPr>
        <w:t>中国航空工业集团有限公司</w:t>
      </w:r>
    </w:p>
    <w:p>
      <w:pPr>
        <w:keepNext w:val="0"/>
        <w:keepLines w:val="0"/>
        <w:widowControl/>
        <w:suppressLineNumbers w:val="0"/>
        <w:spacing w:line="360" w:lineRule="auto"/>
        <w:jc w:val="center"/>
        <w:rPr>
          <w:rFonts w:hint="default" w:ascii="HYQiHei" w:hAnsi="HYQiHei" w:eastAsia="HYQiHei" w:cs="HYQiHei"/>
          <w:b/>
          <w:bCs/>
          <w:color w:val="000008"/>
          <w:kern w:val="0"/>
          <w:sz w:val="43"/>
          <w:szCs w:val="43"/>
          <w:lang w:val="en-US" w:eastAsia="zh-CN" w:bidi="ar"/>
        </w:rPr>
      </w:pPr>
      <w:r>
        <w:rPr>
          <w:rFonts w:hint="eastAsia" w:ascii="HYQiHei" w:hAnsi="HYQiHei" w:eastAsia="HYQiHei" w:cs="HYQiHei"/>
          <w:b/>
          <w:bCs/>
          <w:color w:val="000008"/>
          <w:kern w:val="0"/>
          <w:sz w:val="43"/>
          <w:szCs w:val="43"/>
          <w:lang w:val="en-US" w:eastAsia="zh-CN" w:bidi="ar"/>
        </w:rPr>
        <w:t>资金收支预算管理</w:t>
      </w:r>
      <w:r>
        <w:rPr>
          <w:rFonts w:hint="default" w:ascii="HYQiHei" w:hAnsi="HYQiHei" w:eastAsia="HYQiHei" w:cs="HYQiHei"/>
          <w:b/>
          <w:bCs/>
          <w:color w:val="000008"/>
          <w:kern w:val="0"/>
          <w:sz w:val="43"/>
          <w:szCs w:val="43"/>
          <w:lang w:val="en-US" w:eastAsia="zh-CN" w:bidi="ar"/>
        </w:rPr>
        <w:t>系统操作手册</w:t>
      </w:r>
    </w:p>
    <w:p>
      <w:pPr>
        <w:keepNext w:val="0"/>
        <w:keepLines w:val="0"/>
        <w:widowControl/>
        <w:suppressLineNumbers w:val="0"/>
        <w:spacing w:line="360" w:lineRule="auto"/>
        <w:jc w:val="center"/>
        <w:rPr>
          <w:rFonts w:hint="default" w:ascii="HYQiHei" w:hAnsi="HYQiHei" w:eastAsia="HYQiHei" w:cs="HYQiHei"/>
          <w:b/>
          <w:bCs/>
          <w:color w:val="000008"/>
          <w:kern w:val="0"/>
          <w:sz w:val="43"/>
          <w:szCs w:val="43"/>
          <w:lang w:val="en-US" w:eastAsia="zh-CN" w:bidi="ar"/>
        </w:rPr>
      </w:pPr>
      <w:r>
        <w:rPr>
          <w:rFonts w:hint="eastAsia" w:ascii="HYQiHei" w:hAnsi="HYQiHei" w:eastAsia="HYQiHei" w:cs="HYQiHei"/>
          <w:b/>
          <w:bCs/>
          <w:color w:val="000008"/>
          <w:kern w:val="0"/>
          <w:sz w:val="43"/>
          <w:szCs w:val="43"/>
          <w:lang w:val="en-US" w:eastAsia="zh-CN" w:bidi="ar"/>
        </w:rPr>
        <w:t>（</w:t>
      </w:r>
      <w:r>
        <w:rPr>
          <w:rFonts w:hint="eastAsia" w:ascii="HYQiHei" w:hAnsi="HYQiHei" w:cs="HYQiHei"/>
          <w:b/>
          <w:bCs/>
          <w:color w:val="000008"/>
          <w:kern w:val="0"/>
          <w:sz w:val="43"/>
          <w:szCs w:val="43"/>
          <w:lang w:val="en-US" w:eastAsia="zh-CN" w:bidi="ar"/>
        </w:rPr>
        <w:t>预算</w:t>
      </w:r>
      <w:r>
        <w:rPr>
          <w:rFonts w:hint="eastAsia" w:ascii="HYQiHei" w:hAnsi="HYQiHei" w:eastAsia="HYQiHei" w:cs="HYQiHei"/>
          <w:b/>
          <w:bCs/>
          <w:color w:val="000008"/>
          <w:kern w:val="0"/>
          <w:sz w:val="43"/>
          <w:szCs w:val="43"/>
          <w:lang w:val="en-US" w:eastAsia="zh-CN" w:bidi="ar"/>
        </w:rPr>
        <w:t>管理员）</w:t>
      </w:r>
    </w:p>
    <w:p>
      <w:pPr>
        <w:rPr>
          <w:rFonts w:ascii="Arial" w:hAnsi="Arial" w:eastAsia="黑体" w:cs="Arial"/>
          <w:b/>
          <w:sz w:val="32"/>
        </w:rPr>
      </w:pPr>
    </w:p>
    <w:p>
      <w:pPr>
        <w:rPr>
          <w:rFonts w:ascii="Arial" w:hAnsi="Arial" w:eastAsia="黑体" w:cs="Arial"/>
          <w:b/>
          <w:sz w:val="32"/>
        </w:rPr>
      </w:pPr>
    </w:p>
    <w:p>
      <w:pPr>
        <w:tabs>
          <w:tab w:val="left" w:pos="4395"/>
        </w:tabs>
        <w:spacing w:line="1600" w:lineRule="exact"/>
        <w:jc w:val="center"/>
        <w:rPr>
          <w:rFonts w:ascii="Arial" w:hAnsi="Arial" w:eastAsia="黑体" w:cs="Arial"/>
          <w:b/>
          <w:sz w:val="72"/>
          <w:szCs w:val="72"/>
        </w:rPr>
      </w:pPr>
      <w:r>
        <w:rPr>
          <w:sz w:val="32"/>
        </w:rPr>
        <mc:AlternateContent>
          <mc:Choice Requires="wps">
            <w:drawing>
              <wp:anchor distT="0" distB="0" distL="114300" distR="114300" simplePos="0" relativeHeight="251659264" behindDoc="0" locked="0" layoutInCell="1" allowOverlap="1">
                <wp:simplePos x="0" y="0"/>
                <wp:positionH relativeFrom="column">
                  <wp:posOffset>1348740</wp:posOffset>
                </wp:positionH>
                <wp:positionV relativeFrom="paragraph">
                  <wp:posOffset>992505</wp:posOffset>
                </wp:positionV>
                <wp:extent cx="3695700" cy="895350"/>
                <wp:effectExtent l="13970" t="13970" r="24130" b="24130"/>
                <wp:wrapNone/>
                <wp:docPr id="1" name="矩形 1"/>
                <wp:cNvGraphicFramePr/>
                <a:graphic xmlns:a="http://schemas.openxmlformats.org/drawingml/2006/main">
                  <a:graphicData uri="http://schemas.microsoft.com/office/word/2010/wordprocessingShape">
                    <wps:wsp>
                      <wps:cNvSpPr/>
                      <wps:spPr>
                        <a:xfrm>
                          <a:off x="1851660" y="5703570"/>
                          <a:ext cx="3695700" cy="895350"/>
                        </a:xfrm>
                        <a:prstGeom prst="rect">
                          <a:avLst/>
                        </a:prstGeom>
                        <a:ln w="28575" cmpd="dbl">
                          <a:solidFill>
                            <a:schemeClr val="accent1">
                              <a:shade val="50000"/>
                            </a:schemeClr>
                          </a:solidFill>
                          <a:prstDash val="sysDot"/>
                        </a:ln>
                      </wps:spPr>
                      <wps:style>
                        <a:lnRef idx="2">
                          <a:schemeClr val="accent6"/>
                        </a:lnRef>
                        <a:fillRef idx="1">
                          <a:schemeClr val="lt1"/>
                        </a:fillRef>
                        <a:effectRef idx="0">
                          <a:schemeClr val="accent6"/>
                        </a:effectRef>
                        <a:fontRef idx="minor">
                          <a:schemeClr val="dk1"/>
                        </a:fontRef>
                      </wps:style>
                      <wps:txbx>
                        <w:txbxContent>
                          <w:p>
                            <w:pPr>
                              <w:keepNext w:val="0"/>
                              <w:keepLines w:val="0"/>
                              <w:widowControl/>
                              <w:suppressLineNumbers w:val="0"/>
                              <w:spacing w:line="360" w:lineRule="auto"/>
                              <w:jc w:val="center"/>
                            </w:pPr>
                            <w:r>
                              <w:rPr>
                                <w:rFonts w:ascii="PingFang SC" w:hAnsi="PingFang SC" w:eastAsia="PingFang SC" w:cs="PingFang SC"/>
                                <w:b/>
                                <w:bCs/>
                                <w:color w:val="000000"/>
                                <w:kern w:val="0"/>
                                <w:sz w:val="28"/>
                                <w:szCs w:val="28"/>
                                <w:lang w:val="en-US" w:eastAsia="zh-CN" w:bidi="ar"/>
                              </w:rPr>
                              <w:t>中国航空工业集团有限公司版权所有</w:t>
                            </w:r>
                          </w:p>
                          <w:p>
                            <w:pPr>
                              <w:keepNext w:val="0"/>
                              <w:keepLines w:val="0"/>
                              <w:widowControl/>
                              <w:suppressLineNumbers w:val="0"/>
                              <w:spacing w:line="360" w:lineRule="auto"/>
                              <w:jc w:val="center"/>
                            </w:pPr>
                            <w:r>
                              <w:rPr>
                                <w:rFonts w:hint="default" w:ascii="PingFang SC" w:hAnsi="PingFang SC" w:eastAsia="PingFang SC" w:cs="PingFang SC"/>
                                <w:color w:val="000000"/>
                                <w:kern w:val="0"/>
                                <w:sz w:val="20"/>
                                <w:szCs w:val="20"/>
                                <w:lang w:val="en-US" w:eastAsia="zh-CN" w:bidi="ar"/>
                              </w:rPr>
                              <w:t>仅限用于</w:t>
                            </w:r>
                            <w:r>
                              <w:rPr>
                                <w:rFonts w:ascii="HYShuSongErKW" w:hAnsi="HYShuSongErKW" w:eastAsia="HYShuSongErKW" w:cs="HYShuSongErKW"/>
                                <w:color w:val="000000"/>
                                <w:kern w:val="0"/>
                                <w:sz w:val="20"/>
                                <w:szCs w:val="20"/>
                                <w:lang w:val="en-US" w:eastAsia="zh-CN" w:bidi="ar"/>
                              </w:rPr>
                              <w:t>集团公司</w:t>
                            </w:r>
                            <w:r>
                              <w:rPr>
                                <w:rFonts w:hint="default" w:ascii="PingFang SC" w:hAnsi="PingFang SC" w:eastAsia="PingFang SC" w:cs="PingFang SC"/>
                                <w:color w:val="000000"/>
                                <w:kern w:val="0"/>
                                <w:sz w:val="20"/>
                                <w:szCs w:val="20"/>
                                <w:lang w:val="en-US" w:eastAsia="zh-CN" w:bidi="ar"/>
                              </w:rPr>
                              <w:t>及所属单位进行</w:t>
                            </w:r>
                            <w:r>
                              <w:rPr>
                                <w:rFonts w:hint="eastAsia" w:ascii="PingFang SC" w:hAnsi="PingFang SC" w:eastAsia="PingFang SC" w:cs="PingFang SC"/>
                                <w:color w:val="000000"/>
                                <w:kern w:val="0"/>
                                <w:sz w:val="20"/>
                                <w:szCs w:val="20"/>
                                <w:lang w:val="en-US" w:eastAsia="zh-CN" w:bidi="ar"/>
                              </w:rPr>
                              <w:t>资金收支预算</w:t>
                            </w:r>
                            <w:r>
                              <w:rPr>
                                <w:rFonts w:hint="default" w:ascii="PingFang SC" w:hAnsi="PingFang SC" w:eastAsia="PingFang SC" w:cs="PingFang SC"/>
                                <w:color w:val="000000"/>
                                <w:kern w:val="0"/>
                                <w:sz w:val="20"/>
                                <w:szCs w:val="20"/>
                                <w:lang w:val="en-US" w:eastAsia="zh-CN" w:bidi="ar"/>
                              </w:rPr>
                              <w:t>管理参考</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6.2pt;margin-top:78.15pt;height:70.5pt;width:291pt;z-index:251659264;v-text-anchor:middle;mso-width-relative:page;mso-height-relative:page;" fillcolor="#FFFFFF [3201]" filled="t" stroked="t" coordsize="21600,21600" o:gfxdata="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C4vUo&#10;1wAAAAsBAAAPAAAAAAAAAAEAIAAAACIAAABkcnMvZG93bnJldi54bWxQSwECFAAUAAAACACHTuJA&#10;kyCdwZQCAAAtBQAADgAAAAAAAAABACAAAAAmAQAAZHJzL2Uyb0RvYy54bWxQSwUGAAAAAAYABgBZ&#10;AQAALAYAAAAA&#10;">
                <v:fill on="t" focussize="0,0"/>
                <v:stroke weight="2.25pt" color="#41719C [3204]" linestyle="thinThin" miterlimit="8" joinstyle="miter" dashstyle="1 1"/>
                <v:imagedata o:title=""/>
                <o:lock v:ext="edit" aspectratio="f"/>
                <v:textbox>
                  <w:txbxContent>
                    <w:p>
                      <w:pPr>
                        <w:keepNext w:val="0"/>
                        <w:keepLines w:val="0"/>
                        <w:widowControl/>
                        <w:suppressLineNumbers w:val="0"/>
                        <w:spacing w:line="360" w:lineRule="auto"/>
                        <w:jc w:val="center"/>
                      </w:pPr>
                      <w:r>
                        <w:rPr>
                          <w:rFonts w:ascii="PingFang SC" w:hAnsi="PingFang SC" w:eastAsia="PingFang SC" w:cs="PingFang SC"/>
                          <w:b/>
                          <w:bCs/>
                          <w:color w:val="000000"/>
                          <w:kern w:val="0"/>
                          <w:sz w:val="28"/>
                          <w:szCs w:val="28"/>
                          <w:lang w:val="en-US" w:eastAsia="zh-CN" w:bidi="ar"/>
                        </w:rPr>
                        <w:t>中国航空工业集团有限公司版权所有</w:t>
                      </w:r>
                    </w:p>
                    <w:p>
                      <w:pPr>
                        <w:keepNext w:val="0"/>
                        <w:keepLines w:val="0"/>
                        <w:widowControl/>
                        <w:suppressLineNumbers w:val="0"/>
                        <w:spacing w:line="360" w:lineRule="auto"/>
                        <w:jc w:val="center"/>
                      </w:pPr>
                      <w:r>
                        <w:rPr>
                          <w:rFonts w:hint="default" w:ascii="PingFang SC" w:hAnsi="PingFang SC" w:eastAsia="PingFang SC" w:cs="PingFang SC"/>
                          <w:color w:val="000000"/>
                          <w:kern w:val="0"/>
                          <w:sz w:val="20"/>
                          <w:szCs w:val="20"/>
                          <w:lang w:val="en-US" w:eastAsia="zh-CN" w:bidi="ar"/>
                        </w:rPr>
                        <w:t>仅限用于</w:t>
                      </w:r>
                      <w:r>
                        <w:rPr>
                          <w:rFonts w:ascii="HYShuSongErKW" w:hAnsi="HYShuSongErKW" w:eastAsia="HYShuSongErKW" w:cs="HYShuSongErKW"/>
                          <w:color w:val="000000"/>
                          <w:kern w:val="0"/>
                          <w:sz w:val="20"/>
                          <w:szCs w:val="20"/>
                          <w:lang w:val="en-US" w:eastAsia="zh-CN" w:bidi="ar"/>
                        </w:rPr>
                        <w:t>集团公司</w:t>
                      </w:r>
                      <w:r>
                        <w:rPr>
                          <w:rFonts w:hint="default" w:ascii="PingFang SC" w:hAnsi="PingFang SC" w:eastAsia="PingFang SC" w:cs="PingFang SC"/>
                          <w:color w:val="000000"/>
                          <w:kern w:val="0"/>
                          <w:sz w:val="20"/>
                          <w:szCs w:val="20"/>
                          <w:lang w:val="en-US" w:eastAsia="zh-CN" w:bidi="ar"/>
                        </w:rPr>
                        <w:t>及所属单位进行</w:t>
                      </w:r>
                      <w:r>
                        <w:rPr>
                          <w:rFonts w:hint="eastAsia" w:ascii="PingFang SC" w:hAnsi="PingFang SC" w:eastAsia="PingFang SC" w:cs="PingFang SC"/>
                          <w:color w:val="000000"/>
                          <w:kern w:val="0"/>
                          <w:sz w:val="20"/>
                          <w:szCs w:val="20"/>
                          <w:lang w:val="en-US" w:eastAsia="zh-CN" w:bidi="ar"/>
                        </w:rPr>
                        <w:t>资金收支预算</w:t>
                      </w:r>
                      <w:r>
                        <w:rPr>
                          <w:rFonts w:hint="default" w:ascii="PingFang SC" w:hAnsi="PingFang SC" w:eastAsia="PingFang SC" w:cs="PingFang SC"/>
                          <w:color w:val="000000"/>
                          <w:kern w:val="0"/>
                          <w:sz w:val="20"/>
                          <w:szCs w:val="20"/>
                          <w:lang w:val="en-US" w:eastAsia="zh-CN" w:bidi="ar"/>
                        </w:rPr>
                        <w:t>管理参考</w:t>
                      </w:r>
                    </w:p>
                  </w:txbxContent>
                </v:textbox>
              </v:rect>
            </w:pict>
          </mc:Fallback>
        </mc:AlternateContent>
      </w:r>
    </w:p>
    <w:p>
      <w:pPr>
        <w:rPr>
          <w:rFonts w:ascii="Arial" w:hAnsi="Arial" w:eastAsia="黑体" w:cs="Arial"/>
          <w:sz w:val="32"/>
          <w:szCs w:val="32"/>
        </w:rPr>
      </w:pPr>
    </w:p>
    <w:p>
      <w:pPr>
        <w:rPr>
          <w:rFonts w:ascii="Arial" w:hAnsi="Arial" w:eastAsia="黑体" w:cs="Arial"/>
          <w:sz w:val="32"/>
          <w:szCs w:val="32"/>
        </w:rPr>
      </w:pPr>
    </w:p>
    <w:p>
      <w:pPr>
        <w:rPr>
          <w:rFonts w:ascii="Arial" w:hAnsi="Arial" w:eastAsia="黑体" w:cs="Arial"/>
          <w:sz w:val="32"/>
          <w:szCs w:val="32"/>
        </w:rPr>
      </w:pPr>
    </w:p>
    <w:p>
      <w:pPr>
        <w:jc w:val="center"/>
        <w:rPr>
          <w:rFonts w:ascii="Arial" w:hAnsi="Arial" w:eastAsia="黑体" w:cs="Arial"/>
          <w:sz w:val="32"/>
          <w:szCs w:val="32"/>
        </w:rPr>
      </w:pPr>
    </w:p>
    <w:p>
      <w:pPr>
        <w:jc w:val="center"/>
        <w:rPr>
          <w:rFonts w:ascii="Arial" w:hAnsi="Arial" w:eastAsia="黑体" w:cs="Arial"/>
          <w:sz w:val="32"/>
          <w:szCs w:val="32"/>
        </w:rPr>
      </w:pPr>
    </w:p>
    <w:p>
      <w:pPr>
        <w:keepNext w:val="0"/>
        <w:keepLines w:val="0"/>
        <w:widowControl/>
        <w:suppressLineNumbers w:val="0"/>
        <w:jc w:val="center"/>
      </w:pPr>
      <w:r>
        <w:rPr>
          <w:rFonts w:ascii="Helvetica Neue" w:hAnsi="Helvetica Neue" w:eastAsia="Helvetica Neue" w:cs="Helvetica Neue"/>
          <w:color w:val="000008"/>
          <w:kern w:val="0"/>
          <w:sz w:val="31"/>
          <w:szCs w:val="31"/>
          <w:lang w:val="en-US" w:eastAsia="zh-CN" w:bidi="ar"/>
        </w:rPr>
        <w:t xml:space="preserve">2022 </w:t>
      </w:r>
      <w:r>
        <w:rPr>
          <w:rFonts w:ascii="HYShuSongErKW" w:hAnsi="HYShuSongErKW" w:eastAsia="HYShuSongErKW" w:cs="HYShuSongErKW"/>
          <w:b/>
          <w:bCs/>
          <w:color w:val="000008"/>
          <w:kern w:val="0"/>
          <w:sz w:val="31"/>
          <w:szCs w:val="31"/>
          <w:lang w:val="en-US" w:eastAsia="zh-CN" w:bidi="ar"/>
        </w:rPr>
        <w:t xml:space="preserve">年 </w:t>
      </w:r>
      <w:r>
        <w:rPr>
          <w:rFonts w:hint="eastAsia" w:ascii="HYShuSongErKW" w:hAnsi="HYShuSongErKW" w:eastAsia="HYShuSongErKW" w:cs="HYShuSongErKW"/>
          <w:b/>
          <w:bCs/>
          <w:color w:val="000008"/>
          <w:kern w:val="0"/>
          <w:sz w:val="31"/>
          <w:szCs w:val="31"/>
          <w:lang w:val="en-US" w:eastAsia="zh-CN" w:bidi="ar"/>
        </w:rPr>
        <w:t>12</w:t>
      </w:r>
      <w:r>
        <w:rPr>
          <w:rFonts w:hint="default" w:ascii="Helvetica Neue" w:hAnsi="Helvetica Neue" w:eastAsia="Helvetica Neue" w:cs="Helvetica Neue"/>
          <w:color w:val="000008"/>
          <w:kern w:val="0"/>
          <w:sz w:val="31"/>
          <w:szCs w:val="31"/>
          <w:lang w:val="en-US" w:eastAsia="zh-CN" w:bidi="ar"/>
        </w:rPr>
        <w:t xml:space="preserve"> </w:t>
      </w:r>
      <w:r>
        <w:rPr>
          <w:rFonts w:hint="default" w:ascii="HYShuSongErKW" w:hAnsi="HYShuSongErKW" w:eastAsia="HYShuSongErKW" w:cs="HYShuSongErKW"/>
          <w:b/>
          <w:bCs/>
          <w:color w:val="000008"/>
          <w:kern w:val="0"/>
          <w:sz w:val="31"/>
          <w:szCs w:val="31"/>
          <w:lang w:val="en-US" w:eastAsia="zh-CN" w:bidi="ar"/>
        </w:rPr>
        <w:t>月</w:t>
      </w:r>
    </w:p>
    <w:p>
      <w:pPr>
        <w:jc w:val="center"/>
        <w:rPr>
          <w:rFonts w:ascii="Arial" w:hAnsi="Arial" w:eastAsia="黑体" w:cs="Arial"/>
          <w:sz w:val="32"/>
          <w:szCs w:val="32"/>
        </w:rPr>
      </w:pPr>
    </w:p>
    <w:p>
      <w:pPr>
        <w:rPr>
          <w:rFonts w:ascii="Arial" w:hAnsi="Arial" w:eastAsia="黑体" w:cs="Arial"/>
          <w:sz w:val="32"/>
          <w:szCs w:val="32"/>
        </w:rPr>
      </w:pPr>
    </w:p>
    <w:p>
      <w:pPr>
        <w:rPr>
          <w:rFonts w:ascii="Arial" w:hAnsi="Arial" w:eastAsia="黑体" w:cs="Arial"/>
          <w:sz w:val="32"/>
          <w:szCs w:val="32"/>
        </w:rPr>
      </w:pPr>
    </w:p>
    <w:p>
      <w:pPr>
        <w:rPr>
          <w:rFonts w:ascii="Arial" w:hAnsi="Arial" w:eastAsia="黑体" w:cs="Arial"/>
          <w:sz w:val="32"/>
          <w:szCs w:val="32"/>
        </w:rPr>
      </w:pPr>
    </w:p>
    <w:p>
      <w:pPr>
        <w:rPr>
          <w:rFonts w:ascii="Arial" w:hAnsi="Arial" w:eastAsia="黑体" w:cs="Arial"/>
          <w:sz w:val="32"/>
          <w:szCs w:val="32"/>
        </w:rPr>
      </w:pPr>
    </w:p>
    <w:p>
      <w:pPr>
        <w:rPr>
          <w:rFonts w:ascii="Arial" w:hAnsi="Arial" w:eastAsia="黑体" w:cs="Arial"/>
          <w:sz w:val="32"/>
          <w:szCs w:val="32"/>
        </w:rPr>
      </w:pPr>
    </w:p>
    <w:p>
      <w:pPr>
        <w:rPr>
          <w:rFonts w:ascii="Arial" w:hAnsi="Arial" w:eastAsia="黑体" w:cs="Arial"/>
          <w:sz w:val="32"/>
          <w:szCs w:val="32"/>
        </w:rPr>
      </w:pPr>
    </w:p>
    <w:p>
      <w:pPr>
        <w:rPr>
          <w:rFonts w:ascii="Arial" w:hAnsi="Arial" w:eastAsia="黑体" w:cs="Arial"/>
          <w:sz w:val="32"/>
          <w:szCs w:val="32"/>
        </w:rPr>
      </w:pPr>
    </w:p>
    <w:p>
      <w:pPr>
        <w:rPr>
          <w:rFonts w:ascii="Arial" w:hAnsi="Arial" w:eastAsia="黑体" w:cs="Arial"/>
          <w:sz w:val="32"/>
          <w:szCs w:val="32"/>
        </w:rPr>
      </w:pPr>
    </w:p>
    <w:p>
      <w:pPr>
        <w:spacing w:line="240" w:lineRule="atLeast"/>
        <w:jc w:val="center"/>
        <w:rPr>
          <w:rFonts w:ascii="Arial" w:hAnsi="Arial" w:eastAsia="黑体" w:cs="Arial"/>
          <w:b/>
          <w:sz w:val="32"/>
        </w:rPr>
      </w:pPr>
    </w:p>
    <w:p>
      <w:pPr>
        <w:spacing w:line="400" w:lineRule="exact"/>
        <w:jc w:val="center"/>
        <w:rPr>
          <w:sz w:val="18"/>
          <w:szCs w:val="18"/>
        </w:rPr>
      </w:pPr>
      <w:r>
        <mc:AlternateContent>
          <mc:Choice Requires="wps">
            <w:drawing>
              <wp:anchor distT="0" distB="0" distL="114300" distR="114300" simplePos="0" relativeHeight="251661312" behindDoc="0" locked="0" layoutInCell="1" allowOverlap="1">
                <wp:simplePos x="0" y="0"/>
                <wp:positionH relativeFrom="column">
                  <wp:posOffset>59055</wp:posOffset>
                </wp:positionH>
                <wp:positionV relativeFrom="paragraph">
                  <wp:posOffset>180340</wp:posOffset>
                </wp:positionV>
                <wp:extent cx="6143625" cy="0"/>
                <wp:effectExtent l="0" t="0" r="0" b="0"/>
                <wp:wrapNone/>
                <wp:docPr id="21" name="直接连接符 21"/>
                <wp:cNvGraphicFramePr/>
                <a:graphic xmlns:a="http://schemas.openxmlformats.org/drawingml/2006/main">
                  <a:graphicData uri="http://schemas.microsoft.com/office/word/2010/wordprocessingShape">
                    <wps:wsp>
                      <wps:cNvCnPr>
                        <a:cxnSpLocks noChangeShapeType="1"/>
                      </wps:cNvCnPr>
                      <wps:spPr bwMode="auto">
                        <a:xfrm flipV="1">
                          <a:off x="0" y="0"/>
                          <a:ext cx="6143625" cy="0"/>
                        </a:xfrm>
                        <a:prstGeom prst="line">
                          <a:avLst/>
                        </a:prstGeom>
                        <a:noFill/>
                        <a:ln w="6350">
                          <a:solidFill>
                            <a:srgbClr val="000000"/>
                          </a:solidFill>
                          <a:round/>
                        </a:ln>
                      </wps:spPr>
                      <wps:bodyPr/>
                    </wps:wsp>
                  </a:graphicData>
                </a:graphic>
              </wp:anchor>
            </w:drawing>
          </mc:Choice>
          <mc:Fallback>
            <w:pict>
              <v:line id="_x0000_s1026" o:spid="_x0000_s1026" o:spt="20" style="position:absolute;left:0pt;flip:y;margin-left:4.65pt;margin-top:14.2pt;height:0pt;width:483.75pt;z-index:251661312;mso-width-relative:page;mso-height-relative:page;" filled="f" stroked="t" coordsize="21600,21600" o:gfxdata="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6&#10;kuBB2AAAAAcBAAAPAAAAAAAAAAEAIAAAACIAAABkcnMvZG93bnJldi54bWxQSwECFAAUAAAACACH&#10;TuJAkiNWVusBAAC2AwAADgAAAAAAAAABACAAAAAnAQAAZHJzL2Uyb0RvYy54bWxQSwUGAAAAAAYA&#10;BgBZAQAAhAUAAAAA&#10;">
                <v:fill on="f" focussize="0,0"/>
                <v:stroke weight="0.5pt" color="#000000"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-29845</wp:posOffset>
                </wp:positionH>
                <wp:positionV relativeFrom="paragraph">
                  <wp:posOffset>180340</wp:posOffset>
                </wp:positionV>
                <wp:extent cx="6055360" cy="0"/>
                <wp:effectExtent l="0" t="0" r="0" b="0"/>
                <wp:wrapNone/>
                <wp:docPr id="20" name="直接连接符 20"/>
                <wp:cNvGraphicFramePr/>
                <a:graphic xmlns:a="http://schemas.openxmlformats.org/drawingml/2006/main">
                  <a:graphicData uri="http://schemas.microsoft.com/office/word/2010/wordprocessingShape">
                    <wps:wsp>
                      <wps:cNvCnPr>
                        <a:cxnSpLocks noChangeShapeType="1"/>
                      </wps:cNvCnPr>
                      <wps:spPr bwMode="auto">
                        <a:xfrm flipV="1">
                          <a:off x="0" y="0"/>
                          <a:ext cx="6055360" cy="0"/>
                        </a:xfrm>
                        <a:prstGeom prst="line">
                          <a:avLst/>
                        </a:prstGeom>
                        <a:noFill/>
                        <a:ln w="6350">
                          <a:solidFill>
                            <a:srgbClr val="000000"/>
                          </a:solidFill>
                          <a:round/>
                        </a:ln>
                      </wps:spPr>
                      <wps:bodyPr/>
                    </wps:wsp>
                  </a:graphicData>
                </a:graphic>
              </wp:anchor>
            </w:drawing>
          </mc:Choice>
          <mc:Fallback>
            <w:pict>
              <v:line id="_x0000_s1026" o:spid="_x0000_s1026" o:spt="20" style="position:absolute;left:0pt;flip:y;margin-left:-2.35pt;margin-top:14.2pt;height:0pt;width:476.8pt;z-index:251660288;mso-width-relative:page;mso-height-relative:page;" filled="f" stroked="t" coordsize="21600,21600" o:gfxdata="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y&#10;eSbd2QAAAAgBAAAPAAAAAAAAAAEAIAAAACIAAABkcnMvZG93bnJldi54bWxQSwECFAAUAAAACACH&#10;TuJAM6jf0eoBAAC2AwAADgAAAAAAAAABACAAAAAoAQAAZHJzL2Uyb0RvYy54bWxQSwUGAAAAAAYA&#10;BgBZAQAAhAUAAAAA&#10;">
                <v:fill on="f" focussize="0,0"/>
                <v:stroke weight="0.5pt" color="#000000" joinstyle="round"/>
                <v:imagedata o:title=""/>
                <o:lock v:ext="edit" aspectratio="f"/>
              </v:line>
            </w:pict>
          </mc:Fallback>
        </mc:AlternateContent>
      </w:r>
      <w:r>
        <w:rPr>
          <w:b/>
          <w:bCs/>
          <w:sz w:val="32"/>
          <w:szCs w:val="32"/>
        </w:rPr>
        <w:br w:type="page"/>
      </w:r>
      <w:bookmarkStart w:id="2" w:name="OLE_LINK4"/>
      <w:bookmarkStart w:id="3" w:name="OLE_LINK3"/>
    </w:p>
    <w:bookmarkEnd w:id="2"/>
    <w:bookmarkEnd w:id="3"/>
    <w:p>
      <w:pPr>
        <w:jc w:val="center"/>
        <w:rPr>
          <w:rFonts w:ascii="黑体" w:hAnsi="黑体" w:eastAsia="黑体"/>
          <w:b/>
          <w:sz w:val="44"/>
          <w:szCs w:val="44"/>
        </w:rPr>
      </w:pPr>
      <w:r>
        <w:rPr>
          <w:rFonts w:hint="eastAsia" w:ascii="黑体" w:hAnsi="黑体" w:eastAsia="黑体"/>
          <w:b/>
          <w:sz w:val="44"/>
          <w:szCs w:val="44"/>
        </w:rPr>
        <w:t>目录</w:t>
      </w:r>
    </w:p>
    <w:p>
      <w:pPr>
        <w:ind w:firstLine="542" w:firstLineChars="300"/>
        <w:jc w:val="center"/>
        <w:rPr>
          <w:rFonts w:ascii="黑体" w:hAnsi="黑体" w:eastAsia="黑体"/>
          <w:b/>
          <w:sz w:val="18"/>
          <w:szCs w:val="18"/>
        </w:rPr>
      </w:pPr>
    </w:p>
    <w:p>
      <w:pPr>
        <w:ind w:firstLine="542" w:firstLineChars="300"/>
        <w:jc w:val="center"/>
        <w:rPr>
          <w:rFonts w:ascii="黑体" w:hAnsi="黑体" w:eastAsia="黑体"/>
          <w:b/>
          <w:sz w:val="18"/>
          <w:szCs w:val="18"/>
        </w:rPr>
      </w:pPr>
    </w:p>
    <w:p>
      <w:pPr>
        <w:spacing w:line="360" w:lineRule="auto"/>
        <w:ind w:firstLine="542" w:firstLineChars="300"/>
        <w:jc w:val="center"/>
        <w:rPr>
          <w:rFonts w:ascii="黑体" w:hAnsi="黑体" w:eastAsia="黑体"/>
          <w:b/>
          <w:sz w:val="18"/>
          <w:szCs w:val="18"/>
        </w:rPr>
      </w:pPr>
    </w:p>
    <w:p>
      <w:pPr>
        <w:pStyle w:val="18"/>
        <w:tabs>
          <w:tab w:val="right" w:leader="dot" w:pos="9753"/>
        </w:tabs>
      </w:pPr>
      <w:r>
        <w:rPr>
          <w:rFonts w:ascii="Arial" w:hAnsi="Arial" w:cs="Arial"/>
          <w:b/>
          <w:sz w:val="24"/>
          <w:szCs w:val="24"/>
        </w:rPr>
        <w:fldChar w:fldCharType="begin"/>
      </w:r>
      <w:r>
        <w:rPr>
          <w:rFonts w:ascii="Arial" w:hAnsi="Arial" w:cs="Arial"/>
          <w:b/>
          <w:sz w:val="24"/>
          <w:szCs w:val="24"/>
        </w:rPr>
        <w:instrText xml:space="preserve"> TOC \o "1-2" \h \z \u </w:instrText>
      </w:r>
      <w:r>
        <w:rPr>
          <w:rFonts w:ascii="Arial" w:hAnsi="Arial" w:cs="Arial"/>
          <w:b/>
          <w:sz w:val="24"/>
          <w:szCs w:val="24"/>
        </w:rPr>
        <w:fldChar w:fldCharType="separate"/>
      </w:r>
      <w:r>
        <w:rPr>
          <w:rFonts w:ascii="Arial" w:hAnsi="Arial" w:cs="Arial"/>
          <w:szCs w:val="24"/>
        </w:rPr>
        <w:fldChar w:fldCharType="begin"/>
      </w:r>
      <w:r>
        <w:rPr>
          <w:rFonts w:ascii="Arial" w:hAnsi="Arial" w:cs="Arial"/>
          <w:szCs w:val="24"/>
        </w:rPr>
        <w:instrText xml:space="preserve"> HYPERLINK \l _Toc19479 </w:instrText>
      </w:r>
      <w:r>
        <w:rPr>
          <w:rFonts w:ascii="Arial" w:hAnsi="Arial" w:cs="Arial"/>
          <w:szCs w:val="24"/>
        </w:rPr>
        <w:fldChar w:fldCharType="separate"/>
      </w:r>
      <w:r>
        <w:rPr>
          <w:rFonts w:hint="eastAsia" w:ascii="Arial" w:hAnsi="Arial" w:cs="Arial"/>
        </w:rPr>
        <w:t>一、 系统概述</w:t>
      </w:r>
      <w:r>
        <w:tab/>
      </w:r>
      <w:r>
        <w:fldChar w:fldCharType="begin"/>
      </w:r>
      <w:r>
        <w:instrText xml:space="preserve"> PAGEREF _Toc19479 \h </w:instrText>
      </w:r>
      <w:r>
        <w:fldChar w:fldCharType="separate"/>
      </w:r>
      <w:r>
        <w:t>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_Toc28153 </w:instrText>
      </w:r>
      <w:r>
        <w:rPr>
          <w:rFonts w:ascii="Arial" w:hAnsi="Arial" w:cs="Arial"/>
          <w:szCs w:val="24"/>
        </w:rPr>
        <w:fldChar w:fldCharType="separate"/>
      </w:r>
      <w:r>
        <w:rPr>
          <w:rFonts w:hint="default"/>
        </w:rPr>
        <w:t xml:space="preserve">1.1 </w:t>
      </w:r>
      <w:r>
        <w:rPr>
          <w:rFonts w:hint="eastAsia"/>
        </w:rPr>
        <w:t>系统介绍</w:t>
      </w:r>
      <w:r>
        <w:tab/>
      </w:r>
      <w:r>
        <w:fldChar w:fldCharType="begin"/>
      </w:r>
      <w:r>
        <w:instrText xml:space="preserve"> PAGEREF _Toc28153 \h </w:instrText>
      </w:r>
      <w:r>
        <w:fldChar w:fldCharType="separate"/>
      </w:r>
      <w:r>
        <w:t>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_Toc30721 </w:instrText>
      </w:r>
      <w:r>
        <w:rPr>
          <w:rFonts w:ascii="Arial" w:hAnsi="Arial" w:cs="Arial"/>
          <w:szCs w:val="24"/>
        </w:rPr>
        <w:fldChar w:fldCharType="separate"/>
      </w:r>
      <w:r>
        <w:rPr>
          <w:rFonts w:hint="default"/>
        </w:rPr>
        <w:t xml:space="preserve">1.2 </w:t>
      </w:r>
      <w:r>
        <w:rPr>
          <w:rFonts w:hint="eastAsia"/>
        </w:rPr>
        <w:t>软硬件环境</w:t>
      </w:r>
      <w:r>
        <w:tab/>
      </w:r>
      <w:r>
        <w:fldChar w:fldCharType="begin"/>
      </w:r>
      <w:r>
        <w:instrText xml:space="preserve"> PAGEREF _Toc30721 \h </w:instrText>
      </w:r>
      <w:r>
        <w:fldChar w:fldCharType="separate"/>
      </w:r>
      <w:r>
        <w:t>4</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_Toc3730 </w:instrText>
      </w:r>
      <w:r>
        <w:rPr>
          <w:rFonts w:ascii="Arial" w:hAnsi="Arial" w:cs="Arial"/>
          <w:szCs w:val="24"/>
        </w:rPr>
        <w:fldChar w:fldCharType="separate"/>
      </w:r>
      <w:r>
        <w:rPr>
          <w:rFonts w:hint="eastAsia" w:ascii="Arial" w:hAnsi="Arial" w:cs="Arial"/>
        </w:rPr>
        <w:t>二、 系统</w:t>
      </w:r>
      <w:r>
        <w:rPr>
          <w:rFonts w:hint="eastAsia" w:ascii="Arial" w:hAnsi="Arial" w:cs="Arial"/>
          <w:lang w:eastAsia="zh-CN"/>
        </w:rPr>
        <w:t>登录</w:t>
      </w:r>
      <w:r>
        <w:tab/>
      </w:r>
      <w:r>
        <w:fldChar w:fldCharType="begin"/>
      </w:r>
      <w:r>
        <w:instrText xml:space="preserve"> PAGEREF _Toc3730 \h </w:instrText>
      </w:r>
      <w:r>
        <w:fldChar w:fldCharType="separate"/>
      </w:r>
      <w:r>
        <w:t>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_Toc25045 </w:instrText>
      </w:r>
      <w:r>
        <w:rPr>
          <w:rFonts w:ascii="Arial" w:hAnsi="Arial" w:cs="Arial"/>
          <w:szCs w:val="24"/>
        </w:rPr>
        <w:fldChar w:fldCharType="separate"/>
      </w:r>
      <w:r>
        <w:rPr>
          <w:rFonts w:hint="default"/>
        </w:rPr>
        <w:t xml:space="preserve">2.1 </w:t>
      </w:r>
      <w:r>
        <w:rPr>
          <w:rFonts w:hint="eastAsia"/>
          <w:lang w:eastAsia="zh-CN"/>
        </w:rPr>
        <w:t>登录地址</w:t>
      </w:r>
      <w:r>
        <w:tab/>
      </w:r>
      <w:r>
        <w:fldChar w:fldCharType="begin"/>
      </w:r>
      <w:r>
        <w:instrText xml:space="preserve"> PAGEREF _Toc25045 \h </w:instrText>
      </w:r>
      <w:r>
        <w:fldChar w:fldCharType="separate"/>
      </w:r>
      <w:r>
        <w:t>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_Toc17497 </w:instrText>
      </w:r>
      <w:r>
        <w:rPr>
          <w:rFonts w:ascii="Arial" w:hAnsi="Arial" w:cs="Arial"/>
          <w:szCs w:val="24"/>
        </w:rPr>
        <w:fldChar w:fldCharType="separate"/>
      </w:r>
      <w:r>
        <w:rPr>
          <w:rFonts w:hint="default"/>
        </w:rPr>
        <w:t xml:space="preserve">2.2 </w:t>
      </w:r>
      <w:r>
        <w:rPr>
          <w:rFonts w:hint="eastAsia"/>
          <w:lang w:eastAsia="zh-CN"/>
        </w:rPr>
        <w:t>登录首页</w:t>
      </w:r>
      <w:r>
        <w:tab/>
      </w:r>
      <w:r>
        <w:fldChar w:fldCharType="begin"/>
      </w:r>
      <w:r>
        <w:instrText xml:space="preserve"> PAGEREF _Toc17497 \h </w:instrText>
      </w:r>
      <w:r>
        <w:fldChar w:fldCharType="separate"/>
      </w:r>
      <w:r>
        <w:t>5</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_Toc25686 </w:instrText>
      </w:r>
      <w:r>
        <w:rPr>
          <w:rFonts w:ascii="Arial" w:hAnsi="Arial" w:cs="Arial"/>
          <w:szCs w:val="24"/>
        </w:rPr>
        <w:fldChar w:fldCharType="separate"/>
      </w:r>
      <w:r>
        <w:rPr>
          <w:rFonts w:hint="eastAsia" w:ascii="Arial" w:hAnsi="Arial" w:cs="Arial"/>
        </w:rPr>
        <w:t>三、 通用功能</w:t>
      </w:r>
      <w:r>
        <w:tab/>
      </w:r>
      <w:r>
        <w:fldChar w:fldCharType="begin"/>
      </w:r>
      <w:r>
        <w:instrText xml:space="preserve"> PAGEREF _Toc25686 \h </w:instrText>
      </w:r>
      <w:r>
        <w:fldChar w:fldCharType="separate"/>
      </w:r>
      <w:r>
        <w:t>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_Toc22639 </w:instrText>
      </w:r>
      <w:r>
        <w:rPr>
          <w:rFonts w:ascii="Arial" w:hAnsi="Arial" w:cs="Arial"/>
          <w:szCs w:val="24"/>
        </w:rPr>
        <w:fldChar w:fldCharType="separate"/>
      </w:r>
      <w:r>
        <w:rPr>
          <w:rFonts w:hint="default"/>
          <w:bCs/>
          <w:lang w:val="en-US" w:eastAsia="zh-CN"/>
        </w:rPr>
        <w:t xml:space="preserve">3.1 </w:t>
      </w:r>
      <w:r>
        <w:rPr>
          <w:rFonts w:hint="eastAsia"/>
          <w:bCs/>
          <w:lang w:val="en-US" w:eastAsia="zh-CN"/>
        </w:rPr>
        <w:t>页面风格</w:t>
      </w:r>
      <w:r>
        <w:tab/>
      </w:r>
      <w:r>
        <w:fldChar w:fldCharType="begin"/>
      </w:r>
      <w:r>
        <w:instrText xml:space="preserve"> PAGEREF _Toc22639 \h </w:instrText>
      </w:r>
      <w:r>
        <w:fldChar w:fldCharType="separate"/>
      </w:r>
      <w:r>
        <w:t>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_Toc16359 </w:instrText>
      </w:r>
      <w:r>
        <w:rPr>
          <w:rFonts w:ascii="Arial" w:hAnsi="Arial" w:cs="Arial"/>
          <w:szCs w:val="24"/>
        </w:rPr>
        <w:fldChar w:fldCharType="separate"/>
      </w:r>
      <w:r>
        <w:rPr>
          <w:rFonts w:hint="default"/>
          <w:lang w:val="en-US" w:eastAsia="zh-CN"/>
        </w:rPr>
        <w:t xml:space="preserve">3.2 </w:t>
      </w:r>
      <w:r>
        <w:rPr>
          <w:rFonts w:hint="eastAsia"/>
          <w:lang w:val="en-US" w:eastAsia="zh-CN"/>
        </w:rPr>
        <w:t>通用按钮约定</w:t>
      </w:r>
      <w:r>
        <w:tab/>
      </w:r>
      <w:r>
        <w:fldChar w:fldCharType="begin"/>
      </w:r>
      <w:r>
        <w:instrText xml:space="preserve"> PAGEREF _Toc16359 \h </w:instrText>
      </w:r>
      <w:r>
        <w:fldChar w:fldCharType="separate"/>
      </w:r>
      <w:r>
        <w:t>8</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_Toc15975 </w:instrText>
      </w:r>
      <w:r>
        <w:rPr>
          <w:rFonts w:ascii="Arial" w:hAnsi="Arial" w:cs="Arial"/>
          <w:szCs w:val="24"/>
        </w:rPr>
        <w:fldChar w:fldCharType="separate"/>
      </w:r>
      <w:r>
        <w:rPr>
          <w:rFonts w:hint="eastAsia" w:ascii="Arial" w:hAnsi="Arial" w:cs="Arial"/>
        </w:rPr>
        <w:t xml:space="preserve">四、 </w:t>
      </w:r>
      <w:r>
        <w:rPr>
          <w:rFonts w:hint="eastAsia" w:ascii="Arial" w:hAnsi="Arial" w:cs="Arial"/>
          <w:lang w:val="en-US" w:eastAsia="zh-CN"/>
        </w:rPr>
        <w:t>常见业务场景及操作步骤</w:t>
      </w:r>
      <w:r>
        <w:tab/>
      </w:r>
      <w:r>
        <w:fldChar w:fldCharType="begin"/>
      </w:r>
      <w:r>
        <w:instrText xml:space="preserve"> PAGEREF _Toc15975 \h </w:instrText>
      </w:r>
      <w:r>
        <w:fldChar w:fldCharType="separate"/>
      </w:r>
      <w:r>
        <w:t>8</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_Toc25501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一、 如何</w:t>
      </w:r>
      <w:r>
        <w:rPr>
          <w:rFonts w:hint="eastAsia" w:ascii="Arial" w:cs="Times New Roman"/>
          <w:kern w:val="2"/>
          <w:szCs w:val="24"/>
          <w:lang w:val="en-US" w:eastAsia="zh-CN" w:bidi="ar-SA"/>
        </w:rPr>
        <w:t>配置预算体系设置</w:t>
      </w:r>
      <w:r>
        <w:tab/>
      </w:r>
      <w:r>
        <w:fldChar w:fldCharType="begin"/>
      </w:r>
      <w:r>
        <w:instrText xml:space="preserve"> PAGEREF _Toc25501 \h </w:instrText>
      </w:r>
      <w:r>
        <w:fldChar w:fldCharType="separate"/>
      </w:r>
      <w:r>
        <w:t>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_Toc5004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_Toc5004 \h </w:instrText>
      </w:r>
      <w:r>
        <w:fldChar w:fldCharType="separate"/>
      </w:r>
      <w:r>
        <w:t>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_Toc24570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_Toc24570 \h </w:instrText>
      </w:r>
      <w:r>
        <w:fldChar w:fldCharType="separate"/>
      </w:r>
      <w:r>
        <w:t>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_Toc30003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_Toc30003 \h </w:instrText>
      </w:r>
      <w:r>
        <w:fldChar w:fldCharType="separate"/>
      </w:r>
      <w:r>
        <w:t>9</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_Toc22642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二、 如何</w:t>
      </w:r>
      <w:r>
        <w:rPr>
          <w:rFonts w:hint="eastAsia" w:ascii="Arial" w:cs="Times New Roman"/>
          <w:kern w:val="2"/>
          <w:szCs w:val="24"/>
          <w:lang w:val="en-US" w:eastAsia="zh-CN" w:bidi="ar-SA"/>
        </w:rPr>
        <w:t>配置组织机构个性化设置</w:t>
      </w:r>
      <w:r>
        <w:tab/>
      </w:r>
      <w:r>
        <w:fldChar w:fldCharType="begin"/>
      </w:r>
      <w:r>
        <w:instrText xml:space="preserve"> PAGEREF _Toc22642 \h </w:instrText>
      </w:r>
      <w:r>
        <w:fldChar w:fldCharType="separate"/>
      </w:r>
      <w:r>
        <w:t>10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_Toc20132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_Toc20132 \h </w:instrText>
      </w:r>
      <w:r>
        <w:fldChar w:fldCharType="separate"/>
      </w:r>
      <w:r>
        <w:t>10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_Toc12843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_Toc12843 \h </w:instrText>
      </w:r>
      <w:r>
        <w:fldChar w:fldCharType="separate"/>
      </w:r>
      <w:r>
        <w:t>10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_Toc878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4． 操作步骤</w:t>
      </w:r>
      <w:r>
        <w:tab/>
      </w:r>
      <w:r>
        <w:fldChar w:fldCharType="begin"/>
      </w:r>
      <w:r>
        <w:instrText xml:space="preserve"> PAGEREF _Toc878 \h </w:instrText>
      </w:r>
      <w:r>
        <w:fldChar w:fldCharType="separate"/>
      </w:r>
      <w:r>
        <w:t>10</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_Toc29072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三、 如何</w:t>
      </w:r>
      <w:r>
        <w:rPr>
          <w:rFonts w:hint="eastAsia" w:ascii="Arial" w:cs="Times New Roman"/>
          <w:kern w:val="2"/>
          <w:szCs w:val="24"/>
          <w:lang w:val="en-US" w:eastAsia="zh-CN" w:bidi="ar-SA"/>
        </w:rPr>
        <w:t>配置预算周期设置</w:t>
      </w:r>
      <w:r>
        <w:tab/>
      </w:r>
      <w:r>
        <w:fldChar w:fldCharType="begin"/>
      </w:r>
      <w:r>
        <w:instrText xml:space="preserve"> PAGEREF _Toc29072 \h </w:instrText>
      </w:r>
      <w:r>
        <w:fldChar w:fldCharType="separate"/>
      </w:r>
      <w:r>
        <w:t>11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_Toc16661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_Toc16661 \h </w:instrText>
      </w:r>
      <w:r>
        <w:fldChar w:fldCharType="separate"/>
      </w:r>
      <w:r>
        <w:t>11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_Toc1460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_Toc1460 \h </w:instrText>
      </w:r>
      <w:r>
        <w:fldChar w:fldCharType="separate"/>
      </w:r>
      <w:r>
        <w:t>11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_Toc23423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_Toc23423 \h </w:instrText>
      </w:r>
      <w:r>
        <w:fldChar w:fldCharType="separate"/>
      </w:r>
      <w:r>
        <w:t>11</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_Toc30615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四、 </w:t>
      </w:r>
      <w:r>
        <w:rPr>
          <w:rFonts w:hint="eastAsia" w:ascii="Arial" w:cs="Times New Roman"/>
          <w:kern w:val="2"/>
          <w:szCs w:val="24"/>
          <w:lang w:val="en-US" w:eastAsia="zh-CN" w:bidi="ar-SA"/>
        </w:rPr>
        <w:t>如何配置周期区间设置</w:t>
      </w:r>
      <w:r>
        <w:tab/>
      </w:r>
      <w:r>
        <w:fldChar w:fldCharType="begin"/>
      </w:r>
      <w:r>
        <w:instrText xml:space="preserve"> PAGEREF _Toc30615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_Toc29074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_Toc29074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_Toc25803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_Toc25803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_Toc17364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_Toc17364 \h </w:instrText>
      </w:r>
      <w:r>
        <w:fldChar w:fldCharType="separate"/>
      </w:r>
      <w:r>
        <w:t>13</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_Toc10253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五、 如何</w:t>
      </w:r>
      <w:r>
        <w:rPr>
          <w:rFonts w:hint="eastAsia" w:ascii="Arial" w:cs="Times New Roman"/>
          <w:kern w:val="2"/>
          <w:szCs w:val="24"/>
          <w:lang w:val="en-US" w:eastAsia="zh-CN" w:bidi="ar-SA"/>
        </w:rPr>
        <w:t>配置预算总模板设置</w:t>
      </w:r>
      <w:r>
        <w:tab/>
      </w:r>
      <w:r>
        <w:fldChar w:fldCharType="begin"/>
      </w:r>
      <w:r>
        <w:instrText xml:space="preserve"> PAGEREF _Toc10253 \h </w:instrText>
      </w:r>
      <w:r>
        <w:fldChar w:fldCharType="separate"/>
      </w:r>
      <w:r>
        <w:t>14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_Toc13592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_Toc13592 \h </w:instrText>
      </w:r>
      <w:r>
        <w:fldChar w:fldCharType="separate"/>
      </w:r>
      <w:r>
        <w:t>14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_Toc26567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_Toc26567 \h </w:instrText>
      </w:r>
      <w:r>
        <w:fldChar w:fldCharType="separate"/>
      </w:r>
      <w:r>
        <w:t>15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_Toc28022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_Toc28022 \h </w:instrText>
      </w:r>
      <w:r>
        <w:fldChar w:fldCharType="separate"/>
      </w:r>
      <w:r>
        <w:t>15</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_Toc16802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六、 如何</w:t>
      </w:r>
      <w:r>
        <w:rPr>
          <w:rFonts w:hint="eastAsia" w:ascii="Arial" w:cs="Times New Roman"/>
          <w:kern w:val="2"/>
          <w:szCs w:val="24"/>
          <w:lang w:val="en-US" w:eastAsia="zh-CN" w:bidi="ar-SA"/>
        </w:rPr>
        <w:t>配置预算子模板设置</w:t>
      </w:r>
      <w:r>
        <w:tab/>
      </w:r>
      <w:r>
        <w:fldChar w:fldCharType="begin"/>
      </w:r>
      <w:r>
        <w:instrText xml:space="preserve"> PAGEREF _Toc16802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_Toc6691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_Toc6691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_Toc17285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_Toc17285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_Toc22753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_Toc22753 \h </w:instrText>
      </w:r>
      <w:r>
        <w:fldChar w:fldCharType="separate"/>
      </w:r>
      <w:r>
        <w:t>16</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_Toc9656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七、 如何</w:t>
      </w:r>
      <w:r>
        <w:rPr>
          <w:rFonts w:hint="eastAsia" w:ascii="Arial" w:cs="Times New Roman"/>
          <w:kern w:val="2"/>
          <w:szCs w:val="24"/>
          <w:lang w:val="en-US" w:eastAsia="zh-CN" w:bidi="ar-SA"/>
        </w:rPr>
        <w:t>配置最迟上报时间设置</w:t>
      </w:r>
      <w:r>
        <w:tab/>
      </w:r>
      <w:r>
        <w:fldChar w:fldCharType="begin"/>
      </w:r>
      <w:r>
        <w:instrText xml:space="preserve"> PAGEREF _Toc9656 \h </w:instrText>
      </w:r>
      <w:r>
        <w:fldChar w:fldCharType="separate"/>
      </w:r>
      <w:r>
        <w:t>17</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_Toc5153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_Toc5153 \h </w:instrText>
      </w:r>
      <w:r>
        <w:fldChar w:fldCharType="separate"/>
      </w:r>
      <w:r>
        <w:t>17</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_Toc5898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_Toc5898 \h </w:instrText>
      </w:r>
      <w:r>
        <w:fldChar w:fldCharType="separate"/>
      </w:r>
      <w:r>
        <w:t>17</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_Toc32018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_Toc32018 \h </w:instrText>
      </w:r>
      <w:r>
        <w:fldChar w:fldCharType="separate"/>
      </w:r>
      <w:r>
        <w:t>17</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_Toc13090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八、 如何</w:t>
      </w:r>
      <w:r>
        <w:rPr>
          <w:rFonts w:hint="eastAsia" w:ascii="Arial" w:cs="Times New Roman"/>
          <w:kern w:val="2"/>
          <w:szCs w:val="24"/>
          <w:lang w:val="en-US" w:eastAsia="zh-CN" w:bidi="ar-SA"/>
        </w:rPr>
        <w:t>配置预算项目分配设置</w:t>
      </w:r>
      <w:r>
        <w:tab/>
      </w:r>
      <w:r>
        <w:fldChar w:fldCharType="begin"/>
      </w:r>
      <w:r>
        <w:instrText xml:space="preserve"> PAGEREF _Toc13090 \h </w:instrText>
      </w:r>
      <w:r>
        <w:fldChar w:fldCharType="separate"/>
      </w:r>
      <w:r>
        <w:t>18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_Toc31527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_Toc31527 \h </w:instrText>
      </w:r>
      <w:r>
        <w:fldChar w:fldCharType="separate"/>
      </w:r>
      <w:r>
        <w:t>18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_Toc15465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_Toc15465 \h </w:instrText>
      </w:r>
      <w:r>
        <w:fldChar w:fldCharType="separate"/>
      </w:r>
      <w:r>
        <w:t>19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_Toc25825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_Toc25825 \h </w:instrText>
      </w:r>
      <w:r>
        <w:fldChar w:fldCharType="separate"/>
      </w:r>
      <w:r>
        <w:t>19</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_Toc15916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九、 如何</w:t>
      </w:r>
      <w:r>
        <w:rPr>
          <w:rFonts w:hint="eastAsia" w:ascii="Arial" w:cs="Times New Roman"/>
          <w:kern w:val="2"/>
          <w:szCs w:val="24"/>
          <w:lang w:val="en-US" w:eastAsia="zh-CN" w:bidi="ar-SA"/>
        </w:rPr>
        <w:t>配置预算控制规则设置</w:t>
      </w:r>
      <w:r>
        <w:tab/>
      </w:r>
      <w:r>
        <w:fldChar w:fldCharType="begin"/>
      </w:r>
      <w:r>
        <w:instrText xml:space="preserve"> PAGEREF _Toc15916 \h </w:instrText>
      </w:r>
      <w:r>
        <w:fldChar w:fldCharType="separate"/>
      </w:r>
      <w:r>
        <w:t>20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_Toc13283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_Toc13283 \h </w:instrText>
      </w:r>
      <w:r>
        <w:fldChar w:fldCharType="separate"/>
      </w:r>
      <w:r>
        <w:t>20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_Toc8423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_Toc8423 \h </w:instrText>
      </w:r>
      <w:r>
        <w:fldChar w:fldCharType="separate"/>
      </w:r>
      <w:r>
        <w:t>20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_Toc13969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_Toc13969 \h </w:instrText>
      </w:r>
      <w:r>
        <w:fldChar w:fldCharType="separate"/>
      </w:r>
      <w:r>
        <w:t>20</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_Toc18908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十、 如何</w:t>
      </w:r>
      <w:r>
        <w:rPr>
          <w:rFonts w:hint="eastAsia" w:ascii="Arial" w:cs="Times New Roman"/>
          <w:kern w:val="2"/>
          <w:szCs w:val="24"/>
          <w:lang w:val="en-US" w:eastAsia="zh-CN" w:bidi="ar-SA"/>
        </w:rPr>
        <w:t>配置预算控制开关设置</w:t>
      </w:r>
      <w:r>
        <w:tab/>
      </w:r>
      <w:r>
        <w:fldChar w:fldCharType="begin"/>
      </w:r>
      <w:r>
        <w:instrText xml:space="preserve"> PAGEREF _Toc18908 \h </w:instrText>
      </w:r>
      <w:r>
        <w:fldChar w:fldCharType="separate"/>
      </w:r>
      <w:r>
        <w:t>21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_Toc5074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_Toc5074 \h </w:instrText>
      </w:r>
      <w:r>
        <w:fldChar w:fldCharType="separate"/>
      </w:r>
      <w:r>
        <w:t>21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_Toc26718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_Toc26718 \h </w:instrText>
      </w:r>
      <w:r>
        <w:fldChar w:fldCharType="separate"/>
      </w:r>
      <w:r>
        <w:t>21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_Toc22950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_Toc22950 \h </w:instrText>
      </w:r>
      <w:r>
        <w:fldChar w:fldCharType="separate"/>
      </w:r>
      <w:r>
        <w:t>21</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_Toc26232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十一、 如何</w:t>
      </w:r>
      <w:r>
        <w:rPr>
          <w:rFonts w:hint="eastAsia" w:ascii="Arial" w:cs="Times New Roman"/>
          <w:kern w:val="2"/>
          <w:szCs w:val="24"/>
          <w:lang w:val="en-US" w:eastAsia="zh-CN" w:bidi="ar-SA"/>
        </w:rPr>
        <w:t>配置年预算更新开关设置</w:t>
      </w:r>
      <w:r>
        <w:tab/>
      </w:r>
      <w:r>
        <w:fldChar w:fldCharType="begin"/>
      </w:r>
      <w:r>
        <w:instrText xml:space="preserve"> PAGEREF _Toc26232 \h </w:instrText>
      </w:r>
      <w:r>
        <w:fldChar w:fldCharType="separate"/>
      </w:r>
      <w:r>
        <w:t>22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_Toc21938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_Toc21938 \h </w:instrText>
      </w:r>
      <w:r>
        <w:fldChar w:fldCharType="separate"/>
      </w:r>
      <w:r>
        <w:t>22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_Toc24543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_Toc24543 \h </w:instrText>
      </w:r>
      <w:r>
        <w:fldChar w:fldCharType="separate"/>
      </w:r>
      <w:r>
        <w:t>23</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_Toc12022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_Toc12022 \h </w:instrText>
      </w:r>
      <w:r>
        <w:fldChar w:fldCharType="separate"/>
      </w:r>
      <w:r>
        <w:t>23</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_Toc22856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十二、 </w:t>
      </w:r>
      <w:r>
        <w:rPr>
          <w:rFonts w:hint="eastAsia" w:ascii="Arial" w:hAnsi="Times New Roman" w:eastAsia="宋体" w:cs="Times New Roman"/>
          <w:kern w:val="2"/>
          <w:szCs w:val="24"/>
          <w:highlight w:val="none"/>
          <w:lang w:val="en-US" w:eastAsia="zh-CN" w:bidi="ar-SA"/>
        </w:rPr>
        <w:t>如何</w:t>
      </w:r>
      <w:r>
        <w:rPr>
          <w:rFonts w:hint="eastAsia" w:ascii="Arial" w:cs="Times New Roman"/>
          <w:kern w:val="2"/>
          <w:szCs w:val="24"/>
          <w:highlight w:val="none"/>
          <w:lang w:val="en-US" w:eastAsia="zh-CN" w:bidi="ar-SA"/>
        </w:rPr>
        <w:t>配置评价标准设置</w:t>
      </w:r>
      <w:r>
        <w:tab/>
      </w:r>
      <w:r>
        <w:fldChar w:fldCharType="begin"/>
      </w:r>
      <w:r>
        <w:instrText xml:space="preserve"> PAGEREF _Toc22856 \h </w:instrText>
      </w:r>
      <w:r>
        <w:fldChar w:fldCharType="separate"/>
      </w:r>
      <w:r>
        <w:t>23</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_Toc12859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_Toc12859 \h </w:instrText>
      </w:r>
      <w:r>
        <w:fldChar w:fldCharType="separate"/>
      </w:r>
      <w:r>
        <w:t>23</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_Toc923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菜单路径</w:t>
      </w:r>
      <w:r>
        <w:tab/>
      </w:r>
      <w:r>
        <w:fldChar w:fldCharType="begin"/>
      </w:r>
      <w:r>
        <w:instrText xml:space="preserve"> PAGEREF _Toc923 \h </w:instrText>
      </w:r>
      <w:r>
        <w:fldChar w:fldCharType="separate"/>
      </w:r>
      <w:r>
        <w:t>24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_Toc3843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操作步骤</w:t>
      </w:r>
      <w:r>
        <w:tab/>
      </w:r>
      <w:r>
        <w:fldChar w:fldCharType="begin"/>
      </w:r>
      <w:r>
        <w:instrText xml:space="preserve"> PAGEREF _Toc3843 \h </w:instrText>
      </w:r>
      <w:r>
        <w:fldChar w:fldCharType="separate"/>
      </w:r>
      <w:r>
        <w:t>24</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_Toc29085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十三、 如何查询业务数据</w:t>
      </w:r>
      <w:r>
        <w:tab/>
      </w:r>
      <w:r>
        <w:fldChar w:fldCharType="begin"/>
      </w:r>
      <w:r>
        <w:instrText xml:space="preserve"> PAGEREF _Toc29085 \h </w:instrText>
      </w:r>
      <w:r>
        <w:fldChar w:fldCharType="separate"/>
      </w:r>
      <w:r>
        <w:t>25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_Toc28938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_Toc28938 \h </w:instrText>
      </w:r>
      <w:r>
        <w:fldChar w:fldCharType="separate"/>
      </w:r>
      <w:r>
        <w:t>25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_Toc7172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_Toc7172 \h </w:instrText>
      </w:r>
      <w:r>
        <w:fldChar w:fldCharType="separate"/>
      </w:r>
      <w:r>
        <w:t>25</w:t>
      </w:r>
      <w:r>
        <w:fldChar w:fldCharType="end"/>
      </w:r>
      <w:r>
        <w:rPr>
          <w:rFonts w:ascii="Arial" w:hAnsi="Arial" w:cs="Arial"/>
          <w:szCs w:val="24"/>
        </w:rPr>
        <w:fldChar w:fldCharType="end"/>
      </w:r>
    </w:p>
    <w:p>
      <w:pPr>
        <w:spacing w:line="360" w:lineRule="auto"/>
        <w:ind w:firstLine="630" w:firstLineChars="300"/>
        <w:rPr>
          <w:szCs w:val="21"/>
        </w:rPr>
      </w:pPr>
      <w:r>
        <w:rPr>
          <w:rFonts w:ascii="Arial" w:hAnsi="Arial" w:cs="Arial"/>
          <w:szCs w:val="24"/>
        </w:rPr>
        <w:fldChar w:fldCharType="end"/>
      </w:r>
    </w:p>
    <w:p>
      <w:pPr>
        <w:ind w:firstLine="630" w:firstLineChars="300"/>
        <w:rPr>
          <w:szCs w:val="21"/>
        </w:rPr>
        <w:sectPr>
          <w:headerReference r:id="rId5" w:type="first"/>
          <w:footerReference r:id="rId7" w:type="first"/>
          <w:headerReference r:id="rId3" w:type="default"/>
          <w:footerReference r:id="rId6" w:type="default"/>
          <w:headerReference r:id="rId4" w:type="even"/>
          <w:pgSz w:w="11907" w:h="16839"/>
          <w:pgMar w:top="851" w:right="1077" w:bottom="851" w:left="1077" w:header="851" w:footer="851" w:gutter="0"/>
          <w:pgNumType w:fmt="decimal"/>
          <w:cols w:space="720" w:num="1"/>
          <w:titlePg/>
          <w:docGrid w:linePitch="272" w:charSpace="0"/>
        </w:sectPr>
      </w:pPr>
    </w:p>
    <w:bookmarkEnd w:id="0"/>
    <w:bookmarkEnd w:id="1"/>
    <w:p>
      <w:pPr>
        <w:pStyle w:val="2"/>
        <w:numPr>
          <w:ilvl w:val="0"/>
          <w:numId w:val="5"/>
        </w:numPr>
        <w:tabs>
          <w:tab w:val="left" w:pos="425"/>
          <w:tab w:val="clear" w:pos="432"/>
        </w:tabs>
        <w:spacing w:line="360" w:lineRule="auto"/>
        <w:ind w:left="0" w:leftChars="0" w:firstLine="0" w:firstLineChars="0"/>
        <w:rPr>
          <w:rFonts w:ascii="Arial" w:hAnsi="Arial" w:cs="Arial"/>
        </w:rPr>
      </w:pPr>
      <w:bookmarkStart w:id="4" w:name="_Toc247620708"/>
      <w:bookmarkStart w:id="5" w:name="_Toc19479"/>
      <w:r>
        <w:rPr>
          <w:rFonts w:hint="eastAsia" w:ascii="Arial" w:hAnsi="Arial" w:cs="Arial"/>
        </w:rPr>
        <w:t>系统概述</w:t>
      </w:r>
      <w:bookmarkEnd w:id="4"/>
      <w:bookmarkEnd w:id="5"/>
      <w:bookmarkStart w:id="6" w:name="_Toc239151931"/>
    </w:p>
    <w:p>
      <w:pPr>
        <w:pStyle w:val="35"/>
        <w:keepNext/>
        <w:keepLines/>
        <w:widowControl/>
        <w:numPr>
          <w:ilvl w:val="0"/>
          <w:numId w:val="6"/>
        </w:numPr>
        <w:spacing w:before="260" w:after="260"/>
        <w:ind w:firstLineChars="0"/>
        <w:jc w:val="left"/>
        <w:outlineLvl w:val="1"/>
        <w:rPr>
          <w:rFonts w:ascii="黑体" w:hAnsi="Arial" w:eastAsia="黑体"/>
          <w:b/>
          <w:vanish/>
          <w:kern w:val="0"/>
          <w:sz w:val="30"/>
          <w:lang w:val="zh-CN"/>
        </w:rPr>
      </w:pPr>
      <w:bookmarkStart w:id="7" w:name="_Toc311734357"/>
      <w:bookmarkEnd w:id="7"/>
      <w:bookmarkStart w:id="8" w:name="_Toc309309021"/>
      <w:bookmarkEnd w:id="8"/>
      <w:bookmarkStart w:id="9" w:name="_Toc309309059"/>
      <w:bookmarkEnd w:id="9"/>
      <w:bookmarkStart w:id="10" w:name="_Toc247620709"/>
      <w:bookmarkStart w:id="11" w:name="_Ref152043981"/>
      <w:bookmarkStart w:id="12" w:name="_Toc236733088"/>
    </w:p>
    <w:p>
      <w:pPr>
        <w:pStyle w:val="35"/>
        <w:keepNext/>
        <w:keepLines/>
        <w:widowControl/>
        <w:numPr>
          <w:ilvl w:val="0"/>
          <w:numId w:val="6"/>
        </w:numPr>
        <w:spacing w:before="260" w:after="260"/>
        <w:ind w:firstLineChars="0"/>
        <w:jc w:val="left"/>
        <w:outlineLvl w:val="1"/>
        <w:rPr>
          <w:rFonts w:ascii="黑体" w:hAnsi="Arial" w:eastAsia="黑体"/>
          <w:b/>
          <w:vanish/>
          <w:kern w:val="0"/>
          <w:sz w:val="30"/>
          <w:lang w:val="zh-CN"/>
        </w:rPr>
      </w:pPr>
      <w:bookmarkStart w:id="13" w:name="_Toc311734358"/>
      <w:bookmarkEnd w:id="13"/>
      <w:bookmarkStart w:id="14" w:name="_Toc309309022"/>
      <w:bookmarkEnd w:id="14"/>
      <w:bookmarkStart w:id="15" w:name="_Toc309309060"/>
      <w:bookmarkEnd w:id="15"/>
    </w:p>
    <w:bookmarkEnd w:id="10"/>
    <w:bookmarkEnd w:id="11"/>
    <w:bookmarkEnd w:id="12"/>
    <w:p>
      <w:pPr>
        <w:pStyle w:val="3"/>
        <w:widowControl/>
        <w:numPr>
          <w:ilvl w:val="1"/>
          <w:numId w:val="7"/>
        </w:numPr>
        <w:spacing w:before="260" w:beforeAutospacing="0" w:after="260" w:afterAutospacing="0" w:line="240" w:lineRule="auto"/>
      </w:pPr>
      <w:bookmarkStart w:id="16" w:name="_Toc9259"/>
      <w:bookmarkStart w:id="17" w:name="_Toc28153"/>
      <w:r>
        <w:rPr>
          <w:rFonts w:hint="eastAsia"/>
        </w:rPr>
        <w:t>系统介绍</w:t>
      </w:r>
      <w:bookmarkEnd w:id="16"/>
      <w:bookmarkEnd w:id="17"/>
    </w:p>
    <w:p>
      <w:pPr>
        <w:spacing w:line="360" w:lineRule="auto"/>
        <w:ind w:firstLine="420"/>
        <w:rPr>
          <w:rFonts w:hint="eastAsia" w:ascii="宋体" w:hAnsi="宋体"/>
          <w:color w:val="auto"/>
          <w:sz w:val="24"/>
          <w:szCs w:val="32"/>
          <w:lang w:val="en-US" w:eastAsia="zh-CN"/>
        </w:rPr>
      </w:pPr>
      <w:bookmarkStart w:id="18" w:name="_Toc247620710"/>
      <w:bookmarkStart w:id="19" w:name="_Toc5777"/>
      <w:r>
        <w:rPr>
          <w:rFonts w:hint="eastAsia" w:ascii="宋体" w:hAnsi="宋体"/>
          <w:color w:val="auto"/>
          <w:sz w:val="24"/>
          <w:szCs w:val="32"/>
          <w:lang w:val="en-US" w:eastAsia="zh-CN"/>
        </w:rPr>
        <w:t>资金预算管理是为满足集团公司战略发展和经营管理需要，以业务预算为依据，对集团公司所属单位年度、月度的资金预算和资金收支计划进行科学预测和统筹安排。通过实施集团公司资金预算管理，建设资金收支预算管理系统，借助信息化手段规范和加强对资金流入流出的预算管理，提高各级单位现金流管理的计划性、科学性和准确度，提高资金使用效益和资金运营效率，并通过加强预算外资金支出的管控，提高资金风险防范能力和水平。</w:t>
      </w:r>
    </w:p>
    <w:p>
      <w:pPr>
        <w:spacing w:line="360" w:lineRule="auto"/>
        <w:ind w:firstLine="420"/>
        <w:rPr>
          <w:rFonts w:hint="eastAsia" w:ascii="宋体" w:hAnsi="宋体"/>
          <w:color w:val="auto"/>
          <w:sz w:val="24"/>
          <w:szCs w:val="32"/>
        </w:rPr>
      </w:pPr>
      <w:r>
        <w:rPr>
          <w:rFonts w:hint="eastAsia" w:ascii="宋体" w:hAnsi="宋体"/>
          <w:color w:val="auto"/>
          <w:sz w:val="24"/>
          <w:szCs w:val="32"/>
        </w:rPr>
        <w:t>通过建设资金收支预算管理系统，可以对集团公司各级单位资金预算（计划）的编制、上报、审批、执行、调整、分析评价等实施全流程、线上化管理，并逐步推进预算系统与财务公司网银系统联通，以预算控制支付，实现“无预算不开支、有预算不超支”。</w:t>
      </w:r>
    </w:p>
    <w:p>
      <w:pPr>
        <w:pStyle w:val="3"/>
        <w:widowControl/>
        <w:numPr>
          <w:ilvl w:val="1"/>
          <w:numId w:val="7"/>
        </w:numPr>
        <w:spacing w:before="260" w:beforeAutospacing="0" w:after="260" w:afterAutospacing="0" w:line="240" w:lineRule="auto"/>
        <w:ind w:left="567" w:hanging="567"/>
      </w:pPr>
      <w:bookmarkStart w:id="20" w:name="_Toc30721"/>
      <w:r>
        <w:rPr>
          <w:rFonts w:hint="eastAsia"/>
        </w:rPr>
        <w:t>软硬件环境</w:t>
      </w:r>
      <w:bookmarkEnd w:id="18"/>
      <w:bookmarkEnd w:id="19"/>
      <w:bookmarkEnd w:id="20"/>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bookmarkStart w:id="21" w:name="_Toc247620711"/>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r>
        <w:rPr>
          <w:rFonts w:hint="eastAsia"/>
        </w:rPr>
        <w:t>软件环境</w:t>
      </w:r>
      <w:bookmarkEnd w:id="21"/>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sz w:val="24"/>
          <w:szCs w:val="24"/>
          <w:lang w:val="en-US" w:eastAsia="zh-CN"/>
        </w:rPr>
      </w:pPr>
      <w:r>
        <w:rPr>
          <w:rFonts w:hint="eastAsia"/>
          <w:sz w:val="24"/>
          <w:szCs w:val="24"/>
          <w:lang w:val="en-US" w:eastAsia="zh-CN"/>
        </w:rPr>
        <w:t>操作系统：</w:t>
      </w:r>
      <w:r>
        <w:rPr>
          <w:rFonts w:hint="eastAsia" w:ascii="宋体" w:hAnsi="宋体"/>
          <w:sz w:val="24"/>
          <w:szCs w:val="24"/>
        </w:rPr>
        <w:t>Windows XP、Windows7</w:t>
      </w:r>
      <w:r>
        <w:rPr>
          <w:rFonts w:hint="eastAsia" w:ascii="宋体" w:hAnsi="宋体"/>
          <w:sz w:val="24"/>
          <w:szCs w:val="24"/>
          <w:lang w:eastAsia="zh-CN"/>
        </w:rPr>
        <w:t>、</w:t>
      </w:r>
      <w:r>
        <w:rPr>
          <w:rFonts w:hint="eastAsia" w:ascii="宋体" w:hAnsi="宋体"/>
          <w:sz w:val="24"/>
          <w:szCs w:val="24"/>
        </w:rPr>
        <w:t>Windows</w:t>
      </w:r>
      <w:r>
        <w:rPr>
          <w:rFonts w:hint="eastAsia" w:ascii="宋体" w:hAnsi="宋体"/>
          <w:sz w:val="24"/>
          <w:szCs w:val="24"/>
          <w:lang w:val="en-US" w:eastAsia="zh-CN"/>
        </w:rPr>
        <w:t>10</w:t>
      </w:r>
      <w:r>
        <w:rPr>
          <w:rFonts w:hint="eastAsia" w:ascii="宋体" w:hAnsi="宋体"/>
          <w:sz w:val="24"/>
          <w:szCs w:val="24"/>
          <w:lang w:eastAsia="zh-CN"/>
        </w:rPr>
        <w:t>、</w:t>
      </w:r>
      <w:r>
        <w:rPr>
          <w:rFonts w:hint="eastAsia" w:ascii="宋体" w:hAnsi="宋体"/>
          <w:sz w:val="24"/>
          <w:szCs w:val="24"/>
        </w:rPr>
        <w:t>Windows</w:t>
      </w:r>
      <w:r>
        <w:rPr>
          <w:rFonts w:hint="eastAsia" w:ascii="宋体" w:hAnsi="宋体"/>
          <w:sz w:val="24"/>
          <w:szCs w:val="24"/>
          <w:lang w:val="en-US" w:eastAsia="zh-CN"/>
        </w:rPr>
        <w:t>11。</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val="en-US" w:eastAsia="zh-CN"/>
        </w:rPr>
      </w:pPr>
      <w:r>
        <w:rPr>
          <w:rFonts w:hint="eastAsia"/>
          <w:sz w:val="24"/>
          <w:szCs w:val="24"/>
          <w:lang w:val="en-US" w:eastAsia="zh-CN"/>
        </w:rPr>
        <w:t>浏览器建议：谷歌、IE11以上版本。</w:t>
      </w: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bookmarkStart w:id="22" w:name="_Toc236733089"/>
      <w:bookmarkStart w:id="23" w:name="_Toc247620712"/>
      <w:r>
        <w:rPr>
          <w:rFonts w:hint="eastAsia"/>
        </w:rPr>
        <w:t>硬件环境</w:t>
      </w:r>
      <w:bookmarkEnd w:id="22"/>
      <w:bookmarkEnd w:id="23"/>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X86兼容的PC机。推荐的硬件配置：</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处理器</w:t>
      </w:r>
      <w:r>
        <w:rPr>
          <w:rFonts w:hint="eastAsia" w:ascii="Arial" w:hAnsi="Arial" w:cs="Arial"/>
          <w:i w:val="0"/>
          <w:iCs/>
          <w:sz w:val="24"/>
          <w:szCs w:val="24"/>
          <w:lang w:eastAsia="zh-CN"/>
        </w:rPr>
        <w:t>：</w:t>
      </w:r>
      <w:r>
        <w:rPr>
          <w:rFonts w:ascii="Arial" w:hAnsi="Arial" w:eastAsia="宋体" w:cs="Arial"/>
          <w:i w:val="0"/>
          <w:iCs w:val="0"/>
          <w:caps w:val="0"/>
          <w:color w:val="333333"/>
          <w:spacing w:val="0"/>
          <w:sz w:val="24"/>
          <w:szCs w:val="24"/>
          <w:shd w:val="clear" w:fill="FFFFFF"/>
        </w:rPr>
        <w:t>Core</w:t>
      </w:r>
      <w:r>
        <w:rPr>
          <w:rFonts w:hint="default" w:ascii="Arial" w:hAnsi="Arial" w:eastAsia="宋体" w:cs="Arial"/>
          <w:i w:val="0"/>
          <w:iCs w:val="0"/>
          <w:caps w:val="0"/>
          <w:color w:val="333333"/>
          <w:spacing w:val="0"/>
          <w:sz w:val="24"/>
          <w:szCs w:val="24"/>
          <w:shd w:val="clear" w:fill="FFFFFF"/>
        </w:rPr>
        <w:t> </w:t>
      </w:r>
      <w:r>
        <w:rPr>
          <w:rFonts w:hint="eastAsia" w:ascii="Arial" w:hAnsi="Arial" w:cs="Arial"/>
          <w:i w:val="0"/>
          <w:iCs w:val="0"/>
          <w:caps w:val="0"/>
          <w:color w:val="333333"/>
          <w:spacing w:val="0"/>
          <w:sz w:val="24"/>
          <w:szCs w:val="24"/>
          <w:shd w:val="clear" w:fill="FFFFFF"/>
          <w:lang w:val="en-US" w:eastAsia="zh-CN"/>
        </w:rPr>
        <w:t>i5</w:t>
      </w:r>
      <w:r>
        <w:rPr>
          <w:rFonts w:hint="eastAsia" w:ascii="Arial" w:hAnsi="Arial" w:cs="Arial"/>
          <w:i w:val="0"/>
          <w:iCs/>
          <w:sz w:val="24"/>
          <w:szCs w:val="24"/>
        </w:rPr>
        <w:t xml:space="preserve"> </w:t>
      </w:r>
      <w:r>
        <w:rPr>
          <w:rFonts w:hint="eastAsia" w:ascii="Arial" w:hAnsi="Arial" w:cs="Arial"/>
          <w:i w:val="0"/>
          <w:iCs/>
          <w:sz w:val="24"/>
          <w:szCs w:val="24"/>
          <w:lang w:val="en-US" w:eastAsia="zh-CN"/>
        </w:rPr>
        <w:t>2</w:t>
      </w:r>
      <w:r>
        <w:rPr>
          <w:rFonts w:hint="eastAsia" w:ascii="Arial" w:hAnsi="Arial" w:cs="Arial"/>
          <w:i w:val="0"/>
          <w:iCs/>
          <w:sz w:val="24"/>
          <w:szCs w:val="24"/>
        </w:rPr>
        <w:t>.0GHz 及以上。</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内存：</w:t>
      </w:r>
      <w:r>
        <w:rPr>
          <w:rFonts w:hint="eastAsia" w:ascii="Arial" w:hAnsi="Arial" w:cs="Arial"/>
          <w:i w:val="0"/>
          <w:iCs/>
          <w:sz w:val="24"/>
          <w:szCs w:val="24"/>
          <w:lang w:val="en-US" w:eastAsia="zh-CN"/>
        </w:rPr>
        <w:t>2G</w:t>
      </w:r>
      <w:r>
        <w:rPr>
          <w:rFonts w:hint="eastAsia" w:ascii="Arial" w:hAnsi="Arial" w:cs="Arial"/>
          <w:i w:val="0"/>
          <w:iCs/>
          <w:sz w:val="24"/>
          <w:szCs w:val="24"/>
        </w:rPr>
        <w:t>B</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彩色显示器</w:t>
      </w:r>
      <w:r>
        <w:rPr>
          <w:rFonts w:hint="eastAsia" w:ascii="Arial" w:hAnsi="Arial" w:cs="Arial"/>
          <w:i w:val="0"/>
          <w:iCs/>
          <w:sz w:val="24"/>
          <w:szCs w:val="24"/>
          <w:lang w:eastAsia="zh-CN"/>
        </w:rPr>
        <w:t>：</w:t>
      </w:r>
      <w:r>
        <w:rPr>
          <w:rFonts w:hint="eastAsia" w:ascii="Arial" w:hAnsi="Arial" w:cs="Arial"/>
          <w:i w:val="0"/>
          <w:iCs/>
          <w:sz w:val="24"/>
          <w:szCs w:val="24"/>
        </w:rPr>
        <w:t>分辨率1024x768。</w:t>
      </w: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bookmarkStart w:id="24" w:name="_Toc236733090"/>
      <w:bookmarkStart w:id="25" w:name="_Toc247620713"/>
      <w:r>
        <w:rPr>
          <w:rFonts w:hint="eastAsia"/>
        </w:rPr>
        <w:t>网络环境</w:t>
      </w:r>
      <w:bookmarkEnd w:id="24"/>
      <w:bookmarkEnd w:id="25"/>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使用系统的过程中，需要通过</w:t>
      </w:r>
      <w:r>
        <w:rPr>
          <w:rFonts w:hint="eastAsia" w:ascii="Arial" w:hAnsi="Arial" w:cs="Arial"/>
          <w:i w:val="0"/>
          <w:iCs/>
          <w:sz w:val="24"/>
          <w:szCs w:val="24"/>
          <w:lang w:eastAsia="zh-CN"/>
        </w:rPr>
        <w:t>互联网</w:t>
      </w:r>
      <w:r>
        <w:rPr>
          <w:rFonts w:hint="eastAsia" w:ascii="Arial" w:hAnsi="Arial" w:cs="Arial"/>
          <w:i w:val="0"/>
          <w:iCs/>
          <w:sz w:val="24"/>
          <w:szCs w:val="24"/>
        </w:rPr>
        <w:t>网络访问集团公司</w:t>
      </w:r>
      <w:r>
        <w:rPr>
          <w:rFonts w:hint="eastAsia" w:ascii="Arial" w:hAnsi="Arial" w:cs="Arial"/>
          <w:i w:val="0"/>
          <w:iCs/>
          <w:sz w:val="24"/>
          <w:szCs w:val="24"/>
          <w:lang w:eastAsia="zh-CN"/>
        </w:rPr>
        <w:t>司库</w:t>
      </w:r>
      <w:r>
        <w:rPr>
          <w:rFonts w:hint="eastAsia" w:ascii="Arial" w:hAnsi="Arial" w:cs="Arial"/>
          <w:i w:val="0"/>
          <w:iCs/>
          <w:sz w:val="24"/>
          <w:szCs w:val="24"/>
        </w:rPr>
        <w:t>的服务器。因此，使用者的电脑必须能够连接</w:t>
      </w:r>
      <w:r>
        <w:rPr>
          <w:rFonts w:hint="eastAsia" w:ascii="Arial" w:hAnsi="Arial" w:cs="Arial"/>
          <w:i w:val="0"/>
          <w:iCs/>
          <w:sz w:val="24"/>
          <w:szCs w:val="24"/>
          <w:lang w:eastAsia="zh-CN"/>
        </w:rPr>
        <w:t>互联网</w:t>
      </w:r>
      <w:r>
        <w:rPr>
          <w:rFonts w:hint="eastAsia" w:ascii="Arial" w:hAnsi="Arial" w:cs="Arial"/>
          <w:i w:val="0"/>
          <w:iCs/>
          <w:sz w:val="24"/>
          <w:szCs w:val="24"/>
        </w:rPr>
        <w:t>。建议网络带宽</w:t>
      </w:r>
      <w:r>
        <w:rPr>
          <w:rFonts w:hint="eastAsia" w:ascii="Arial" w:hAnsi="Arial" w:cs="Arial"/>
          <w:i w:val="0"/>
          <w:iCs/>
          <w:sz w:val="24"/>
          <w:szCs w:val="24"/>
          <w:lang w:val="en-US" w:eastAsia="zh-CN"/>
        </w:rPr>
        <w:t>512</w:t>
      </w:r>
      <w:r>
        <w:rPr>
          <w:rFonts w:hint="eastAsia" w:ascii="Arial" w:hAnsi="Arial" w:cs="Arial"/>
          <w:i w:val="0"/>
          <w:iCs/>
          <w:sz w:val="24"/>
          <w:szCs w:val="24"/>
        </w:rPr>
        <w:t>Kbps以上。</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26" w:name="_Toc236733091"/>
      <w:bookmarkStart w:id="27" w:name="_Toc247620714"/>
      <w:bookmarkStart w:id="28" w:name="_Toc13278"/>
      <w:bookmarkStart w:id="29" w:name="_Toc3730"/>
      <w:r>
        <w:rPr>
          <w:rFonts w:hint="eastAsia" w:ascii="Arial" w:hAnsi="Arial" w:cs="Arial"/>
        </w:rPr>
        <w:t>系统</w:t>
      </w:r>
      <w:bookmarkEnd w:id="26"/>
      <w:bookmarkEnd w:id="27"/>
      <w:r>
        <w:rPr>
          <w:rFonts w:hint="eastAsia" w:ascii="Arial" w:hAnsi="Arial" w:cs="Arial"/>
          <w:lang w:eastAsia="zh-CN"/>
        </w:rPr>
        <w:t>登录</w:t>
      </w:r>
      <w:bookmarkEnd w:id="28"/>
      <w:bookmarkEnd w:id="29"/>
    </w:p>
    <w:p>
      <w:pPr>
        <w:pStyle w:val="35"/>
        <w:keepNext/>
        <w:keepLines/>
        <w:widowControl/>
        <w:numPr>
          <w:ilvl w:val="0"/>
          <w:numId w:val="7"/>
        </w:numPr>
        <w:spacing w:before="260" w:after="260"/>
        <w:ind w:firstLineChars="0"/>
        <w:jc w:val="left"/>
        <w:outlineLvl w:val="1"/>
        <w:rPr>
          <w:rFonts w:ascii="黑体" w:hAnsi="Arial" w:eastAsia="黑体"/>
          <w:b/>
          <w:vanish/>
          <w:kern w:val="0"/>
          <w:sz w:val="30"/>
          <w:lang w:val="zh-CN"/>
        </w:rPr>
      </w:pPr>
      <w:bookmarkStart w:id="30" w:name="_Toc309309026"/>
      <w:bookmarkEnd w:id="30"/>
      <w:bookmarkStart w:id="31" w:name="_Toc309309067"/>
      <w:bookmarkEnd w:id="31"/>
      <w:bookmarkStart w:id="32" w:name="_Toc311734362"/>
      <w:bookmarkEnd w:id="32"/>
      <w:bookmarkStart w:id="33" w:name="_Toc236733092"/>
      <w:bookmarkStart w:id="34" w:name="_Toc247620715"/>
    </w:p>
    <w:bookmarkEnd w:id="33"/>
    <w:bookmarkEnd w:id="34"/>
    <w:p>
      <w:pPr>
        <w:pStyle w:val="3"/>
        <w:widowControl/>
        <w:numPr>
          <w:ilvl w:val="1"/>
          <w:numId w:val="7"/>
        </w:numPr>
        <w:spacing w:before="260" w:beforeAutospacing="0" w:after="260" w:afterAutospacing="0" w:line="240" w:lineRule="auto"/>
      </w:pPr>
      <w:bookmarkStart w:id="35" w:name="_Toc25003"/>
      <w:bookmarkStart w:id="36" w:name="_Toc25045"/>
      <w:r>
        <w:rPr>
          <w:rFonts w:hint="eastAsia"/>
          <w:lang w:eastAsia="zh-CN"/>
        </w:rPr>
        <w:t>登录地址</w:t>
      </w:r>
      <w:bookmarkEnd w:id="35"/>
      <w:bookmarkEnd w:id="36"/>
    </w:p>
    <w:p>
      <w:pPr>
        <w:spacing w:line="360" w:lineRule="auto"/>
        <w:ind w:firstLine="480" w:firstLineChars="200"/>
        <w:rPr>
          <w:rFonts w:hint="eastAsia" w:ascii="Arial" w:hAnsi="Arial" w:cs="Arial"/>
          <w:i w:val="0"/>
          <w:iCs/>
          <w:sz w:val="24"/>
          <w:szCs w:val="24"/>
        </w:rPr>
      </w:pPr>
      <w:r>
        <w:rPr>
          <w:rFonts w:hint="eastAsia" w:ascii="Arial" w:hAnsi="Arial" w:cs="Arial"/>
          <w:i w:val="0"/>
          <w:iCs/>
          <w:sz w:val="24"/>
          <w:szCs w:val="24"/>
        </w:rPr>
        <w:t>在浏览器输入司库系统访问地址。</w:t>
      </w:r>
    </w:p>
    <w:p>
      <w:pPr>
        <w:spacing w:line="360" w:lineRule="auto"/>
        <w:ind w:firstLine="480" w:firstLineChars="200"/>
        <w:rPr>
          <w:rFonts w:hint="eastAsia" w:ascii="Arial" w:hAnsi="Arial" w:cs="Arial"/>
          <w:i w:val="0"/>
          <w:iCs/>
          <w:sz w:val="24"/>
          <w:szCs w:val="24"/>
        </w:rPr>
      </w:pPr>
      <w:bookmarkStart w:id="37" w:name="_Toc17497"/>
      <w:bookmarkStart w:id="38" w:name="_Toc23964"/>
      <w:r>
        <w:rPr>
          <w:rFonts w:hint="eastAsia" w:ascii="Arial" w:hAnsi="Arial" w:cs="Arial"/>
          <w:i w:val="0"/>
          <w:iCs/>
          <w:sz w:val="24"/>
          <w:szCs w:val="24"/>
        </w:rPr>
        <w:t>正式环境：https://trs.avicfc.com.cn/</w:t>
      </w:r>
    </w:p>
    <w:p>
      <w:pPr>
        <w:pStyle w:val="3"/>
        <w:widowControl/>
        <w:numPr>
          <w:ilvl w:val="1"/>
          <w:numId w:val="7"/>
        </w:numPr>
        <w:spacing w:before="260" w:beforeAutospacing="0" w:after="260" w:afterAutospacing="0" w:line="240" w:lineRule="auto"/>
        <w:ind w:left="567" w:hanging="567"/>
      </w:pPr>
      <w:r>
        <w:rPr>
          <w:rFonts w:hint="eastAsia"/>
          <w:lang w:eastAsia="zh-CN"/>
        </w:rPr>
        <w:t>登录首页</w:t>
      </w:r>
      <w:bookmarkEnd w:id="37"/>
      <w:bookmarkEnd w:id="38"/>
    </w:p>
    <w:p>
      <w:pPr>
        <w:pStyle w:val="5"/>
        <w:rPr>
          <w:rFonts w:hint="eastAsia"/>
          <w:lang w:eastAsia="zh-CN"/>
        </w:rPr>
      </w:pPr>
      <w:r>
        <w:drawing>
          <wp:inline distT="0" distB="0" distL="114300" distR="114300">
            <wp:extent cx="5395595" cy="2631440"/>
            <wp:effectExtent l="0" t="0" r="1905" b="1016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rcRect l="3312" t="724" r="2871" b="-724"/>
                    <a:stretch>
                      <a:fillRect/>
                    </a:stretch>
                  </pic:blipFill>
                  <pic:spPr>
                    <a:xfrm>
                      <a:off x="0" y="0"/>
                      <a:ext cx="5395595" cy="2631440"/>
                    </a:xfrm>
                    <a:prstGeom prst="rect">
                      <a:avLst/>
                    </a:prstGeom>
                    <a:noFill/>
                    <a:ln>
                      <a:noFill/>
                    </a:ln>
                  </pic:spPr>
                </pic:pic>
              </a:graphicData>
            </a:graphic>
          </wp:inline>
        </w:drawing>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eastAsia="zh-CN"/>
        </w:rPr>
      </w:pPr>
      <w:r>
        <w:rPr>
          <w:rFonts w:hint="eastAsia" w:ascii="宋体" w:hAnsi="宋体"/>
          <w:sz w:val="24"/>
          <w:szCs w:val="24"/>
        </w:rPr>
        <w:t>输入用户名</w:t>
      </w:r>
      <w:r>
        <w:rPr>
          <w:rFonts w:hint="eastAsia" w:ascii="宋体" w:hAnsi="宋体"/>
          <w:sz w:val="24"/>
          <w:szCs w:val="24"/>
          <w:lang w:eastAsia="zh-CN"/>
        </w:rPr>
        <w:t>、</w:t>
      </w:r>
      <w:r>
        <w:rPr>
          <w:rFonts w:hint="eastAsia" w:ascii="宋体" w:hAnsi="宋体"/>
          <w:sz w:val="24"/>
          <w:szCs w:val="24"/>
        </w:rPr>
        <w:t>密码</w:t>
      </w:r>
      <w:r>
        <w:rPr>
          <w:rFonts w:hint="eastAsia" w:ascii="宋体" w:hAnsi="宋体"/>
          <w:sz w:val="24"/>
          <w:szCs w:val="24"/>
          <w:lang w:eastAsia="zh-CN"/>
        </w:rPr>
        <w:t>和验证码（算式的结果）</w:t>
      </w:r>
      <w:r>
        <w:rPr>
          <w:rFonts w:hint="eastAsia" w:ascii="宋体" w:hAnsi="宋体"/>
          <w:sz w:val="24"/>
          <w:szCs w:val="24"/>
        </w:rPr>
        <w:t>后，点击【登录】按钮，进入系统</w:t>
      </w:r>
      <w:r>
        <w:rPr>
          <w:rFonts w:hint="eastAsia" w:ascii="宋体" w:hAnsi="宋体"/>
          <w:sz w:val="24"/>
          <w:szCs w:val="24"/>
          <w:lang w:eastAsia="zh-CN"/>
        </w:rPr>
        <w:t>。</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sz w:val="24"/>
          <w:szCs w:val="24"/>
          <w:lang w:val="en-US" w:eastAsia="zh-CN"/>
        </w:rPr>
      </w:pPr>
      <w:r>
        <w:rPr>
          <w:rFonts w:hint="eastAsia" w:ascii="宋体" w:hAnsi="宋体"/>
          <w:sz w:val="24"/>
          <w:szCs w:val="24"/>
          <w:lang w:val="en-US" w:eastAsia="zh-CN"/>
        </w:rPr>
        <w:t>密码要求：初始密码为123456。第一次登录系统后修改密码。密码须以字母开头，包含字母、数字、符号，且长度不小于8位。</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39" w:name="_Toc22130"/>
      <w:bookmarkStart w:id="40" w:name="_Toc236733095"/>
      <w:bookmarkStart w:id="41" w:name="_Toc25686"/>
      <w:bookmarkStart w:id="42" w:name="_Toc247620718"/>
      <w:r>
        <w:rPr>
          <w:rFonts w:hint="eastAsia" w:ascii="Arial" w:hAnsi="Arial" w:cs="Arial"/>
        </w:rPr>
        <w:t>通用功能</w:t>
      </w:r>
      <w:bookmarkEnd w:id="39"/>
      <w:bookmarkEnd w:id="40"/>
      <w:bookmarkEnd w:id="41"/>
      <w:bookmarkEnd w:id="42"/>
    </w:p>
    <w:p>
      <w:pPr>
        <w:pStyle w:val="35"/>
        <w:keepNext/>
        <w:keepLines/>
        <w:widowControl/>
        <w:numPr>
          <w:ilvl w:val="0"/>
          <w:numId w:val="7"/>
        </w:numPr>
        <w:spacing w:before="260" w:after="260" w:line="360" w:lineRule="auto"/>
        <w:ind w:firstLineChars="0"/>
        <w:jc w:val="left"/>
        <w:outlineLvl w:val="1"/>
        <w:rPr>
          <w:rFonts w:ascii="黑体" w:hAnsi="Arial" w:eastAsia="黑体"/>
          <w:b/>
          <w:vanish/>
          <w:kern w:val="0"/>
          <w:sz w:val="30"/>
          <w:lang w:val="zh-CN"/>
        </w:rPr>
      </w:pPr>
      <w:bookmarkStart w:id="43" w:name="_Toc309309072"/>
      <w:bookmarkEnd w:id="43"/>
      <w:bookmarkStart w:id="44" w:name="_Toc309309031"/>
      <w:bookmarkEnd w:id="44"/>
      <w:bookmarkStart w:id="45" w:name="_Toc311734367"/>
      <w:bookmarkEnd w:id="45"/>
      <w:bookmarkStart w:id="46" w:name="_Toc236733096"/>
      <w:bookmarkStart w:id="47" w:name="_Toc247620719"/>
    </w:p>
    <w:bookmarkEnd w:id="46"/>
    <w:bookmarkEnd w:id="47"/>
    <w:p>
      <w:pPr>
        <w:pStyle w:val="3"/>
        <w:widowControl/>
        <w:numPr>
          <w:ilvl w:val="1"/>
          <w:numId w:val="7"/>
        </w:numPr>
        <w:spacing w:before="260" w:beforeAutospacing="0" w:after="260" w:afterAutospacing="0" w:line="360" w:lineRule="auto"/>
        <w:rPr>
          <w:rFonts w:hint="eastAsia"/>
          <w:b w:val="0"/>
          <w:bCs/>
          <w:lang w:val="en-US" w:eastAsia="zh-CN"/>
        </w:rPr>
      </w:pPr>
      <w:bookmarkStart w:id="48" w:name="_Toc28557"/>
      <w:bookmarkStart w:id="49" w:name="_Toc28643"/>
      <w:bookmarkStart w:id="50" w:name="_Toc22639"/>
      <w:r>
        <w:rPr>
          <w:rFonts w:hint="eastAsia"/>
          <w:b w:val="0"/>
          <w:bCs/>
          <w:lang w:val="en-US" w:eastAsia="zh-CN"/>
        </w:rPr>
        <w:t>页面风格</w:t>
      </w:r>
      <w:bookmarkEnd w:id="48"/>
      <w:bookmarkEnd w:id="49"/>
      <w:bookmarkEnd w:id="50"/>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drawing>
          <wp:inline distT="0" distB="0" distL="114300" distR="114300">
            <wp:extent cx="5537200" cy="2413000"/>
            <wp:effectExtent l="0" t="0" r="0" b="0"/>
            <wp:docPr id="6" name="图片 6" descr="167081295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70812956141"/>
                    <pic:cNvPicPr>
                      <a:picLocks noChangeAspect="1"/>
                    </pic:cNvPicPr>
                  </pic:nvPicPr>
                  <pic:blipFill>
                    <a:blip r:embed="rId12"/>
                    <a:stretch>
                      <a:fillRect/>
                    </a:stretch>
                  </pic:blipFill>
                  <pic:spPr>
                    <a:xfrm>
                      <a:off x="0" y="0"/>
                      <a:ext cx="5537200" cy="2413000"/>
                    </a:xfrm>
                    <a:prstGeom prst="rect">
                      <a:avLst/>
                    </a:prstGeom>
                  </pic:spPr>
                </pic:pic>
              </a:graphicData>
            </a:graphic>
          </wp:inline>
        </w:drawing>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0" w:firstLineChars="0"/>
        <w:jc w:val="both"/>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左侧是“菜单导航栏”。导航栏中显示当前登录用户所具备操作权限的功能菜单。点击</w:t>
      </w:r>
      <w:r>
        <w:rPr>
          <w:rFonts w:ascii="Times New Roman" w:hAnsi="Times New Roman" w:eastAsia="宋体" w:cs="Times New Roman"/>
          <w:kern w:val="2"/>
          <w:sz w:val="24"/>
          <w:szCs w:val="24"/>
          <w:lang w:val="en-US" w:eastAsia="zh-CN" w:bidi="ar-SA"/>
        </w:rPr>
        <w:drawing>
          <wp:inline distT="0" distB="0" distL="114300" distR="114300">
            <wp:extent cx="152400" cy="139700"/>
            <wp:effectExtent l="0" t="0" r="0" b="0"/>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pic:cNvPicPr>
                      <a:picLocks noChangeAspect="1"/>
                    </pic:cNvPicPr>
                  </pic:nvPicPr>
                  <pic:blipFill>
                    <a:blip r:embed="rId13"/>
                    <a:stretch>
                      <a:fillRect/>
                    </a:stretch>
                  </pic:blipFill>
                  <pic:spPr>
                    <a:xfrm>
                      <a:off x="0" y="0"/>
                      <a:ext cx="152400" cy="139700"/>
                    </a:xfrm>
                    <a:prstGeom prst="rect">
                      <a:avLst/>
                    </a:prstGeom>
                    <a:noFill/>
                    <a:ln>
                      <a:noFill/>
                    </a:ln>
                  </pic:spPr>
                </pic:pic>
              </a:graphicData>
            </a:graphic>
          </wp:inline>
        </w:drawing>
      </w:r>
      <w:r>
        <w:rPr>
          <w:rFonts w:hint="eastAsia" w:ascii="Times New Roman" w:hAnsi="Times New Roman" w:eastAsia="宋体" w:cs="Times New Roman"/>
          <w:kern w:val="2"/>
          <w:sz w:val="24"/>
          <w:szCs w:val="24"/>
          <w:lang w:val="en-US" w:eastAsia="zh-CN" w:bidi="ar-SA"/>
        </w:rPr>
        <w:t>按钮可实现菜单栏的展开/收起。</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右上方显示当前登录用户及相关操作按钮。</w:t>
      </w:r>
    </w:p>
    <w:tbl>
      <w:tblPr>
        <w:tblStyle w:val="23"/>
        <w:tblW w:w="8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3"/>
        <w:gridCol w:w="68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shd w:val="clear" w:color="auto" w:fill="DBEEF3"/>
            <w:noWrap w:val="0"/>
            <w:vAlign w:val="top"/>
          </w:tcPr>
          <w:p>
            <w:pPr>
              <w:widowControl w:val="0"/>
              <w:spacing w:line="312" w:lineRule="auto"/>
              <w:ind w:left="0" w:leftChars="0" w:firstLine="0" w:firstLineChars="0"/>
              <w:jc w:val="center"/>
              <w:rPr>
                <w:rFonts w:hint="default" w:ascii="宋体" w:hAnsi="宋体" w:eastAsia="宋体" w:cs="宋体"/>
                <w:b/>
                <w:bCs/>
                <w:kern w:val="2"/>
                <w:sz w:val="20"/>
                <w:szCs w:val="20"/>
                <w:vertAlign w:val="baseline"/>
                <w:lang w:val="en-US" w:eastAsia="zh-CN" w:bidi="ar-SA"/>
              </w:rPr>
            </w:pPr>
            <w:r>
              <w:rPr>
                <w:rFonts w:hint="eastAsia" w:ascii="宋体" w:hAnsi="宋体" w:eastAsia="宋体" w:cs="宋体"/>
                <w:b/>
                <w:bCs/>
                <w:kern w:val="2"/>
                <w:sz w:val="20"/>
                <w:szCs w:val="20"/>
                <w:vertAlign w:val="baseline"/>
                <w:lang w:val="en-US" w:eastAsia="zh-CN" w:bidi="ar-SA"/>
              </w:rPr>
              <w:t>按钮</w:t>
            </w:r>
          </w:p>
        </w:tc>
        <w:tc>
          <w:tcPr>
            <w:tcW w:w="6817" w:type="dxa"/>
            <w:shd w:val="clear" w:color="auto" w:fill="DBEEF3"/>
            <w:noWrap w:val="0"/>
            <w:vAlign w:val="top"/>
          </w:tcPr>
          <w:p>
            <w:pPr>
              <w:widowControl w:val="0"/>
              <w:spacing w:line="312" w:lineRule="auto"/>
              <w:ind w:firstLine="402" w:firstLineChars="200"/>
              <w:jc w:val="center"/>
              <w:rPr>
                <w:rFonts w:hint="default" w:ascii="宋体" w:hAnsi="宋体" w:eastAsia="宋体" w:cs="宋体"/>
                <w:b/>
                <w:bCs/>
                <w:kern w:val="2"/>
                <w:sz w:val="20"/>
                <w:szCs w:val="20"/>
                <w:vertAlign w:val="baseline"/>
                <w:lang w:val="en-US" w:eastAsia="zh-CN" w:bidi="ar-SA"/>
              </w:rPr>
            </w:pPr>
            <w:r>
              <w:rPr>
                <w:rFonts w:hint="eastAsia" w:ascii="宋体" w:hAnsi="宋体" w:eastAsia="宋体" w:cs="宋体"/>
                <w:b/>
                <w:bCs/>
                <w:kern w:val="2"/>
                <w:sz w:val="20"/>
                <w:szCs w:val="20"/>
                <w:vertAlign w:val="baseline"/>
                <w:lang w:val="en-US" w:eastAsia="zh-CN" w:bidi="ar-S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285750" cy="222250"/>
                  <wp:effectExtent l="0" t="0" r="6350" b="6350"/>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14"/>
                          <a:stretch>
                            <a:fillRect/>
                          </a:stretch>
                        </pic:blipFill>
                        <pic:spPr>
                          <a:xfrm>
                            <a:off x="0" y="0"/>
                            <a:ext cx="285750" cy="222250"/>
                          </a:xfrm>
                          <a:prstGeom prst="rect">
                            <a:avLst/>
                          </a:prstGeom>
                          <a:noFill/>
                          <a:ln>
                            <a:noFill/>
                          </a:ln>
                        </pic:spPr>
                      </pic:pic>
                    </a:graphicData>
                  </a:graphic>
                </wp:inline>
              </w:drawing>
            </w:r>
          </w:p>
        </w:tc>
        <w:tc>
          <w:tcPr>
            <w:tcW w:w="681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按钮右上角红色字体提示未读消息数量。点击该按钮，可查阅本人相关的消息通知。</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drawing>
                <wp:inline distT="0" distB="0" distL="114300" distR="114300">
                  <wp:extent cx="3941445" cy="969645"/>
                  <wp:effectExtent l="0" t="0" r="8255" b="8255"/>
                  <wp:docPr id="7" name="图片 7" descr="167081278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70812780703"/>
                          <pic:cNvPicPr>
                            <a:picLocks noChangeAspect="1"/>
                          </pic:cNvPicPr>
                        </pic:nvPicPr>
                        <pic:blipFill>
                          <a:blip r:embed="rId15"/>
                          <a:stretch>
                            <a:fillRect/>
                          </a:stretch>
                        </pic:blipFill>
                        <pic:spPr>
                          <a:xfrm>
                            <a:off x="0" y="0"/>
                            <a:ext cx="3941445" cy="96964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切换岗位（多岗时）、</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修改账号密码、</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18"/>
                <w:szCs w:val="18"/>
                <w:lang w:val="en-US" w:eastAsia="zh-CN" w:bidi="ar-SA"/>
              </w:rPr>
              <w:t>退出登录</w:t>
            </w:r>
          </w:p>
        </w:tc>
        <w:tc>
          <w:tcPr>
            <w:tcW w:w="681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点击用户头像，可展开下拉菜单，实现：切换岗位（多岗时）、修改账号密码、退出登录。</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1936750" cy="1809750"/>
                  <wp:effectExtent l="0" t="0" r="6350" b="6350"/>
                  <wp:docPr id="44" name="图片 44" descr="167031182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670311822966"/>
                          <pic:cNvPicPr>
                            <a:picLocks noChangeAspect="1"/>
                          </pic:cNvPicPr>
                        </pic:nvPicPr>
                        <pic:blipFill>
                          <a:blip r:embed="rId16"/>
                          <a:stretch>
                            <a:fillRect/>
                          </a:stretch>
                        </pic:blipFill>
                        <pic:spPr>
                          <a:xfrm>
                            <a:off x="0" y="0"/>
                            <a:ext cx="1936750" cy="1809750"/>
                          </a:xfrm>
                          <a:prstGeom prst="rect">
                            <a:avLst/>
                          </a:prstGeom>
                        </pic:spPr>
                      </pic:pic>
                    </a:graphicData>
                  </a:graphic>
                </wp:inline>
              </w:drawing>
            </w:r>
          </w:p>
        </w:tc>
      </w:tr>
    </w:tbl>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首页</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上方区域展现集团所属各公司收入预算、支出预算，包括：年收入预算、月收入计划、收入预算排名。</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下方区域展现待办流程，默认显示所以业务类型的待办任务，可通过【全部】、【预算编制】、【预算汇总】、【预算调整】按钮进行切换。</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【流程管理】页面展现所有流程的详细信息，可进行精准定位查询。</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页签区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同时打开多个功能菜单时，可在页签区同时显示多个页签。点击页签右上角的</w:t>
      </w:r>
      <w:r>
        <w:rPr>
          <w:rFonts w:ascii="Times New Roman" w:hAnsi="Times New Roman" w:eastAsia="宋体" w:cs="Times New Roman"/>
          <w:kern w:val="2"/>
          <w:sz w:val="24"/>
          <w:szCs w:val="24"/>
          <w:lang w:val="en-US" w:eastAsia="zh-CN" w:bidi="ar-SA"/>
        </w:rPr>
        <w:drawing>
          <wp:inline distT="0" distB="0" distL="114300" distR="114300">
            <wp:extent cx="209550" cy="152400"/>
            <wp:effectExtent l="0" t="0" r="6350" b="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17"/>
                    <a:stretch>
                      <a:fillRect/>
                    </a:stretch>
                  </pic:blipFill>
                  <pic:spPr>
                    <a:xfrm>
                      <a:off x="0" y="0"/>
                      <a:ext cx="209550" cy="152400"/>
                    </a:xfrm>
                    <a:prstGeom prst="rect">
                      <a:avLst/>
                    </a:prstGeom>
                    <a:noFill/>
                    <a:ln>
                      <a:noFill/>
                    </a:ln>
                  </pic:spPr>
                </pic:pic>
              </a:graphicData>
            </a:graphic>
          </wp:inline>
        </w:drawing>
      </w:r>
      <w:r>
        <w:rPr>
          <w:rFonts w:hint="eastAsia" w:ascii="Times New Roman" w:hAnsi="Times New Roman" w:eastAsia="宋体" w:cs="Times New Roman"/>
          <w:kern w:val="2"/>
          <w:sz w:val="24"/>
          <w:szCs w:val="24"/>
          <w:lang w:val="en-US" w:eastAsia="zh-CN" w:bidi="ar-SA"/>
        </w:rPr>
        <w:t>按钮，可关闭页签。</w:t>
      </w:r>
      <w:r>
        <w:rPr>
          <w:rFonts w:hint="eastAsia" w:ascii="宋体" w:hAnsi="宋体" w:eastAsia="宋体" w:cs="Times New Roman"/>
          <w:kern w:val="2"/>
          <w:sz w:val="24"/>
          <w:szCs w:val="24"/>
          <w:lang w:val="en-US" w:eastAsia="zh-CN" w:bidi="ar-SA"/>
        </w:rPr>
        <w:t>默认显示首页页签，且首页页签不允许关闭。</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业务操作区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lang w:val="en-US" w:eastAsia="zh-CN"/>
        </w:rPr>
      </w:pPr>
      <w:r>
        <w:rPr>
          <w:rFonts w:hint="eastAsia" w:ascii="宋体" w:hAnsi="宋体" w:eastAsia="宋体" w:cs="Times New Roman"/>
          <w:kern w:val="2"/>
          <w:sz w:val="24"/>
          <w:szCs w:val="24"/>
          <w:lang w:val="en-US" w:eastAsia="zh-CN" w:bidi="ar-SA"/>
        </w:rPr>
        <w:t>在该区域展示当前功能页签相应的业务操作内容。</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272405" cy="2266950"/>
            <wp:effectExtent l="0" t="0" r="4445" b="0"/>
            <wp:docPr id="7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9"/>
                    <pic:cNvPicPr>
                      <a:picLocks noChangeAspect="1"/>
                    </pic:cNvPicPr>
                  </pic:nvPicPr>
                  <pic:blipFill>
                    <a:blip r:embed="rId18"/>
                    <a:stretch>
                      <a:fillRect/>
                    </a:stretch>
                  </pic:blipFill>
                  <pic:spPr>
                    <a:xfrm>
                      <a:off x="0" y="0"/>
                      <a:ext cx="5272405" cy="2266950"/>
                    </a:xfrm>
                    <a:prstGeom prst="rect">
                      <a:avLst/>
                    </a:prstGeom>
                    <a:noFill/>
                    <a:ln>
                      <a:noFill/>
                    </a:ln>
                  </pic:spPr>
                </pic:pic>
              </a:graphicData>
            </a:graphic>
          </wp:inline>
        </w:drawing>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sz w:val="24"/>
          <w:szCs w:val="24"/>
          <w:lang w:val="en-US" w:eastAsia="zh-CN"/>
        </w:rPr>
      </w:pPr>
      <w:r>
        <w:rPr>
          <w:rFonts w:hint="eastAsia" w:ascii="宋体" w:hAnsi="宋体"/>
          <w:sz w:val="24"/>
          <w:szCs w:val="24"/>
          <w:lang w:val="en-US" w:eastAsia="zh-CN"/>
        </w:rPr>
        <w:t>每个操作性功能页面基本布局，上方为查询条件，下方为该用户或者该用户所在单位操作的记录。</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265420" cy="1497330"/>
            <wp:effectExtent l="0" t="0" r="11430" b="762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19"/>
                    <a:stretch>
                      <a:fillRect/>
                    </a:stretch>
                  </pic:blipFill>
                  <pic:spPr>
                    <a:xfrm>
                      <a:off x="0" y="0"/>
                      <a:ext cx="5265420" cy="1497330"/>
                    </a:xfrm>
                    <a:prstGeom prst="rect">
                      <a:avLst/>
                    </a:prstGeom>
                    <a:noFill/>
                    <a:ln>
                      <a:noFill/>
                    </a:ln>
                  </pic:spPr>
                </pic:pic>
              </a:graphicData>
            </a:graphic>
          </wp:inline>
        </w:drawing>
      </w:r>
    </w:p>
    <w:p>
      <w:pPr>
        <w:spacing w:line="360" w:lineRule="auto"/>
        <w:rPr>
          <w:rFonts w:hint="eastAsia" w:ascii="宋体" w:hAnsi="宋体" w:cs="Microsoft JhengHei Light"/>
          <w:color w:val="auto"/>
          <w:kern w:val="0"/>
          <w:sz w:val="24"/>
          <w:szCs w:val="24"/>
          <w:lang w:val="en-US" w:eastAsia="zh-CN" w:bidi="en-US"/>
        </w:rPr>
      </w:pPr>
      <w:r>
        <w:rPr>
          <w:rFonts w:hint="eastAsia" w:ascii="宋体" w:hAnsi="宋体" w:cs="Microsoft JhengHei Light"/>
          <w:color w:val="auto"/>
          <w:kern w:val="0"/>
          <w:sz w:val="24"/>
          <w:szCs w:val="24"/>
          <w:lang w:val="en-US" w:eastAsia="zh-CN" w:bidi="en-US"/>
        </w:rPr>
        <w:t>如果查询条件较多，首次进入该功能菜单时，自动隐藏下面的查询条件，点击【展开】后，展示全部查询条件。</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264785" cy="1845310"/>
            <wp:effectExtent l="0" t="0" r="12065" b="2540"/>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20"/>
                    <a:stretch>
                      <a:fillRect/>
                    </a:stretch>
                  </pic:blipFill>
                  <pic:spPr>
                    <a:xfrm>
                      <a:off x="0" y="0"/>
                      <a:ext cx="5264785" cy="1845310"/>
                    </a:xfrm>
                    <a:prstGeom prst="rect">
                      <a:avLst/>
                    </a:prstGeom>
                    <a:noFill/>
                    <a:ln>
                      <a:noFill/>
                    </a:ln>
                  </pic:spPr>
                </pic:pic>
              </a:graphicData>
            </a:graphic>
          </wp:inline>
        </w:drawing>
      </w:r>
    </w:p>
    <w:p>
      <w:pPr>
        <w:pStyle w:val="3"/>
        <w:widowControl/>
        <w:numPr>
          <w:ilvl w:val="1"/>
          <w:numId w:val="7"/>
        </w:numPr>
        <w:spacing w:before="260" w:beforeAutospacing="0" w:after="260" w:afterAutospacing="0" w:line="360" w:lineRule="auto"/>
        <w:rPr>
          <w:rFonts w:hint="eastAsia"/>
          <w:lang w:val="en-US" w:eastAsia="zh-CN"/>
        </w:rPr>
      </w:pPr>
      <w:bookmarkStart w:id="51" w:name="_Toc19907"/>
      <w:bookmarkStart w:id="52" w:name="_Toc16359"/>
      <w:bookmarkStart w:id="53" w:name="_Toc31207"/>
      <w:r>
        <w:rPr>
          <w:rFonts w:hint="eastAsia"/>
          <w:lang w:val="en-US" w:eastAsia="zh-CN"/>
        </w:rPr>
        <w:t>通用按钮约定</w:t>
      </w:r>
      <w:bookmarkEnd w:id="51"/>
      <w:bookmarkEnd w:id="52"/>
      <w:bookmarkEnd w:id="53"/>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sz w:val="24"/>
          <w:szCs w:val="24"/>
          <w:lang w:val="en-US" w:eastAsia="zh-CN"/>
        </w:rPr>
      </w:pPr>
      <w:r>
        <w:rPr>
          <w:rFonts w:hint="eastAsia" w:ascii="宋体" w:hAnsi="宋体"/>
          <w:sz w:val="24"/>
          <w:szCs w:val="24"/>
          <w:lang w:val="en-US" w:eastAsia="zh-CN"/>
        </w:rPr>
        <w:t>【查询】、【搜索】：据查询条件筛选符合条件的业务数据，输入框不特殊说明均为模糊搜索。如果查询条件为空，默认查询所有记录。</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【重置】：将查询条件恢复为默认。</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【新增】：点击新增按钮，弹出窗口或打开新增页面。</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【编辑】：点击编辑按钮，弹出窗口或打开编辑页面，同新增页面，反显原数据信息。除自动生成的编码和新增时即不可编辑的元素外，均可编辑。</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【详情】：点击详情按钮，弹出窗口或打开详情页面，同新增页面，反显原数据信息，不能修改。</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删除】、【作废】、【停用】：选中单条或多条记录的复选框，可删除、作废或停用已选记录。点击按钮，提示“确定删除/作废/停用所选记录？”。点击确定，删除/作废/停用成功，点击取消，提示“删除/作废/停用失败”。</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【上传】：上传附件功能，为保证系统安全，上传的附件只支持pdf、csv、jpg、png文件格式。</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54" w:name="_Toc15975"/>
      <w:r>
        <w:rPr>
          <w:rFonts w:hint="eastAsia" w:ascii="Arial" w:hAnsi="Arial" w:cs="Arial"/>
          <w:lang w:val="en-US" w:eastAsia="zh-CN"/>
        </w:rPr>
        <w:t>常见业务场景及操作步骤</w:t>
      </w:r>
      <w:bookmarkEnd w:id="54"/>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55" w:name="_Toc15448"/>
      <w:bookmarkStart w:id="56" w:name="_Toc25501"/>
      <w:bookmarkStart w:id="57" w:name="_如何编制融资计划"/>
      <w:r>
        <w:rPr>
          <w:rFonts w:hint="eastAsia" w:ascii="Arial" w:hAnsi="Times New Roman" w:eastAsia="宋体" w:cs="Times New Roman"/>
          <w:b/>
          <w:kern w:val="2"/>
          <w:sz w:val="30"/>
          <w:szCs w:val="24"/>
          <w:lang w:val="en-US" w:eastAsia="zh-CN" w:bidi="ar-SA"/>
        </w:rPr>
        <w:t>如何</w:t>
      </w:r>
      <w:bookmarkEnd w:id="55"/>
      <w:r>
        <w:rPr>
          <w:rFonts w:hint="eastAsia" w:ascii="Arial" w:cs="Times New Roman"/>
          <w:b/>
          <w:kern w:val="2"/>
          <w:sz w:val="30"/>
          <w:szCs w:val="24"/>
          <w:lang w:val="en-US" w:eastAsia="zh-CN" w:bidi="ar-SA"/>
        </w:rPr>
        <w:t>配置预算体系设置</w:t>
      </w:r>
      <w:bookmarkEnd w:id="56"/>
    </w:p>
    <w:bookmarkEnd w:id="57"/>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58" w:name="_Toc5004"/>
      <w:bookmarkStart w:id="59" w:name="_Toc6312"/>
      <w:r>
        <w:rPr>
          <w:rFonts w:hint="eastAsia" w:ascii="Times New Roman" w:hAnsi="Times New Roman" w:eastAsia="宋体" w:cs="Times New Roman"/>
          <w:b/>
          <w:kern w:val="2"/>
          <w:sz w:val="28"/>
          <w:szCs w:val="24"/>
          <w:lang w:val="en-US" w:eastAsia="zh-CN" w:bidi="ar-SA"/>
        </w:rPr>
        <w:t>业务场景描述</w:t>
      </w:r>
      <w:bookmarkEnd w:id="58"/>
      <w:bookmarkEnd w:id="59"/>
    </w:p>
    <w:p>
      <w:pPr>
        <w:spacing w:line="360" w:lineRule="auto"/>
        <w:ind w:firstLine="480" w:firstLineChars="200"/>
        <w:rPr>
          <w:rFonts w:hint="eastAsia" w:ascii="宋体" w:hAnsi="宋体"/>
          <w:color w:val="auto"/>
          <w:sz w:val="24"/>
          <w:szCs w:val="32"/>
          <w:highlight w:val="none"/>
          <w:lang w:val="en-US" w:eastAsia="zh-CN"/>
        </w:rPr>
      </w:pPr>
      <w:bookmarkStart w:id="60" w:name="_Toc23467"/>
      <w:r>
        <w:rPr>
          <w:rFonts w:hint="eastAsia" w:ascii="宋体" w:hAnsi="宋体"/>
          <w:color w:val="auto"/>
          <w:sz w:val="24"/>
          <w:szCs w:val="32"/>
          <w:highlight w:val="none"/>
          <w:lang w:val="en-US" w:eastAsia="zh-CN"/>
        </w:rPr>
        <w:t>仅总部预算管理员拥有配置权限。</w:t>
      </w:r>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预算体系是预算管理的整体维度，即可对一个集团不同的成员企业进行分组，不同预算体系可以采用不同的管理方式，例如不同的预算周期、不同的预算模板。不同预算体系之间数据隔离。该功能包括新增预算体系，对已有预算系统编辑、停用/启用、作废等功能。</w:t>
      </w:r>
    </w:p>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1" w:name="_Toc24570"/>
      <w:r>
        <w:rPr>
          <w:rFonts w:hint="eastAsia" w:ascii="Times New Roman" w:hAnsi="Times New Roman" w:eastAsia="宋体" w:cs="Times New Roman"/>
          <w:b/>
          <w:kern w:val="2"/>
          <w:sz w:val="28"/>
          <w:szCs w:val="24"/>
          <w:lang w:val="en-US" w:eastAsia="zh-CN" w:bidi="ar-SA"/>
        </w:rPr>
        <w:t>菜单路径</w:t>
      </w:r>
      <w:bookmarkEnd w:id="60"/>
      <w:bookmarkEnd w:id="61"/>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-【预算基础设置】</w:t>
      </w:r>
      <w:r>
        <w:rPr>
          <w:rFonts w:hint="eastAsia" w:ascii="宋体" w:hAnsi="宋体" w:eastAsia="宋体" w:cs="宋体"/>
          <w:kern w:val="2"/>
          <w:sz w:val="24"/>
          <w:szCs w:val="24"/>
          <w:vertAlign w:val="baseline"/>
          <w:lang w:val="en-US" w:eastAsia="zh-CN" w:bidi="ar-SA"/>
        </w:rPr>
        <w:t>-【预算体系设置】。</w:t>
      </w:r>
    </w:p>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2" w:name="_Toc30003"/>
      <w:bookmarkStart w:id="63" w:name="_Toc14926"/>
      <w:r>
        <w:rPr>
          <w:rFonts w:hint="eastAsia" w:ascii="Times New Roman" w:hAnsi="Times New Roman" w:eastAsia="宋体" w:cs="Times New Roman"/>
          <w:b/>
          <w:kern w:val="2"/>
          <w:sz w:val="28"/>
          <w:szCs w:val="24"/>
          <w:lang w:val="en-US" w:eastAsia="zh-CN" w:bidi="ar-SA"/>
        </w:rPr>
        <w:t>操作步骤</w:t>
      </w:r>
      <w:bookmarkEnd w:id="62"/>
      <w:bookmarkEnd w:id="63"/>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第一步，点击菜单【预算</w:t>
      </w:r>
      <w:r>
        <w:rPr>
          <w:rFonts w:hint="eastAsia" w:ascii="宋体" w:cs="宋体"/>
          <w:kern w:val="0"/>
          <w:sz w:val="24"/>
          <w:szCs w:val="21"/>
          <w:lang w:val="en-US" w:eastAsia="zh-CN" w:bidi="ar-SA"/>
        </w:rPr>
        <w:t>体系设置</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135880" cy="1826260"/>
            <wp:effectExtent l="0" t="0" r="7620" b="2540"/>
            <wp:docPr id="9" name="图片 9" descr="167117504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71175042639"/>
                    <pic:cNvPicPr>
                      <a:picLocks noChangeAspect="1"/>
                    </pic:cNvPicPr>
                  </pic:nvPicPr>
                  <pic:blipFill>
                    <a:blip r:embed="rId21"/>
                    <a:stretch>
                      <a:fillRect/>
                    </a:stretch>
                  </pic:blipFill>
                  <pic:spPr>
                    <a:xfrm>
                      <a:off x="0" y="0"/>
                      <a:ext cx="5135880" cy="1826260"/>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w:t>
      </w:r>
      <w:r>
        <w:rPr>
          <w:rFonts w:hint="eastAsia" w:ascii="宋体" w:cs="宋体"/>
          <w:kern w:val="0"/>
          <w:sz w:val="24"/>
          <w:szCs w:val="21"/>
          <w:lang w:val="en-US" w:eastAsia="zh-CN" w:bidi="ar-SA"/>
        </w:rPr>
        <w:t>进入</w:t>
      </w:r>
      <w:r>
        <w:rPr>
          <w:rFonts w:hint="eastAsia" w:ascii="宋体" w:hAnsi="Times New Roman" w:eastAsia="宋体" w:cs="宋体"/>
          <w:kern w:val="0"/>
          <w:sz w:val="24"/>
          <w:szCs w:val="21"/>
          <w:lang w:val="en-US" w:eastAsia="zh-CN" w:bidi="ar-SA"/>
        </w:rPr>
        <w:t>预算体系新增界面，输入预算体系编号、预算体系名称、备注。点击【保存】，提示保存成功。</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drawing>
          <wp:inline distT="0" distB="0" distL="114300" distR="114300">
            <wp:extent cx="5196205" cy="2317750"/>
            <wp:effectExtent l="0" t="0" r="10795" b="6350"/>
            <wp:docPr id="52" name="图片 52" descr="167021843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670218439349"/>
                    <pic:cNvPicPr>
                      <a:picLocks noChangeAspect="1"/>
                    </pic:cNvPicPr>
                  </pic:nvPicPr>
                  <pic:blipFill>
                    <a:blip r:embed="rId22"/>
                    <a:srcRect l="1500" t="1252" r="1412" b="1518"/>
                    <a:stretch>
                      <a:fillRect/>
                    </a:stretch>
                  </pic:blipFill>
                  <pic:spPr>
                    <a:xfrm>
                      <a:off x="0" y="0"/>
                      <a:ext cx="5196205" cy="231775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预算体系编号、预算体系名称、备注：可输入中文、英文、数字等信息。</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保存</w:t>
      </w:r>
      <w:r>
        <w:rPr>
          <w:rFonts w:hint="eastAsia" w:ascii="Times New Roman" w:hAnsi="Times New Roman" w:eastAsia="宋体" w:cs="Times New Roman"/>
          <w:kern w:val="2"/>
          <w:sz w:val="24"/>
          <w:szCs w:val="24"/>
          <w:lang w:val="en-US" w:eastAsia="zh-CN" w:bidi="ar-SA"/>
        </w:rPr>
        <w:t>】：保存数据，配置内容即刻生效，返回配置列表界面。</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关闭</w:t>
      </w:r>
      <w:r>
        <w:rPr>
          <w:rFonts w:hint="eastAsia" w:ascii="Times New Roman" w:hAnsi="Times New Roman" w:eastAsia="宋体" w:cs="Times New Roman"/>
          <w:kern w:val="2"/>
          <w:sz w:val="24"/>
          <w:szCs w:val="24"/>
          <w:lang w:val="en-US" w:eastAsia="zh-CN" w:bidi="ar-SA"/>
        </w:rPr>
        <w:t>】：返回配置列表界面。</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保存成功后预算体系生效，状态</w:t>
      </w:r>
      <w:r>
        <w:rPr>
          <w:rFonts w:hint="eastAsia" w:ascii="Times New Roman" w:hAnsi="Times New Roman" w:eastAsia="宋体" w:cs="Times New Roman"/>
          <w:kern w:val="2"/>
          <w:sz w:val="24"/>
          <w:szCs w:val="24"/>
          <w:lang w:val="en-US" w:eastAsia="zh-CN" w:bidi="ar-SA"/>
        </w:rPr>
        <w:t>为</w:t>
      </w:r>
      <w:r>
        <w:rPr>
          <w:rFonts w:hint="default" w:ascii="Times New Roman" w:hAnsi="Times New Roman" w:eastAsia="宋体" w:cs="Times New Roman"/>
          <w:kern w:val="2"/>
          <w:sz w:val="24"/>
          <w:szCs w:val="24"/>
          <w:lang w:val="en-US" w:eastAsia="zh-CN" w:bidi="ar-SA"/>
        </w:rPr>
        <w:t>“启用”</w:t>
      </w:r>
      <w:r>
        <w:rPr>
          <w:rFonts w:hint="eastAsia" w:cs="Times New Roman"/>
          <w:kern w:val="2"/>
          <w:sz w:val="24"/>
          <w:szCs w:val="24"/>
          <w:lang w:val="en-US" w:eastAsia="zh-CN" w:bidi="ar-SA"/>
        </w:rPr>
        <w:t>。</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启用</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状态的预算体系可以</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停用</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，但已经被使用过的预算体系不允许停用</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停用</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状态可以启用或者作废</w:t>
      </w:r>
      <w:r>
        <w:rPr>
          <w:rFonts w:hint="eastAsia" w:cs="Times New Roman"/>
          <w:kern w:val="2"/>
          <w:sz w:val="24"/>
          <w:szCs w:val="24"/>
          <w:lang w:val="en-US" w:eastAsia="zh-CN" w:bidi="ar-SA"/>
        </w:rPr>
        <w:t>。</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作废</w:t>
      </w:r>
      <w:r>
        <w:rPr>
          <w:rFonts w:hint="default" w:ascii="Times New Roman" w:hAnsi="Times New Roman" w:eastAsia="宋体" w:cs="Times New Roman"/>
          <w:kern w:val="2"/>
          <w:sz w:val="24"/>
          <w:szCs w:val="24"/>
          <w:lang w:val="en-US" w:eastAsia="zh-CN" w:bidi="ar-SA"/>
        </w:rPr>
        <w:t>：仅允许对停用状态的预算体系执行作废操作。若该预算体系已被使用（关联预算项目）则不允许作废。作废的记录不可再操作</w:t>
      </w:r>
      <w:r>
        <w:rPr>
          <w:rFonts w:hint="eastAsia" w:ascii="Times New Roman" w:hAnsi="Times New Roman" w:eastAsia="宋体" w:cs="Times New Roman"/>
          <w:kern w:val="2"/>
          <w:sz w:val="24"/>
          <w:szCs w:val="24"/>
          <w:lang w:val="en-US" w:eastAsia="zh-CN" w:bidi="ar-SA"/>
        </w:rPr>
        <w:t>，按钮置灰显示</w:t>
      </w:r>
      <w:r>
        <w:rPr>
          <w:rFonts w:hint="default"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64" w:name="_Toc11954"/>
      <w:bookmarkStart w:id="65" w:name="_Toc22642"/>
      <w:bookmarkStart w:id="66" w:name="_如何汇总融资计划"/>
      <w:r>
        <w:rPr>
          <w:rFonts w:hint="eastAsia" w:ascii="Arial" w:hAnsi="Times New Roman" w:eastAsia="宋体" w:cs="Times New Roman"/>
          <w:b/>
          <w:kern w:val="2"/>
          <w:sz w:val="30"/>
          <w:szCs w:val="24"/>
          <w:lang w:val="en-US" w:eastAsia="zh-CN" w:bidi="ar-SA"/>
        </w:rPr>
        <w:t>如何</w:t>
      </w:r>
      <w:bookmarkEnd w:id="64"/>
      <w:r>
        <w:rPr>
          <w:rFonts w:hint="eastAsia" w:ascii="Arial" w:cs="Times New Roman"/>
          <w:b/>
          <w:kern w:val="2"/>
          <w:sz w:val="30"/>
          <w:szCs w:val="24"/>
          <w:lang w:val="en-US" w:eastAsia="zh-CN" w:bidi="ar-SA"/>
        </w:rPr>
        <w:t>配置组织机构个性化设置</w:t>
      </w:r>
      <w:bookmarkEnd w:id="65"/>
    </w:p>
    <w:bookmarkEnd w:id="66"/>
    <w:p>
      <w:pPr>
        <w:widowControl w:val="0"/>
        <w:numPr>
          <w:ilvl w:val="2"/>
          <w:numId w:val="1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7" w:name="_Toc21713"/>
      <w:bookmarkStart w:id="68" w:name="_Toc20132"/>
      <w:r>
        <w:rPr>
          <w:rFonts w:hint="eastAsia" w:ascii="Times New Roman" w:hAnsi="Times New Roman" w:eastAsia="宋体" w:cs="Times New Roman"/>
          <w:b/>
          <w:kern w:val="2"/>
          <w:sz w:val="28"/>
          <w:szCs w:val="24"/>
          <w:lang w:val="en-US" w:eastAsia="zh-CN" w:bidi="ar-SA"/>
        </w:rPr>
        <w:t>业务场景描述</w:t>
      </w:r>
      <w:bookmarkEnd w:id="67"/>
      <w:bookmarkEnd w:id="68"/>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总部预算管理员/分子公司</w:t>
      </w:r>
      <w:r>
        <w:rPr>
          <w:rFonts w:hint="eastAsia" w:cs="Times New Roman"/>
          <w:kern w:val="2"/>
          <w:sz w:val="24"/>
          <w:szCs w:val="24"/>
          <w:lang w:val="en-US" w:eastAsia="zh-CN" w:bidi="ar-SA"/>
        </w:rPr>
        <w:t>预算管理员</w:t>
      </w:r>
      <w:r>
        <w:rPr>
          <w:rFonts w:hint="eastAsia" w:ascii="Times New Roman" w:hAnsi="Times New Roman" w:eastAsia="宋体" w:cs="Times New Roman"/>
          <w:kern w:val="2"/>
          <w:sz w:val="24"/>
          <w:szCs w:val="24"/>
          <w:lang w:val="en-US" w:eastAsia="zh-CN" w:bidi="ar-SA"/>
        </w:rPr>
        <w:t>拥有配置权限</w:t>
      </w:r>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系统机构管理功能基础上，进行个性化设置资金预算相关的要素，其中系统管理中组织机构管理支持手工维护和从统一门户主数据同步。本功能在统一的组织机构详细信息基础上，维护预算管理、预算上级汇总单位、预算控制等信息。</w:t>
      </w:r>
    </w:p>
    <w:p>
      <w:pPr>
        <w:widowControl w:val="0"/>
        <w:numPr>
          <w:ilvl w:val="2"/>
          <w:numId w:val="1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9" w:name="_Toc12843"/>
      <w:bookmarkStart w:id="70" w:name="_Toc6585"/>
      <w:r>
        <w:rPr>
          <w:rFonts w:hint="eastAsia" w:ascii="Times New Roman" w:hAnsi="Times New Roman" w:eastAsia="宋体" w:cs="Times New Roman"/>
          <w:b/>
          <w:kern w:val="2"/>
          <w:sz w:val="28"/>
          <w:szCs w:val="24"/>
          <w:lang w:val="en-US" w:eastAsia="zh-CN" w:bidi="ar-SA"/>
        </w:rPr>
        <w:t>菜单路径</w:t>
      </w:r>
      <w:bookmarkEnd w:id="69"/>
      <w:bookmarkEnd w:id="70"/>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w:t>
      </w:r>
      <w:r>
        <w:rPr>
          <w:rFonts w:hint="eastAsia" w:ascii="宋体" w:hAnsi="宋体" w:eastAsia="宋体" w:cs="宋体"/>
          <w:kern w:val="2"/>
          <w:sz w:val="24"/>
          <w:szCs w:val="24"/>
          <w:vertAlign w:val="baseline"/>
          <w:lang w:val="en-US" w:eastAsia="zh-CN" w:bidi="ar-SA"/>
        </w:rPr>
        <w:t>个性化设置】。</w:t>
      </w:r>
    </w:p>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1" w:name="_Toc878"/>
      <w:r>
        <w:rPr>
          <w:rFonts w:hint="eastAsia" w:ascii="Times New Roman" w:hAnsi="Times New Roman" w:eastAsia="宋体" w:cs="Times New Roman"/>
          <w:b/>
          <w:kern w:val="2"/>
          <w:sz w:val="28"/>
          <w:szCs w:val="24"/>
          <w:lang w:val="en-US" w:eastAsia="zh-CN" w:bidi="ar-SA"/>
        </w:rPr>
        <w:t>操作步骤</w:t>
      </w:r>
      <w:bookmarkEnd w:id="71"/>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第一步，点击菜单【个性化设置】，进入该菜单的主操作界面。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393055" cy="2480310"/>
            <wp:effectExtent l="0" t="0" r="4445" b="8890"/>
            <wp:docPr id="10" name="图片 10" descr="167117528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71175287881"/>
                    <pic:cNvPicPr>
                      <a:picLocks noChangeAspect="1"/>
                    </pic:cNvPicPr>
                  </pic:nvPicPr>
                  <pic:blipFill>
                    <a:blip r:embed="rId23"/>
                    <a:stretch>
                      <a:fillRect/>
                    </a:stretch>
                  </pic:blipFill>
                  <pic:spPr>
                    <a:xfrm>
                      <a:off x="0" y="0"/>
                      <a:ext cx="5393055" cy="2480310"/>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w:t>
      </w:r>
      <w:r>
        <w:rPr>
          <w:rFonts w:hint="eastAsia" w:ascii="宋体" w:cs="宋体"/>
          <w:kern w:val="0"/>
          <w:sz w:val="24"/>
          <w:szCs w:val="21"/>
          <w:lang w:val="en-US" w:eastAsia="zh-CN" w:bidi="ar-SA"/>
        </w:rPr>
        <w:t>在</w:t>
      </w:r>
      <w:r>
        <w:rPr>
          <w:rFonts w:hint="eastAsia" w:ascii="宋体" w:hAnsi="Times New Roman" w:eastAsia="宋体" w:cs="宋体"/>
          <w:kern w:val="0"/>
          <w:sz w:val="24"/>
          <w:szCs w:val="21"/>
          <w:lang w:val="en-US" w:eastAsia="zh-CN" w:bidi="ar-SA"/>
        </w:rPr>
        <w:t>左侧机构树选择需要设置的组织机构，在右侧组织机构个性化信息区进行设置。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组织机构详细信息，系统默认带出并置灰显示，无需填写。</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预算管理：预算管理设置为“是”的单位，用法为上级单位汇总资金预算时系统检查该单位是否已上报。</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预算上级汇总单位：资金预算汇总时默认按管理层级显示上级单位，也可以自定义选择其他管理单位，设置完成后在预算编制单位时自动显示上级汇总单位，上级汇总预算时，根据此配置检查下级单位是否全部上报了预算，无则提示“XXX单位未上报计划，是否继续汇总”</w:t>
      </w:r>
      <w:r>
        <w:rPr>
          <w:rFonts w:hint="eastAsia" w:cs="Times New Roman"/>
          <w:kern w:val="2"/>
          <w:sz w:val="24"/>
          <w:szCs w:val="24"/>
          <w:lang w:val="en-US" w:eastAsia="zh-CN" w:bidi="ar-SA"/>
        </w:rPr>
        <w:t>。</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预算控制：选择“是”的情况下进行预算控制，选择“否”不对预算进行管控。</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是否按部门管控：选择“是”，计划使用和执行的时候按各部门进行控制，选择“否”，该单位下所有部门共用额度</w:t>
      </w:r>
      <w:r>
        <w:rPr>
          <w:rFonts w:hint="eastAsia" w:cs="Times New Roman"/>
          <w:kern w:val="2"/>
          <w:sz w:val="24"/>
          <w:szCs w:val="24"/>
          <w:lang w:val="en-US" w:eastAsia="zh-CN" w:bidi="ar-SA"/>
        </w:rPr>
        <w:t>。</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本级汇总：如果各业务部门编制，在单位本级需要汇总合计成本单位预算，如果整个单位预算有一个部门代报，本单位可以不用汇总。</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审核：记录增加后，状态为“待审核”，须经过审核后生效，支持分子公司管理员维护下级组织机构。选中单个机构单笔审核，也可以点击全部审核。</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保存</w:t>
      </w:r>
      <w:r>
        <w:rPr>
          <w:rFonts w:hint="eastAsia" w:ascii="Times New Roman" w:hAnsi="Times New Roman" w:eastAsia="宋体" w:cs="Times New Roman"/>
          <w:kern w:val="2"/>
          <w:sz w:val="24"/>
          <w:szCs w:val="24"/>
          <w:lang w:val="en-US" w:eastAsia="zh-CN" w:bidi="ar-SA"/>
        </w:rPr>
        <w:t>】：保存数据，配置内容即刻生效，返回配置列表界面。</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72" w:name="_Toc29072"/>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配置预算周期设置</w:t>
      </w:r>
      <w:bookmarkEnd w:id="72"/>
    </w:p>
    <w:p>
      <w:pPr>
        <w:widowControl w:val="0"/>
        <w:numPr>
          <w:ilvl w:val="2"/>
          <w:numId w:val="1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3" w:name="_Toc16661"/>
      <w:r>
        <w:rPr>
          <w:rFonts w:hint="eastAsia" w:ascii="Times New Roman" w:hAnsi="Times New Roman" w:eastAsia="宋体" w:cs="Times New Roman"/>
          <w:b/>
          <w:kern w:val="2"/>
          <w:sz w:val="28"/>
          <w:szCs w:val="24"/>
          <w:lang w:val="en-US" w:eastAsia="zh-CN" w:bidi="ar-SA"/>
        </w:rPr>
        <w:t>业务场景描述</w:t>
      </w:r>
      <w:bookmarkEnd w:id="73"/>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仅总部预算管理员拥有配置权限。</w:t>
      </w:r>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在预算体系下设置预算周期以及周期之间的控制关系。</w:t>
      </w:r>
    </w:p>
    <w:p>
      <w:pPr>
        <w:widowControl w:val="0"/>
        <w:numPr>
          <w:ilvl w:val="2"/>
          <w:numId w:val="1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4" w:name="_Toc1460"/>
      <w:r>
        <w:rPr>
          <w:rFonts w:hint="eastAsia" w:ascii="Times New Roman" w:hAnsi="Times New Roman" w:eastAsia="宋体" w:cs="Times New Roman"/>
          <w:b/>
          <w:kern w:val="2"/>
          <w:sz w:val="28"/>
          <w:szCs w:val="24"/>
          <w:lang w:val="en-US" w:eastAsia="zh-CN" w:bidi="ar-SA"/>
        </w:rPr>
        <w:t>菜单路径</w:t>
      </w:r>
      <w:bookmarkEnd w:id="74"/>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-【预算基础设置】</w:t>
      </w:r>
      <w:r>
        <w:rPr>
          <w:rFonts w:hint="eastAsia" w:ascii="宋体" w:hAnsi="宋体" w:eastAsia="宋体" w:cs="宋体"/>
          <w:kern w:val="2"/>
          <w:sz w:val="24"/>
          <w:szCs w:val="24"/>
          <w:vertAlign w:val="baseline"/>
          <w:lang w:val="en-US" w:eastAsia="zh-CN" w:bidi="ar-SA"/>
        </w:rPr>
        <w:t>-【预算</w:t>
      </w:r>
      <w:r>
        <w:rPr>
          <w:rFonts w:hint="eastAsia" w:ascii="宋体" w:hAnsi="宋体" w:cs="宋体"/>
          <w:kern w:val="2"/>
          <w:sz w:val="24"/>
          <w:szCs w:val="24"/>
          <w:vertAlign w:val="baseline"/>
          <w:lang w:val="en-US" w:eastAsia="zh-CN" w:bidi="ar-SA"/>
        </w:rPr>
        <w:t>周期</w:t>
      </w:r>
      <w:r>
        <w:rPr>
          <w:rFonts w:hint="eastAsia" w:ascii="宋体" w:hAnsi="宋体" w:eastAsia="宋体" w:cs="宋体"/>
          <w:kern w:val="2"/>
          <w:sz w:val="24"/>
          <w:szCs w:val="24"/>
          <w:vertAlign w:val="baseline"/>
          <w:lang w:val="en-US" w:eastAsia="zh-CN" w:bidi="ar-SA"/>
        </w:rPr>
        <w:t>设置】。</w:t>
      </w:r>
    </w:p>
    <w:p>
      <w:pPr>
        <w:widowControl w:val="0"/>
        <w:numPr>
          <w:ilvl w:val="2"/>
          <w:numId w:val="1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5" w:name="_Toc23423"/>
      <w:r>
        <w:rPr>
          <w:rFonts w:hint="eastAsia" w:ascii="Times New Roman" w:hAnsi="Times New Roman" w:eastAsia="宋体" w:cs="Times New Roman"/>
          <w:b/>
          <w:kern w:val="2"/>
          <w:sz w:val="28"/>
          <w:szCs w:val="24"/>
          <w:lang w:val="en-US" w:eastAsia="zh-CN" w:bidi="ar-SA"/>
        </w:rPr>
        <w:t>操作步骤</w:t>
      </w:r>
      <w:bookmarkEnd w:id="75"/>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第一步，点击菜单【预算</w:t>
      </w:r>
      <w:r>
        <w:rPr>
          <w:rFonts w:hint="eastAsia" w:ascii="宋体" w:cs="宋体"/>
          <w:kern w:val="0"/>
          <w:sz w:val="24"/>
          <w:szCs w:val="21"/>
          <w:lang w:val="en-US" w:eastAsia="zh-CN" w:bidi="ar-SA"/>
        </w:rPr>
        <w:t>周期设置</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299710" cy="1861820"/>
            <wp:effectExtent l="0" t="0" r="8890" b="5080"/>
            <wp:docPr id="11" name="图片 11" descr="167117535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71175356415"/>
                    <pic:cNvPicPr>
                      <a:picLocks noChangeAspect="1"/>
                    </pic:cNvPicPr>
                  </pic:nvPicPr>
                  <pic:blipFill>
                    <a:blip r:embed="rId24"/>
                    <a:stretch>
                      <a:fillRect/>
                    </a:stretch>
                  </pic:blipFill>
                  <pic:spPr>
                    <a:xfrm>
                      <a:off x="0" y="0"/>
                      <a:ext cx="5299710" cy="1861820"/>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w:t>
      </w:r>
      <w:r>
        <w:rPr>
          <w:rFonts w:hint="eastAsia" w:ascii="宋体" w:cs="宋体"/>
          <w:kern w:val="0"/>
          <w:sz w:val="24"/>
          <w:szCs w:val="21"/>
          <w:lang w:val="en-US" w:eastAsia="zh-CN" w:bidi="ar-SA"/>
        </w:rPr>
        <w:t>进入</w:t>
      </w:r>
      <w:r>
        <w:rPr>
          <w:rFonts w:hint="eastAsia" w:ascii="宋体" w:hAnsi="Times New Roman" w:eastAsia="宋体" w:cs="宋体"/>
          <w:kern w:val="0"/>
          <w:sz w:val="24"/>
          <w:szCs w:val="21"/>
          <w:lang w:val="en-US" w:eastAsia="zh-CN" w:bidi="ar-SA"/>
        </w:rPr>
        <w:t>预算周期设置新增界面，选择预算体系名称、预算周期类型</w:t>
      </w:r>
      <w:r>
        <w:rPr>
          <w:rFonts w:hint="eastAsia" w:ascii="宋体" w:cs="宋体"/>
          <w:kern w:val="0"/>
          <w:sz w:val="24"/>
          <w:szCs w:val="21"/>
          <w:lang w:val="en-US" w:eastAsia="zh-CN" w:bidi="ar-SA"/>
        </w:rPr>
        <w:t>，</w:t>
      </w:r>
      <w:r>
        <w:rPr>
          <w:rFonts w:hint="eastAsia" w:ascii="宋体" w:hAnsi="Times New Roman" w:eastAsia="宋体" w:cs="宋体"/>
          <w:kern w:val="0"/>
          <w:sz w:val="24"/>
          <w:szCs w:val="21"/>
          <w:lang w:val="en-US" w:eastAsia="zh-CN" w:bidi="ar-SA"/>
        </w:rPr>
        <w:t>输入预算周期编号、预算周期名称、备注，选择是否受控</w:t>
      </w:r>
      <w:r>
        <w:rPr>
          <w:rFonts w:hint="eastAsia" w:ascii="宋体" w:cs="宋体"/>
          <w:kern w:val="0"/>
          <w:sz w:val="24"/>
          <w:szCs w:val="21"/>
          <w:lang w:val="en-US" w:eastAsia="zh-CN" w:bidi="ar-SA"/>
        </w:rPr>
        <w:t>。</w:t>
      </w:r>
      <w:r>
        <w:rPr>
          <w:rFonts w:hint="eastAsia" w:ascii="宋体" w:hAnsi="Times New Roman" w:eastAsia="宋体" w:cs="宋体"/>
          <w:kern w:val="0"/>
          <w:sz w:val="24"/>
          <w:szCs w:val="21"/>
          <w:lang w:val="en-US" w:eastAsia="zh-CN" w:bidi="ar-SA"/>
        </w:rPr>
        <w:t>点击【保存】</w:t>
      </w:r>
      <w:r>
        <w:rPr>
          <w:rFonts w:hint="eastAsia" w:ascii="宋体" w:cs="宋体"/>
          <w:kern w:val="0"/>
          <w:sz w:val="24"/>
          <w:szCs w:val="21"/>
          <w:lang w:val="en-US" w:eastAsia="zh-CN" w:bidi="ar-SA"/>
        </w:rPr>
        <w:t>，提示</w:t>
      </w:r>
      <w:r>
        <w:rPr>
          <w:rFonts w:hint="eastAsia" w:ascii="宋体" w:hAnsi="Times New Roman" w:eastAsia="宋体" w:cs="宋体"/>
          <w:kern w:val="0"/>
          <w:sz w:val="24"/>
          <w:szCs w:val="21"/>
          <w:lang w:val="en-US" w:eastAsia="zh-CN" w:bidi="ar-SA"/>
        </w:rPr>
        <w:t>保存成功。</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drawing>
          <wp:inline distT="0" distB="0" distL="114300" distR="114300">
            <wp:extent cx="5118100" cy="2338070"/>
            <wp:effectExtent l="0" t="0" r="0" b="11430"/>
            <wp:docPr id="67" name="图片 67" descr="167022090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670220903722"/>
                    <pic:cNvPicPr>
                      <a:picLocks noChangeAspect="1"/>
                    </pic:cNvPicPr>
                  </pic:nvPicPr>
                  <pic:blipFill>
                    <a:blip r:embed="rId25"/>
                    <a:stretch>
                      <a:fillRect/>
                    </a:stretch>
                  </pic:blipFill>
                  <pic:spPr>
                    <a:xfrm>
                      <a:off x="0" y="0"/>
                      <a:ext cx="5118100" cy="233807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预算周期：在某个预算体系下设置周期，可对一个集团公司的不同板块/公司分类管理。</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预算编制方法：每个周期分为固定预算和滚动预算两种，固定预算是每次预算只填写一个周期，滚动预算是每次上报多个周期，当前可设置为固定，默认为固定周期。</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唯一性校验：预算周期编码、预算周期名称唯一性检查，同一个预算体系，相同的预算周期类型唯一。</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周期受控：设置本周是否受上级周期控制，例如：年控制月，月控制周。周期受控项目定义哪些项目受控，比如支出预算受控，选择到明细表示按明细受控，选择到大类表示按大类受控。</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保存</w:t>
      </w:r>
      <w:r>
        <w:rPr>
          <w:rFonts w:hint="eastAsia" w:ascii="Times New Roman" w:hAnsi="Times New Roman" w:eastAsia="宋体" w:cs="Times New Roman"/>
          <w:kern w:val="2"/>
          <w:sz w:val="24"/>
          <w:szCs w:val="24"/>
          <w:lang w:val="en-US" w:eastAsia="zh-CN" w:bidi="ar-SA"/>
        </w:rPr>
        <w:t>】：保存数据，配置内容即刻生效，返回配置列表界面。</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【关闭】：返回配置列表界面。</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lang w:val="en-US" w:eastAsia="zh-CN" w:bidi="ar-SA"/>
        </w:rPr>
      </w:pPr>
      <w:bookmarkStart w:id="76" w:name="_Toc30615"/>
      <w:r>
        <w:rPr>
          <w:rFonts w:hint="eastAsia" w:ascii="Arial" w:cs="Times New Roman"/>
          <w:b/>
          <w:kern w:val="2"/>
          <w:sz w:val="30"/>
          <w:szCs w:val="24"/>
          <w:lang w:val="en-US" w:eastAsia="zh-CN" w:bidi="ar-SA"/>
        </w:rPr>
        <w:t>如何配置周期区间设置</w:t>
      </w:r>
      <w:bookmarkEnd w:id="76"/>
    </w:p>
    <w:p>
      <w:pPr>
        <w:widowControl w:val="0"/>
        <w:numPr>
          <w:ilvl w:val="2"/>
          <w:numId w:val="1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7" w:name="_Toc29074"/>
      <w:r>
        <w:rPr>
          <w:rFonts w:hint="eastAsia" w:ascii="Times New Roman" w:hAnsi="Times New Roman" w:eastAsia="宋体" w:cs="Times New Roman"/>
          <w:b/>
          <w:kern w:val="2"/>
          <w:sz w:val="28"/>
          <w:szCs w:val="24"/>
          <w:lang w:val="en-US" w:eastAsia="zh-CN" w:bidi="ar-SA"/>
        </w:rPr>
        <w:t>业务场景描述</w:t>
      </w:r>
      <w:bookmarkEnd w:id="77"/>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仅总部预算管理员拥有配置权限。</w:t>
      </w:r>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设置预算体系下各预算周期在各预算年度的日期区间范围。</w:t>
      </w:r>
    </w:p>
    <w:p>
      <w:pPr>
        <w:widowControl w:val="0"/>
        <w:numPr>
          <w:ilvl w:val="2"/>
          <w:numId w:val="1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8" w:name="_Toc25803"/>
      <w:r>
        <w:rPr>
          <w:rFonts w:hint="eastAsia" w:ascii="Times New Roman" w:hAnsi="Times New Roman" w:eastAsia="宋体" w:cs="Times New Roman"/>
          <w:b/>
          <w:kern w:val="2"/>
          <w:sz w:val="28"/>
          <w:szCs w:val="24"/>
          <w:lang w:val="en-US" w:eastAsia="zh-CN" w:bidi="ar-SA"/>
        </w:rPr>
        <w:t>菜单路径</w:t>
      </w:r>
      <w:bookmarkEnd w:id="78"/>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周期区间</w:t>
      </w:r>
      <w:r>
        <w:rPr>
          <w:rFonts w:hint="eastAsia" w:ascii="宋体" w:hAnsi="宋体" w:eastAsia="宋体" w:cs="宋体"/>
          <w:kern w:val="2"/>
          <w:sz w:val="24"/>
          <w:szCs w:val="24"/>
          <w:vertAlign w:val="baseline"/>
          <w:lang w:val="en-US" w:eastAsia="zh-CN" w:bidi="ar-SA"/>
        </w:rPr>
        <w:t>设置】。</w:t>
      </w:r>
    </w:p>
    <w:p>
      <w:pPr>
        <w:widowControl w:val="0"/>
        <w:numPr>
          <w:ilvl w:val="2"/>
          <w:numId w:val="1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9" w:name="_Toc17364"/>
      <w:r>
        <w:rPr>
          <w:rFonts w:hint="eastAsia" w:ascii="Times New Roman" w:hAnsi="Times New Roman" w:eastAsia="宋体" w:cs="Times New Roman"/>
          <w:b/>
          <w:kern w:val="2"/>
          <w:sz w:val="28"/>
          <w:szCs w:val="24"/>
          <w:lang w:val="en-US" w:eastAsia="zh-CN" w:bidi="ar-SA"/>
        </w:rPr>
        <w:t>操作步骤</w:t>
      </w:r>
      <w:bookmarkEnd w:id="79"/>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周期区间设置</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218430" cy="1978025"/>
            <wp:effectExtent l="0" t="0" r="1270" b="3175"/>
            <wp:docPr id="12" name="图片 12" descr="167117572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71175722022"/>
                    <pic:cNvPicPr>
                      <a:picLocks noChangeAspect="1"/>
                    </pic:cNvPicPr>
                  </pic:nvPicPr>
                  <pic:blipFill>
                    <a:blip r:embed="rId26"/>
                    <a:stretch>
                      <a:fillRect/>
                    </a:stretch>
                  </pic:blipFill>
                  <pic:spPr>
                    <a:xfrm>
                      <a:off x="0" y="0"/>
                      <a:ext cx="5218430" cy="1978025"/>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第二步，点击【新增】，在弹出的周期区间设置新增界面，选择预算年度、</w:t>
      </w:r>
    </w:p>
    <w:p>
      <w:pPr>
        <w:widowControl w:val="0"/>
        <w:numPr>
          <w:ilvl w:val="0"/>
          <w:numId w:val="0"/>
        </w:numPr>
        <w:spacing w:line="360" w:lineRule="auto"/>
        <w:ind w:leftChars="0" w:firstLine="480" w:firstLineChars="20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算体系名称、预算周期名称。</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338445" cy="1300480"/>
            <wp:effectExtent l="0" t="0" r="0" b="762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7"/>
                    <a:srcRect l="1135" t="1642" r="-1741" b="44085"/>
                    <a:stretch>
                      <a:fillRect/>
                    </a:stretch>
                  </pic:blipFill>
                  <pic:spPr>
                    <a:xfrm>
                      <a:off x="0" y="0"/>
                      <a:ext cx="5338445" cy="130048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第三步，在日期区间输入区，点击【新增】，新增一条周期区间，</w:t>
      </w:r>
      <w:r>
        <w:rPr>
          <w:rFonts w:hint="eastAsia" w:ascii="宋体" w:cs="宋体"/>
          <w:kern w:val="0"/>
          <w:sz w:val="24"/>
          <w:szCs w:val="21"/>
          <w:lang w:val="en-US" w:eastAsia="zh-CN" w:bidi="ar-SA"/>
        </w:rPr>
        <w:t>也可在</w:t>
      </w:r>
      <w:r>
        <w:rPr>
          <w:rFonts w:hint="eastAsia" w:ascii="宋体" w:hAnsi="Times New Roman" w:eastAsia="宋体" w:cs="宋体"/>
          <w:kern w:val="0"/>
          <w:sz w:val="24"/>
          <w:szCs w:val="21"/>
          <w:lang w:val="en-US" w:eastAsia="zh-CN" w:bidi="ar-SA"/>
        </w:rPr>
        <w:t>周期区间点击操作列</w:t>
      </w:r>
      <w:r>
        <w:rPr>
          <w:rFonts w:hint="eastAsia" w:ascii="宋体" w:cs="宋体"/>
          <w:kern w:val="0"/>
          <w:sz w:val="24"/>
          <w:szCs w:val="21"/>
          <w:lang w:val="en-US" w:eastAsia="zh-CN" w:bidi="ar-SA"/>
        </w:rPr>
        <w:t>的【删除】按钮进行删除。</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415915" cy="1426845"/>
            <wp:effectExtent l="0" t="0" r="6985" b="8255"/>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28"/>
                    <a:srcRect l="1237" t="1110" r="850" b="44667"/>
                    <a:stretch>
                      <a:fillRect/>
                    </a:stretch>
                  </pic:blipFill>
                  <pic:spPr>
                    <a:xfrm>
                      <a:off x="0" y="0"/>
                      <a:ext cx="5415915" cy="1426845"/>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如果预算周期设置的是月，在日期区间输入区，可点击【新增】或者【自动生成月区间明细】，新增一条月周期区间或一整年月周期区间，周期区间可以点击操作列的【删除】按钮进行删除。</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064125" cy="1389380"/>
            <wp:effectExtent l="0" t="0" r="3175" b="762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29"/>
                    <a:srcRect l="2098" t="1351" r="1468" b="45850"/>
                    <a:stretch>
                      <a:fillRect/>
                    </a:stretch>
                  </pic:blipFill>
                  <pic:spPr>
                    <a:xfrm>
                      <a:off x="0" y="0"/>
                      <a:ext cx="5064125" cy="138938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143500" cy="2270125"/>
            <wp:effectExtent l="0" t="0" r="0" b="3175"/>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30"/>
                    <a:stretch>
                      <a:fillRect/>
                    </a:stretch>
                  </pic:blipFill>
                  <pic:spPr>
                    <a:xfrm>
                      <a:off x="0" y="0"/>
                      <a:ext cx="5143500" cy="2270125"/>
                    </a:xfrm>
                    <a:prstGeom prst="rect">
                      <a:avLst/>
                    </a:prstGeom>
                    <a:noFill/>
                    <a:ln>
                      <a:noFill/>
                    </a:ln>
                  </pic:spPr>
                </pic:pic>
              </a:graphicData>
            </a:graphic>
          </wp:inline>
        </w:drawing>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预算周期区间：预算周期区间在预算编制前必须设置完成</w:t>
      </w:r>
      <w:r>
        <w:rPr>
          <w:rFonts w:hint="eastAsia" w:cs="Times New Roman"/>
          <w:kern w:val="2"/>
          <w:sz w:val="24"/>
          <w:szCs w:val="24"/>
          <w:lang w:val="en-US" w:eastAsia="zh-CN" w:bidi="ar-SA"/>
        </w:rPr>
        <w:t>。</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日期区间明细列：当所选预算周期“是否受控制”选项为“不受控”时，表格列项：编号、开始日期、结束日期、区间名称、状态、操作。当所选预算周期“是否受控制”选项为“受控”时，表格列项增加“受控区间”列。通过下拉框选择受控周期下设置的“区间名称”内容。</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默认自然月：设置月周期区间时，根据所选年度自动默认12个月，开始日期和结束日期为自然月的开始日期和结束日期。</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唯一性校验：同一预算体系，同一预算周期，同一区间不能重复设置。</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cs="宋体"/>
          <w:kern w:val="0"/>
          <w:sz w:val="24"/>
          <w:szCs w:val="24"/>
          <w:lang w:val="en-US" w:eastAsia="zh-CN"/>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保存</w:t>
      </w:r>
      <w:r>
        <w:rPr>
          <w:rFonts w:hint="eastAsia" w:ascii="Times New Roman" w:hAnsi="Times New Roman" w:eastAsia="宋体" w:cs="Times New Roman"/>
          <w:kern w:val="2"/>
          <w:sz w:val="24"/>
          <w:szCs w:val="24"/>
          <w:lang w:val="en-US" w:eastAsia="zh-CN" w:bidi="ar-SA"/>
        </w:rPr>
        <w:t>】：保存数据，配置内容即刻生效，返回配置列表界面。</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cs="宋体"/>
          <w:kern w:val="0"/>
          <w:sz w:val="24"/>
          <w:szCs w:val="24"/>
          <w:lang w:val="en-US" w:eastAsia="zh-CN"/>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关闭</w:t>
      </w:r>
      <w:r>
        <w:rPr>
          <w:rFonts w:hint="eastAsia" w:ascii="Times New Roman" w:hAnsi="Times New Roman" w:eastAsia="宋体" w:cs="Times New Roman"/>
          <w:kern w:val="2"/>
          <w:sz w:val="24"/>
          <w:szCs w:val="24"/>
          <w:lang w:val="en-US" w:eastAsia="zh-CN" w:bidi="ar-SA"/>
        </w:rPr>
        <w:t>】：返回配置列表界面。</w:t>
      </w:r>
    </w:p>
    <w:bookmarkEnd w:id="6"/>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lang w:val="en-US" w:eastAsia="zh-CN" w:bidi="ar-SA"/>
        </w:rPr>
      </w:pPr>
      <w:bookmarkStart w:id="80" w:name="_Toc18282"/>
      <w:bookmarkStart w:id="81" w:name="_Toc10253"/>
      <w:bookmarkStart w:id="82" w:name="_如何查询业务数据"/>
      <w:bookmarkStart w:id="83" w:name="_Toc24615"/>
      <w:r>
        <w:rPr>
          <w:rFonts w:hint="eastAsia" w:ascii="Arial" w:hAnsi="Times New Roman" w:eastAsia="宋体" w:cs="Times New Roman"/>
          <w:b/>
          <w:kern w:val="2"/>
          <w:sz w:val="30"/>
          <w:szCs w:val="24"/>
          <w:lang w:val="en-US" w:eastAsia="zh-CN" w:bidi="ar-SA"/>
        </w:rPr>
        <w:t>如何</w:t>
      </w:r>
      <w:bookmarkEnd w:id="80"/>
      <w:r>
        <w:rPr>
          <w:rFonts w:hint="eastAsia" w:ascii="Arial" w:cs="Times New Roman"/>
          <w:b/>
          <w:kern w:val="2"/>
          <w:sz w:val="30"/>
          <w:szCs w:val="24"/>
          <w:lang w:val="en-US" w:eastAsia="zh-CN" w:bidi="ar-SA"/>
        </w:rPr>
        <w:t>配置预算总模板设置</w:t>
      </w:r>
      <w:bookmarkEnd w:id="81"/>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4" w:name="_Toc13592"/>
      <w:r>
        <w:rPr>
          <w:rFonts w:hint="eastAsia" w:ascii="Times New Roman" w:hAnsi="Times New Roman" w:eastAsia="宋体" w:cs="Times New Roman"/>
          <w:b/>
          <w:kern w:val="2"/>
          <w:sz w:val="28"/>
          <w:szCs w:val="24"/>
          <w:lang w:val="en-US" w:eastAsia="zh-CN" w:bidi="ar-SA"/>
        </w:rPr>
        <w:t>业务场景描述</w:t>
      </w:r>
      <w:bookmarkEnd w:id="84"/>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仅总部预算管理员拥有配置权限。</w:t>
      </w:r>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集团总部设置总模板，即按照层级关系设置预算项目，由集团总部预算管理员设置完成。主要功能包括总模板新增、修改总模板，预算项目新增同级、新增下级、删除。</w:t>
      </w:r>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5" w:name="_Toc26567"/>
      <w:r>
        <w:rPr>
          <w:rFonts w:hint="eastAsia" w:ascii="Times New Roman" w:hAnsi="Times New Roman" w:eastAsia="宋体" w:cs="Times New Roman"/>
          <w:b/>
          <w:kern w:val="2"/>
          <w:sz w:val="28"/>
          <w:szCs w:val="24"/>
          <w:lang w:val="en-US" w:eastAsia="zh-CN" w:bidi="ar-SA"/>
        </w:rPr>
        <w:t>菜单路径</w:t>
      </w:r>
      <w:bookmarkEnd w:id="85"/>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-【预算编制设置】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预算总模板</w:t>
      </w:r>
      <w:r>
        <w:rPr>
          <w:rFonts w:hint="eastAsia" w:ascii="宋体" w:hAnsi="宋体" w:eastAsia="宋体" w:cs="宋体"/>
          <w:kern w:val="2"/>
          <w:sz w:val="24"/>
          <w:szCs w:val="24"/>
          <w:vertAlign w:val="baseline"/>
          <w:lang w:val="en-US" w:eastAsia="zh-CN" w:bidi="ar-SA"/>
        </w:rPr>
        <w:t>设置】。</w:t>
      </w:r>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6" w:name="_Toc28022"/>
      <w:r>
        <w:rPr>
          <w:rFonts w:hint="eastAsia" w:ascii="Times New Roman" w:hAnsi="Times New Roman" w:eastAsia="宋体" w:cs="Times New Roman"/>
          <w:b/>
          <w:kern w:val="2"/>
          <w:sz w:val="28"/>
          <w:szCs w:val="24"/>
          <w:lang w:val="en-US" w:eastAsia="zh-CN" w:bidi="ar-SA"/>
        </w:rPr>
        <w:t>操作步骤</w:t>
      </w:r>
      <w:bookmarkEnd w:id="86"/>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预算总模板设置</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430520" cy="1622425"/>
            <wp:effectExtent l="0" t="0" r="5080" b="3175"/>
            <wp:docPr id="13" name="图片 13" descr="167117578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71175781766"/>
                    <pic:cNvPicPr>
                      <a:picLocks noChangeAspect="1"/>
                    </pic:cNvPicPr>
                  </pic:nvPicPr>
                  <pic:blipFill>
                    <a:blip r:embed="rId31"/>
                    <a:stretch>
                      <a:fillRect/>
                    </a:stretch>
                  </pic:blipFill>
                  <pic:spPr>
                    <a:xfrm>
                      <a:off x="0" y="0"/>
                      <a:ext cx="5430520" cy="1622425"/>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第二步，点击【新增总模板】，在弹出的总模板基础信息中设置总模板名称、备注、生效周期、模板类型、包括体系、复制模板。点击【保存】，提示保存成功。</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第三步，新增同级，选中总模板下的一级项目，点击【新增同级】，在右侧区域填写预算项目编号、预算项目名称、项目类型、状态。点击【保存】，</w:t>
      </w:r>
      <w:r>
        <w:rPr>
          <w:rFonts w:hint="eastAsia" w:ascii="宋体" w:cs="宋体"/>
          <w:kern w:val="0"/>
          <w:sz w:val="24"/>
          <w:szCs w:val="21"/>
          <w:lang w:val="en-US" w:eastAsia="zh-CN" w:bidi="ar-SA"/>
        </w:rPr>
        <w:t>提示</w:t>
      </w:r>
      <w:r>
        <w:rPr>
          <w:rFonts w:hint="eastAsia" w:ascii="宋体" w:hAnsi="Times New Roman" w:eastAsia="宋体" w:cs="宋体"/>
          <w:kern w:val="0"/>
          <w:sz w:val="24"/>
          <w:szCs w:val="21"/>
          <w:lang w:val="en-US" w:eastAsia="zh-CN" w:bidi="ar-SA"/>
        </w:rPr>
        <w:t>保存成功。在选中的一级项目下增加一条记录，与选中的项目为同级项目。</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w:t>
      </w:r>
      <w:r>
        <w:rPr>
          <w:rFonts w:hint="eastAsia" w:ascii="宋体" w:cs="宋体"/>
          <w:kern w:val="0"/>
          <w:sz w:val="24"/>
          <w:szCs w:val="21"/>
          <w:lang w:val="en-US" w:eastAsia="zh-CN" w:bidi="ar-SA"/>
        </w:rPr>
        <w:t>四</w:t>
      </w:r>
      <w:r>
        <w:rPr>
          <w:rFonts w:hint="eastAsia" w:ascii="宋体" w:hAnsi="Times New Roman" w:eastAsia="宋体" w:cs="宋体"/>
          <w:kern w:val="0"/>
          <w:sz w:val="24"/>
          <w:szCs w:val="21"/>
          <w:lang w:val="en-US" w:eastAsia="zh-CN" w:bidi="ar-SA"/>
        </w:rPr>
        <w:t>步，新增下级，操作同新增同级操作，保存成功后，在选中的一级项目的下一级增加一条记录，与选中目录为父子关系。</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458460" cy="1732915"/>
            <wp:effectExtent l="0" t="0" r="2540" b="6985"/>
            <wp:docPr id="14" name="图片 14" descr="167117583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671175832954"/>
                    <pic:cNvPicPr>
                      <a:picLocks noChangeAspect="1"/>
                    </pic:cNvPicPr>
                  </pic:nvPicPr>
                  <pic:blipFill>
                    <a:blip r:embed="rId32"/>
                    <a:stretch>
                      <a:fillRect/>
                    </a:stretch>
                  </pic:blipFill>
                  <pic:spPr>
                    <a:xfrm>
                      <a:off x="0" y="0"/>
                      <a:ext cx="5458460" cy="173291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项目类型：项目类型配置，经营活动现金流入小计、投资活动现金流入小计、筹资活动现金流入小计为收入合计类。经营活动现金流出小计、投资活动现金流出小计、筹资活动现金流出小计为支出合计类。这三个项目作为后续查询和评价统计三项流入合计和三项流出合计使用，请勿配置错误。</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【保存】：保存数据，配置内容即刻生效。</w:t>
      </w:r>
    </w:p>
    <w:bookmarkEnd w:id="82"/>
    <w:bookmarkEnd w:id="83"/>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lang w:val="en-US" w:eastAsia="zh-CN" w:bidi="ar-SA"/>
        </w:rPr>
      </w:pPr>
      <w:bookmarkStart w:id="87" w:name="_Toc16802"/>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配置预算子模板设置</w:t>
      </w:r>
      <w:bookmarkEnd w:id="87"/>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8" w:name="_Toc6691"/>
      <w:r>
        <w:rPr>
          <w:rFonts w:hint="eastAsia" w:ascii="Times New Roman" w:hAnsi="Times New Roman" w:eastAsia="宋体" w:cs="Times New Roman"/>
          <w:b/>
          <w:kern w:val="2"/>
          <w:sz w:val="28"/>
          <w:szCs w:val="24"/>
          <w:lang w:val="en-US" w:eastAsia="zh-CN" w:bidi="ar-SA"/>
        </w:rPr>
        <w:t>业务场景描述</w:t>
      </w:r>
      <w:bookmarkEnd w:id="88"/>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仅分、子公司预算管理员拥有配置权限。</w:t>
      </w:r>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总部在预算体系下设置预算总模板后，各分子公司根据各自预算管理需要，可设置本单位的子模板。设置子模版以总版版为基础进行细化。主要功能包括新增同级、新增下级、删除。在年预算和月计划编制时使用子模版。</w:t>
      </w:r>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9" w:name="_Toc17285"/>
      <w:r>
        <w:rPr>
          <w:rFonts w:hint="eastAsia" w:ascii="Times New Roman" w:hAnsi="Times New Roman" w:eastAsia="宋体" w:cs="Times New Roman"/>
          <w:b/>
          <w:kern w:val="2"/>
          <w:sz w:val="28"/>
          <w:szCs w:val="24"/>
          <w:lang w:val="en-US" w:eastAsia="zh-CN" w:bidi="ar-SA"/>
        </w:rPr>
        <w:t>菜单路径</w:t>
      </w:r>
      <w:bookmarkEnd w:id="89"/>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-【预算编制设置】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预算子模板</w:t>
      </w:r>
      <w:r>
        <w:rPr>
          <w:rFonts w:hint="eastAsia" w:ascii="宋体" w:hAnsi="宋体" w:eastAsia="宋体" w:cs="宋体"/>
          <w:kern w:val="2"/>
          <w:sz w:val="24"/>
          <w:szCs w:val="24"/>
          <w:vertAlign w:val="baseline"/>
          <w:lang w:val="en-US" w:eastAsia="zh-CN" w:bidi="ar-SA"/>
        </w:rPr>
        <w:t>设置】。</w:t>
      </w:r>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0" w:name="_Toc22753"/>
      <w:r>
        <w:rPr>
          <w:rFonts w:hint="eastAsia" w:ascii="Times New Roman" w:hAnsi="Times New Roman" w:eastAsia="宋体" w:cs="Times New Roman"/>
          <w:b/>
          <w:kern w:val="2"/>
          <w:sz w:val="28"/>
          <w:szCs w:val="24"/>
          <w:lang w:val="en-US" w:eastAsia="zh-CN" w:bidi="ar-SA"/>
        </w:rPr>
        <w:t>操作步骤</w:t>
      </w:r>
      <w:bookmarkEnd w:id="90"/>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预算子模板设置</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327015" cy="1784350"/>
            <wp:effectExtent l="0" t="0" r="6985" b="6350"/>
            <wp:docPr id="15" name="图片 15" descr="167117588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671175883519"/>
                    <pic:cNvPicPr>
                      <a:picLocks noChangeAspect="1"/>
                    </pic:cNvPicPr>
                  </pic:nvPicPr>
                  <pic:blipFill>
                    <a:blip r:embed="rId33"/>
                    <a:stretch>
                      <a:fillRect/>
                    </a:stretch>
                  </pic:blipFill>
                  <pic:spPr>
                    <a:xfrm>
                      <a:off x="0" y="0"/>
                      <a:ext cx="5327015" cy="1784350"/>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第三步，新增同级，选中</w:t>
      </w:r>
      <w:r>
        <w:rPr>
          <w:rFonts w:hint="eastAsia" w:ascii="宋体" w:cs="宋体"/>
          <w:kern w:val="0"/>
          <w:sz w:val="24"/>
          <w:szCs w:val="21"/>
          <w:lang w:val="en-US" w:eastAsia="zh-CN" w:bidi="ar-SA"/>
        </w:rPr>
        <w:t>子</w:t>
      </w:r>
      <w:r>
        <w:rPr>
          <w:rFonts w:hint="eastAsia" w:ascii="宋体" w:hAnsi="Times New Roman" w:eastAsia="宋体" w:cs="宋体"/>
          <w:kern w:val="0"/>
          <w:sz w:val="24"/>
          <w:szCs w:val="21"/>
          <w:lang w:val="en-US" w:eastAsia="zh-CN" w:bidi="ar-SA"/>
        </w:rPr>
        <w:t>模板下的一级项目，点击【新增同级】，在右侧区域填写预算项目编号、预算项目名称、项目类型、状态。点击【保存】，</w:t>
      </w:r>
      <w:r>
        <w:rPr>
          <w:rFonts w:hint="eastAsia" w:ascii="宋体" w:cs="宋体"/>
          <w:kern w:val="0"/>
          <w:sz w:val="24"/>
          <w:szCs w:val="21"/>
          <w:lang w:val="en-US" w:eastAsia="zh-CN" w:bidi="ar-SA"/>
        </w:rPr>
        <w:t>提示</w:t>
      </w:r>
      <w:r>
        <w:rPr>
          <w:rFonts w:hint="eastAsia" w:ascii="宋体" w:hAnsi="Times New Roman" w:eastAsia="宋体" w:cs="宋体"/>
          <w:kern w:val="0"/>
          <w:sz w:val="24"/>
          <w:szCs w:val="21"/>
          <w:lang w:val="en-US" w:eastAsia="zh-CN" w:bidi="ar-SA"/>
        </w:rPr>
        <w:t>保存成功。在选中的一级项目下增加一条记录，与选中的项目为同级项目。</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w:t>
      </w:r>
      <w:r>
        <w:rPr>
          <w:rFonts w:hint="eastAsia" w:ascii="宋体" w:cs="宋体"/>
          <w:kern w:val="0"/>
          <w:sz w:val="24"/>
          <w:szCs w:val="21"/>
          <w:lang w:val="en-US" w:eastAsia="zh-CN" w:bidi="ar-SA"/>
        </w:rPr>
        <w:t>四</w:t>
      </w:r>
      <w:r>
        <w:rPr>
          <w:rFonts w:hint="eastAsia" w:ascii="宋体" w:hAnsi="Times New Roman" w:eastAsia="宋体" w:cs="宋体"/>
          <w:kern w:val="0"/>
          <w:sz w:val="24"/>
          <w:szCs w:val="21"/>
          <w:lang w:val="en-US" w:eastAsia="zh-CN" w:bidi="ar-SA"/>
        </w:rPr>
        <w:t>步，新增下级，操作同新增同级操作，保存成功后，在选中的一级项目的下一级增加一条记录，与选中目录为父子关系。</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122545" cy="1652270"/>
            <wp:effectExtent l="0" t="0" r="8255" b="11430"/>
            <wp:docPr id="16" name="图片 16" descr="167117591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671175910516"/>
                    <pic:cNvPicPr>
                      <a:picLocks noChangeAspect="1"/>
                    </pic:cNvPicPr>
                  </pic:nvPicPr>
                  <pic:blipFill>
                    <a:blip r:embed="rId34"/>
                    <a:stretch>
                      <a:fillRect/>
                    </a:stretch>
                  </pic:blipFill>
                  <pic:spPr>
                    <a:xfrm>
                      <a:off x="0" y="0"/>
                      <a:ext cx="5122545" cy="165227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子模版预算项目树：左侧部门的子模版预算项目树，设置子模版时，需要在总模板的基础上进行设置，且只能在总模板预算项目基础上添加下级，不能更改总模板设置的预算项目。</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模板使用：本单位在预算汇总时使用自己的子模板，逐级汇总计划上报到集团时，使用总模板</w:t>
      </w:r>
      <w:r>
        <w:rPr>
          <w:rFonts w:hint="eastAsia" w:cs="Times New Roman"/>
          <w:kern w:val="2"/>
          <w:sz w:val="24"/>
          <w:szCs w:val="24"/>
          <w:lang w:val="en-US" w:eastAsia="zh-CN" w:bidi="ar-SA"/>
        </w:rPr>
        <w:t>。</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【保存】：保存数据，配置内容即刻生效。</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91" w:name="_Toc9656"/>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配置最迟上报时间设置</w:t>
      </w:r>
      <w:bookmarkEnd w:id="91"/>
    </w:p>
    <w:p>
      <w:pPr>
        <w:widowControl w:val="0"/>
        <w:numPr>
          <w:ilvl w:val="2"/>
          <w:numId w:val="2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2" w:name="_Toc5153"/>
      <w:r>
        <w:rPr>
          <w:rFonts w:hint="eastAsia" w:ascii="Times New Roman" w:hAnsi="Times New Roman" w:eastAsia="宋体" w:cs="Times New Roman"/>
          <w:b/>
          <w:kern w:val="2"/>
          <w:sz w:val="28"/>
          <w:szCs w:val="24"/>
          <w:lang w:val="en-US" w:eastAsia="zh-CN" w:bidi="ar-SA"/>
        </w:rPr>
        <w:t>业务场景描述</w:t>
      </w:r>
      <w:bookmarkEnd w:id="92"/>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仅总部、分/子公司预算管理员拥有配置权限。</w:t>
      </w:r>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总部在预算体系下设置预算周期的最迟上报时间，分为年、月，支持各级企业在总部设置的最迟上报时间的基础上，继续设置下级的最迟上报时间。</w:t>
      </w:r>
    </w:p>
    <w:p>
      <w:pPr>
        <w:widowControl w:val="0"/>
        <w:numPr>
          <w:ilvl w:val="2"/>
          <w:numId w:val="2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3" w:name="_Toc5898"/>
      <w:r>
        <w:rPr>
          <w:rFonts w:hint="eastAsia" w:ascii="Times New Roman" w:hAnsi="Times New Roman" w:eastAsia="宋体" w:cs="Times New Roman"/>
          <w:b/>
          <w:kern w:val="2"/>
          <w:sz w:val="28"/>
          <w:szCs w:val="24"/>
          <w:lang w:val="en-US" w:eastAsia="zh-CN" w:bidi="ar-SA"/>
        </w:rPr>
        <w:t>菜单路径</w:t>
      </w:r>
      <w:bookmarkEnd w:id="93"/>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-【预算编制设置】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年最迟上报时间设置</w:t>
      </w:r>
      <w:r>
        <w:rPr>
          <w:rFonts w:hint="eastAsia" w:ascii="宋体" w:hAnsi="宋体" w:eastAsia="宋体" w:cs="宋体"/>
          <w:kern w:val="2"/>
          <w:sz w:val="24"/>
          <w:szCs w:val="24"/>
          <w:vertAlign w:val="baseline"/>
          <w:lang w:val="en-US" w:eastAsia="zh-CN" w:bidi="ar-SA"/>
        </w:rPr>
        <w:t>】。</w:t>
      </w:r>
    </w:p>
    <w:p>
      <w:pPr>
        <w:widowControl w:val="0"/>
        <w:numPr>
          <w:ilvl w:val="2"/>
          <w:numId w:val="2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4" w:name="_Toc32018"/>
      <w:r>
        <w:rPr>
          <w:rFonts w:hint="eastAsia" w:ascii="Times New Roman" w:hAnsi="Times New Roman" w:eastAsia="宋体" w:cs="Times New Roman"/>
          <w:b/>
          <w:kern w:val="2"/>
          <w:sz w:val="28"/>
          <w:szCs w:val="24"/>
          <w:lang w:val="en-US" w:eastAsia="zh-CN" w:bidi="ar-SA"/>
        </w:rPr>
        <w:t>操作步骤</w:t>
      </w:r>
      <w:bookmarkEnd w:id="94"/>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年</w:t>
      </w:r>
      <w:r>
        <w:rPr>
          <w:rFonts w:hint="eastAsia" w:ascii="宋体" w:hAnsi="Times New Roman" w:eastAsia="宋体" w:cs="宋体"/>
          <w:kern w:val="0"/>
          <w:sz w:val="24"/>
          <w:szCs w:val="21"/>
          <w:lang w:val="en-US" w:eastAsia="zh-CN" w:bidi="ar-SA"/>
        </w:rPr>
        <w:t>最迟上报时间设置】，进入该菜单的主操作界面。</w:t>
      </w:r>
    </w:p>
    <w:p>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51195" cy="2631440"/>
            <wp:effectExtent l="0" t="0" r="1905" b="165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5"/>
                    <a:stretch>
                      <a:fillRect/>
                    </a:stretch>
                  </pic:blipFill>
                  <pic:spPr>
                    <a:xfrm>
                      <a:off x="0" y="0"/>
                      <a:ext cx="5751195" cy="263144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w:t>
      </w:r>
      <w:r>
        <w:rPr>
          <w:rFonts w:hint="eastAsia" w:ascii="宋体" w:cs="宋体"/>
          <w:kern w:val="0"/>
          <w:sz w:val="24"/>
          <w:szCs w:val="21"/>
          <w:lang w:val="en-US" w:eastAsia="zh-CN" w:bidi="ar-SA"/>
        </w:rPr>
        <w:t>设置</w:t>
      </w:r>
      <w:r>
        <w:rPr>
          <w:rFonts w:hint="eastAsia" w:ascii="宋体" w:hAnsi="Times New Roman" w:eastAsia="宋体" w:cs="宋体"/>
          <w:kern w:val="0"/>
          <w:sz w:val="24"/>
          <w:szCs w:val="21"/>
          <w:lang w:val="en-US" w:eastAsia="zh-CN" w:bidi="ar-SA"/>
        </w:rPr>
        <w:t>】，弹出年度最迟上报时间设置-新增界面，先选择预算体系、预算单位、是否包含下级单位，在日期区间明细中新增一条记录。点击【保存】，提示保存成功。</w:t>
      </w:r>
    </w:p>
    <w:p>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51830" cy="2052320"/>
            <wp:effectExtent l="0" t="0" r="1270" b="508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36"/>
                    <a:stretch>
                      <a:fillRect/>
                    </a:stretch>
                  </pic:blipFill>
                  <pic:spPr>
                    <a:xfrm>
                      <a:off x="0" y="0"/>
                      <a:ext cx="5751830" cy="205232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FF0000"/>
          <w:kern w:val="2"/>
          <w:sz w:val="24"/>
          <w:szCs w:val="24"/>
          <w:lang w:val="en-US" w:eastAsia="zh-CN" w:bidi="ar-SA"/>
        </w:rPr>
      </w:pPr>
      <w:r>
        <w:rPr>
          <w:rFonts w:hint="eastAsia" w:cs="Times New Roman"/>
          <w:color w:val="FF0000"/>
          <w:kern w:val="2"/>
          <w:sz w:val="24"/>
          <w:szCs w:val="24"/>
          <w:lang w:val="en-US" w:eastAsia="zh-CN" w:bidi="ar-SA"/>
        </w:rPr>
        <w:t>下级预算单位</w:t>
      </w:r>
      <w:r>
        <w:rPr>
          <w:rFonts w:hint="default" w:ascii="Times New Roman" w:hAnsi="Times New Roman" w:eastAsia="宋体" w:cs="Times New Roman"/>
          <w:color w:val="FF0000"/>
          <w:kern w:val="2"/>
          <w:sz w:val="24"/>
          <w:szCs w:val="24"/>
          <w:lang w:val="en-US" w:eastAsia="zh-CN" w:bidi="ar-SA"/>
        </w:rPr>
        <w:t>：</w:t>
      </w:r>
      <w:r>
        <w:rPr>
          <w:rFonts w:hint="eastAsia" w:cs="Times New Roman"/>
          <w:color w:val="FF0000"/>
          <w:kern w:val="2"/>
          <w:sz w:val="24"/>
          <w:szCs w:val="24"/>
          <w:lang w:val="en-US" w:eastAsia="zh-CN" w:bidi="ar-SA"/>
        </w:rPr>
        <w:t>如下级预算单位为空，则</w:t>
      </w:r>
      <w:r>
        <w:rPr>
          <w:rFonts w:hint="default" w:ascii="Times New Roman" w:hAnsi="Times New Roman" w:eastAsia="宋体" w:cs="Times New Roman"/>
          <w:color w:val="FF0000"/>
          <w:kern w:val="2"/>
          <w:sz w:val="24"/>
          <w:szCs w:val="24"/>
          <w:lang w:val="en-US" w:eastAsia="zh-CN" w:bidi="ar-SA"/>
        </w:rPr>
        <w:t>设置</w:t>
      </w:r>
      <w:r>
        <w:rPr>
          <w:rFonts w:hint="eastAsia" w:cs="Times New Roman"/>
          <w:color w:val="FF0000"/>
          <w:kern w:val="2"/>
          <w:sz w:val="24"/>
          <w:szCs w:val="24"/>
          <w:lang w:val="en-US" w:eastAsia="zh-CN" w:bidi="ar-SA"/>
        </w:rPr>
        <w:t>所有下级单位的</w:t>
      </w:r>
      <w:r>
        <w:rPr>
          <w:rFonts w:hint="default" w:ascii="Times New Roman" w:hAnsi="Times New Roman" w:eastAsia="宋体" w:cs="Times New Roman"/>
          <w:color w:val="FF0000"/>
          <w:kern w:val="2"/>
          <w:sz w:val="24"/>
          <w:szCs w:val="24"/>
          <w:lang w:val="en-US" w:eastAsia="zh-CN" w:bidi="ar-SA"/>
        </w:rPr>
        <w:t>最迟上报时间</w:t>
      </w:r>
      <w:r>
        <w:rPr>
          <w:rFonts w:hint="eastAsia" w:cs="Times New Roman"/>
          <w:color w:val="FF0000"/>
          <w:kern w:val="2"/>
          <w:sz w:val="24"/>
          <w:szCs w:val="24"/>
          <w:lang w:val="en-US" w:eastAsia="zh-CN" w:bidi="ar-SA"/>
        </w:rPr>
        <w:t>。</w:t>
      </w:r>
      <w:r>
        <w:rPr>
          <w:rFonts w:hint="default" w:ascii="Times New Roman" w:hAnsi="Times New Roman" w:eastAsia="宋体" w:cs="Times New Roman"/>
          <w:color w:val="FF0000"/>
          <w:kern w:val="2"/>
          <w:sz w:val="24"/>
          <w:szCs w:val="24"/>
          <w:lang w:val="en-US" w:eastAsia="zh-CN" w:bidi="ar-SA"/>
        </w:rPr>
        <w:t>可</w:t>
      </w:r>
      <w:r>
        <w:rPr>
          <w:rFonts w:hint="eastAsia" w:cs="Times New Roman"/>
          <w:color w:val="FF0000"/>
          <w:kern w:val="2"/>
          <w:sz w:val="24"/>
          <w:szCs w:val="24"/>
          <w:lang w:val="en-US" w:eastAsia="zh-CN" w:bidi="ar-SA"/>
        </w:rPr>
        <w:t>选择</w:t>
      </w:r>
      <w:r>
        <w:rPr>
          <w:rFonts w:hint="default" w:ascii="Times New Roman" w:hAnsi="Times New Roman" w:eastAsia="宋体" w:cs="Times New Roman"/>
          <w:color w:val="FF0000"/>
          <w:kern w:val="2"/>
          <w:sz w:val="24"/>
          <w:szCs w:val="24"/>
          <w:lang w:val="en-US" w:eastAsia="zh-CN" w:bidi="ar-SA"/>
        </w:rPr>
        <w:t>下级</w:t>
      </w:r>
      <w:r>
        <w:rPr>
          <w:rFonts w:hint="eastAsia" w:cs="Times New Roman"/>
          <w:color w:val="FF0000"/>
          <w:kern w:val="2"/>
          <w:sz w:val="24"/>
          <w:szCs w:val="24"/>
          <w:lang w:val="en-US" w:eastAsia="zh-CN" w:bidi="ar-SA"/>
        </w:rPr>
        <w:t>企业单独</w:t>
      </w:r>
      <w:r>
        <w:rPr>
          <w:rFonts w:hint="default" w:ascii="Times New Roman" w:hAnsi="Times New Roman" w:eastAsia="宋体" w:cs="Times New Roman"/>
          <w:color w:val="FF0000"/>
          <w:kern w:val="2"/>
          <w:sz w:val="24"/>
          <w:szCs w:val="24"/>
          <w:lang w:val="en-US" w:eastAsia="zh-CN" w:bidi="ar-SA"/>
        </w:rPr>
        <w:t>设置</w:t>
      </w:r>
      <w:r>
        <w:rPr>
          <w:rFonts w:hint="eastAsia" w:cs="Times New Roman"/>
          <w:color w:val="FF0000"/>
          <w:kern w:val="2"/>
          <w:sz w:val="24"/>
          <w:szCs w:val="24"/>
          <w:lang w:val="en-US" w:eastAsia="zh-CN" w:bidi="ar-SA"/>
        </w:rPr>
        <w:t>，</w:t>
      </w:r>
      <w:r>
        <w:rPr>
          <w:rFonts w:hint="default" w:ascii="Times New Roman" w:hAnsi="Times New Roman" w:eastAsia="宋体" w:cs="Times New Roman"/>
          <w:color w:val="FF0000"/>
          <w:kern w:val="2"/>
          <w:sz w:val="24"/>
          <w:szCs w:val="24"/>
          <w:lang w:val="en-US" w:eastAsia="zh-CN" w:bidi="ar-SA"/>
        </w:rPr>
        <w:t>支持不同企业设置不同的上报时间。</w:t>
      </w:r>
    </w:p>
    <w:p>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日期区间明细：月和周设置界面的编号、开始日期、结束日期和区间名称等项，取自【周期区间设置】的信息。只</w:t>
      </w:r>
      <w:r>
        <w:rPr>
          <w:rFonts w:hint="eastAsia" w:cs="Times New Roman"/>
          <w:kern w:val="2"/>
          <w:sz w:val="24"/>
          <w:szCs w:val="24"/>
          <w:lang w:val="en-US" w:eastAsia="zh-CN" w:bidi="ar-SA"/>
        </w:rPr>
        <w:t>可</w:t>
      </w:r>
      <w:r>
        <w:rPr>
          <w:rFonts w:hint="default" w:ascii="Times New Roman" w:hAnsi="Times New Roman" w:eastAsia="宋体" w:cs="Times New Roman"/>
          <w:kern w:val="2"/>
          <w:sz w:val="24"/>
          <w:szCs w:val="24"/>
          <w:lang w:val="en-US" w:eastAsia="zh-CN" w:bidi="ar-SA"/>
        </w:rPr>
        <w:t>编辑最迟上报时间。</w:t>
      </w:r>
    </w:p>
    <w:p>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保存</w:t>
      </w:r>
      <w:r>
        <w:rPr>
          <w:rFonts w:hint="eastAsia" w:ascii="Times New Roman" w:hAnsi="Times New Roman" w:eastAsia="宋体" w:cs="Times New Roman"/>
          <w:kern w:val="2"/>
          <w:sz w:val="24"/>
          <w:szCs w:val="24"/>
          <w:lang w:val="en-US" w:eastAsia="zh-CN" w:bidi="ar-SA"/>
        </w:rPr>
        <w:t>】：保存数据，配置内容即刻生效，返回配置列表界面。</w:t>
      </w:r>
    </w:p>
    <w:p>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【关闭】：返回配置列表界面。</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95" w:name="_Toc13090"/>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配置预算项目分配设置</w:t>
      </w:r>
      <w:bookmarkEnd w:id="95"/>
    </w:p>
    <w:p>
      <w:pPr>
        <w:widowControl w:val="0"/>
        <w:numPr>
          <w:ilvl w:val="2"/>
          <w:numId w:val="2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6" w:name="_Toc31527"/>
      <w:r>
        <w:rPr>
          <w:rFonts w:hint="eastAsia" w:ascii="Times New Roman" w:hAnsi="Times New Roman" w:eastAsia="宋体" w:cs="Times New Roman"/>
          <w:b/>
          <w:kern w:val="2"/>
          <w:sz w:val="28"/>
          <w:szCs w:val="24"/>
          <w:lang w:val="en-US" w:eastAsia="zh-CN" w:bidi="ar-SA"/>
        </w:rPr>
        <w:t>业务场景描述</w:t>
      </w:r>
      <w:bookmarkEnd w:id="96"/>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分/子公司预算管理员拥有配置权限。</w:t>
      </w:r>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将各自企业子模版中预算项目分配到业务部门，支持不同的业务部门编制的预算项目可以不同。</w:t>
      </w:r>
    </w:p>
    <w:p>
      <w:pPr>
        <w:widowControl w:val="0"/>
        <w:numPr>
          <w:ilvl w:val="2"/>
          <w:numId w:val="2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7" w:name="_Toc15465"/>
      <w:r>
        <w:rPr>
          <w:rFonts w:hint="eastAsia" w:ascii="Times New Roman" w:hAnsi="Times New Roman" w:eastAsia="宋体" w:cs="Times New Roman"/>
          <w:b/>
          <w:kern w:val="2"/>
          <w:sz w:val="28"/>
          <w:szCs w:val="24"/>
          <w:lang w:val="en-US" w:eastAsia="zh-CN" w:bidi="ar-SA"/>
        </w:rPr>
        <w:t>菜单路径</w:t>
      </w:r>
      <w:bookmarkEnd w:id="97"/>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-【预算编制设置】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预算项目分配</w:t>
      </w:r>
      <w:r>
        <w:rPr>
          <w:rFonts w:hint="eastAsia" w:ascii="宋体" w:hAnsi="宋体" w:eastAsia="宋体" w:cs="宋体"/>
          <w:kern w:val="2"/>
          <w:sz w:val="24"/>
          <w:szCs w:val="24"/>
          <w:vertAlign w:val="baseline"/>
          <w:lang w:val="en-US" w:eastAsia="zh-CN" w:bidi="ar-SA"/>
        </w:rPr>
        <w:t>】。</w:t>
      </w:r>
    </w:p>
    <w:p>
      <w:pPr>
        <w:widowControl w:val="0"/>
        <w:numPr>
          <w:ilvl w:val="2"/>
          <w:numId w:val="2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8" w:name="_Toc25825"/>
      <w:r>
        <w:rPr>
          <w:rFonts w:hint="eastAsia" w:ascii="Times New Roman" w:hAnsi="Times New Roman" w:eastAsia="宋体" w:cs="Times New Roman"/>
          <w:b/>
          <w:kern w:val="2"/>
          <w:sz w:val="28"/>
          <w:szCs w:val="24"/>
          <w:lang w:val="en-US" w:eastAsia="zh-CN" w:bidi="ar-SA"/>
        </w:rPr>
        <w:t>操作步骤</w:t>
      </w:r>
      <w:bookmarkEnd w:id="98"/>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预算项目分配</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drawing>
          <wp:inline distT="0" distB="0" distL="114300" distR="114300">
            <wp:extent cx="5088255" cy="2273300"/>
            <wp:effectExtent l="0" t="0" r="4445" b="0"/>
            <wp:docPr id="73" name="图片 73" descr="167022706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1670227063093"/>
                    <pic:cNvPicPr>
                      <a:picLocks noChangeAspect="1"/>
                    </pic:cNvPicPr>
                  </pic:nvPicPr>
                  <pic:blipFill>
                    <a:blip r:embed="rId37"/>
                    <a:stretch>
                      <a:fillRect/>
                    </a:stretch>
                  </pic:blipFill>
                  <pic:spPr>
                    <a:xfrm>
                      <a:off x="0" y="0"/>
                      <a:ext cx="5088255" cy="2273300"/>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w:t>
      </w:r>
      <w:r>
        <w:rPr>
          <w:rFonts w:hint="eastAsia" w:ascii="宋体" w:cs="宋体"/>
          <w:kern w:val="0"/>
          <w:sz w:val="24"/>
          <w:szCs w:val="21"/>
          <w:lang w:val="en-US" w:eastAsia="zh-CN" w:bidi="ar-SA"/>
        </w:rPr>
        <w:t>进入</w:t>
      </w:r>
      <w:r>
        <w:rPr>
          <w:rFonts w:hint="eastAsia" w:ascii="宋体" w:hAnsi="Times New Roman" w:eastAsia="宋体" w:cs="宋体"/>
          <w:kern w:val="0"/>
          <w:sz w:val="24"/>
          <w:szCs w:val="21"/>
          <w:lang w:val="en-US" w:eastAsia="zh-CN" w:bidi="ar-SA"/>
        </w:rPr>
        <w:t>预算项目分配新增界面，先选择预算周期名称、业务部门，然后在“选择预算项目”中勾选需的项目，点击右箭头，在已选预算项目中会显示已选项目。点击【保存】，提示保存成功。</w:t>
      </w:r>
    </w:p>
    <w:p>
      <w:pPr>
        <w:widowControl w:val="0"/>
        <w:numPr>
          <w:ilvl w:val="0"/>
          <w:numId w:val="0"/>
        </w:numPr>
        <w:spacing w:line="360" w:lineRule="auto"/>
        <w:ind w:leftChars="0"/>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drawing>
          <wp:inline distT="0" distB="0" distL="114300" distR="114300">
            <wp:extent cx="5192395" cy="2898775"/>
            <wp:effectExtent l="0" t="0" r="1905" b="9525"/>
            <wp:docPr id="75" name="图片 75" descr="167022727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670227270169"/>
                    <pic:cNvPicPr>
                      <a:picLocks noChangeAspect="1"/>
                    </pic:cNvPicPr>
                  </pic:nvPicPr>
                  <pic:blipFill>
                    <a:blip r:embed="rId38"/>
                    <a:stretch>
                      <a:fillRect/>
                    </a:stretch>
                  </pic:blipFill>
                  <pic:spPr>
                    <a:xfrm>
                      <a:off x="0" y="0"/>
                      <a:ext cx="5192395" cy="28987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分配周期：支持年预算项目分配和月预算项目分配。</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保存</w:t>
      </w:r>
      <w:r>
        <w:rPr>
          <w:rFonts w:hint="eastAsia" w:ascii="Times New Roman" w:hAnsi="Times New Roman" w:eastAsia="宋体" w:cs="Times New Roman"/>
          <w:kern w:val="2"/>
          <w:sz w:val="24"/>
          <w:szCs w:val="24"/>
          <w:lang w:val="en-US" w:eastAsia="zh-CN" w:bidi="ar-SA"/>
        </w:rPr>
        <w:t>】：保存数据，配置内容即刻生效，返回配置列表界面。</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【关闭】：返回配置列表界面。</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99" w:name="_Toc26232"/>
      <w:bookmarkStart w:id="100" w:name="_Toc15916"/>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配置年预算更新开关设置</w:t>
      </w:r>
      <w:bookmarkEnd w:id="99"/>
    </w:p>
    <w:p>
      <w:pPr>
        <w:widowControl w:val="0"/>
        <w:numPr>
          <w:ilvl w:val="2"/>
          <w:numId w:val="2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1" w:name="_Toc21938"/>
      <w:r>
        <w:rPr>
          <w:rFonts w:hint="eastAsia" w:ascii="Times New Roman" w:hAnsi="Times New Roman" w:eastAsia="宋体" w:cs="Times New Roman"/>
          <w:b/>
          <w:kern w:val="2"/>
          <w:sz w:val="28"/>
          <w:szCs w:val="24"/>
          <w:lang w:val="en-US" w:eastAsia="zh-CN" w:bidi="ar-SA"/>
        </w:rPr>
        <w:t>业务场景描述</w:t>
      </w:r>
      <w:bookmarkEnd w:id="101"/>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仅总部系统管理员/分子公司管理员拥有配置权限。</w:t>
      </w:r>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集团总部年度预算指标二下后，在系统中开启年预算更新开关，成员企业需要通过预算调整更新年度预算，未更新则不能上报下月计划。</w:t>
      </w:r>
    </w:p>
    <w:p>
      <w:pPr>
        <w:widowControl w:val="0"/>
        <w:numPr>
          <w:ilvl w:val="2"/>
          <w:numId w:val="2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2" w:name="_Toc24543"/>
      <w:r>
        <w:rPr>
          <w:rFonts w:hint="eastAsia" w:ascii="Times New Roman" w:hAnsi="Times New Roman" w:eastAsia="宋体" w:cs="Times New Roman"/>
          <w:b/>
          <w:kern w:val="2"/>
          <w:sz w:val="28"/>
          <w:szCs w:val="24"/>
          <w:lang w:val="en-US" w:eastAsia="zh-CN" w:bidi="ar-SA"/>
        </w:rPr>
        <w:t>菜单路径</w:t>
      </w:r>
      <w:bookmarkEnd w:id="102"/>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-【预算编制设置】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年预算更新开关</w:t>
      </w:r>
      <w:r>
        <w:rPr>
          <w:rFonts w:hint="eastAsia" w:ascii="宋体" w:hAnsi="宋体" w:eastAsia="宋体" w:cs="宋体"/>
          <w:kern w:val="2"/>
          <w:sz w:val="24"/>
          <w:szCs w:val="24"/>
          <w:vertAlign w:val="baseline"/>
          <w:lang w:val="en-US" w:eastAsia="zh-CN" w:bidi="ar-SA"/>
        </w:rPr>
        <w:t>】。</w:t>
      </w:r>
    </w:p>
    <w:p>
      <w:pPr>
        <w:widowControl w:val="0"/>
        <w:numPr>
          <w:ilvl w:val="2"/>
          <w:numId w:val="2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3" w:name="_Toc12022"/>
      <w:r>
        <w:rPr>
          <w:rFonts w:hint="eastAsia" w:ascii="Times New Roman" w:hAnsi="Times New Roman" w:eastAsia="宋体" w:cs="Times New Roman"/>
          <w:b/>
          <w:kern w:val="2"/>
          <w:sz w:val="28"/>
          <w:szCs w:val="24"/>
          <w:lang w:val="en-US" w:eastAsia="zh-CN" w:bidi="ar-SA"/>
        </w:rPr>
        <w:t>操作步骤</w:t>
      </w:r>
      <w:bookmarkEnd w:id="103"/>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年预算更新开关</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415280" cy="2129155"/>
            <wp:effectExtent l="0" t="0" r="13970" b="4445"/>
            <wp:docPr id="27" name="图片 27" descr="167117607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671176073045"/>
                    <pic:cNvPicPr>
                      <a:picLocks noChangeAspect="1"/>
                    </pic:cNvPicPr>
                  </pic:nvPicPr>
                  <pic:blipFill>
                    <a:blip r:embed="rId39"/>
                    <a:stretch>
                      <a:fillRect/>
                    </a:stretch>
                  </pic:blipFill>
                  <pic:spPr>
                    <a:xfrm>
                      <a:off x="0" y="0"/>
                      <a:ext cx="5415280" cy="2129155"/>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宋体" w:cs="宋体"/>
          <w:kern w:val="0"/>
          <w:sz w:val="24"/>
          <w:szCs w:val="21"/>
          <w:lang w:val="en-US" w:eastAsia="zh-CN" w:bidi="ar-SA"/>
        </w:rPr>
      </w:pPr>
      <w:r>
        <w:rPr>
          <w:rFonts w:hint="eastAsia" w:ascii="宋体" w:hAnsi="Times New Roman" w:eastAsia="宋体" w:cs="宋体"/>
          <w:kern w:val="0"/>
          <w:sz w:val="24"/>
          <w:szCs w:val="21"/>
          <w:lang w:val="en-US" w:eastAsia="zh-CN" w:bidi="ar-SA"/>
        </w:rPr>
        <w:t>第二步，在“</w:t>
      </w:r>
      <w:r>
        <w:rPr>
          <w:rFonts w:hint="eastAsia" w:ascii="宋体" w:cs="宋体"/>
          <w:kern w:val="0"/>
          <w:sz w:val="24"/>
          <w:szCs w:val="21"/>
          <w:lang w:val="en-US" w:eastAsia="zh-CN" w:bidi="ar-SA"/>
        </w:rPr>
        <w:t>是否开启更新</w:t>
      </w:r>
      <w:r>
        <w:rPr>
          <w:rFonts w:hint="eastAsia" w:ascii="宋体" w:hAnsi="Times New Roman" w:eastAsia="宋体" w:cs="宋体"/>
          <w:kern w:val="0"/>
          <w:sz w:val="24"/>
          <w:szCs w:val="21"/>
          <w:lang w:val="en-US" w:eastAsia="zh-CN" w:bidi="ar-SA"/>
        </w:rPr>
        <w:t>”中逐条选择</w:t>
      </w:r>
      <w:r>
        <w:rPr>
          <w:rFonts w:hint="eastAsia" w:ascii="宋体" w:cs="宋体"/>
          <w:kern w:val="0"/>
          <w:sz w:val="24"/>
          <w:szCs w:val="21"/>
          <w:lang w:val="en-US" w:eastAsia="zh-CN" w:bidi="ar-SA"/>
        </w:rPr>
        <w:t>开/关</w:t>
      </w:r>
      <w:r>
        <w:rPr>
          <w:rFonts w:hint="eastAsia" w:ascii="宋体" w:hAnsi="Times New Roman" w:eastAsia="宋体" w:cs="宋体"/>
          <w:kern w:val="0"/>
          <w:sz w:val="24"/>
          <w:szCs w:val="21"/>
          <w:lang w:val="en-US" w:eastAsia="zh-CN" w:bidi="ar-SA"/>
        </w:rPr>
        <w:t>，也可通过【全部</w:t>
      </w:r>
      <w:r>
        <w:rPr>
          <w:rFonts w:hint="eastAsia" w:ascii="宋体" w:cs="宋体"/>
          <w:kern w:val="0"/>
          <w:sz w:val="24"/>
          <w:szCs w:val="21"/>
          <w:lang w:val="en-US" w:eastAsia="zh-CN" w:bidi="ar-SA"/>
        </w:rPr>
        <w:t>开启</w:t>
      </w:r>
      <w:r>
        <w:rPr>
          <w:rFonts w:hint="eastAsia" w:ascii="宋体" w:hAnsi="Times New Roman" w:eastAsia="宋体" w:cs="宋体"/>
          <w:kern w:val="0"/>
          <w:sz w:val="24"/>
          <w:szCs w:val="21"/>
          <w:lang w:val="en-US" w:eastAsia="zh-CN" w:bidi="ar-SA"/>
        </w:rPr>
        <w:t>】和【全部</w:t>
      </w:r>
      <w:r>
        <w:rPr>
          <w:rFonts w:hint="eastAsia" w:ascii="宋体" w:cs="宋体"/>
          <w:kern w:val="0"/>
          <w:sz w:val="24"/>
          <w:szCs w:val="21"/>
          <w:lang w:val="en-US" w:eastAsia="zh-CN" w:bidi="ar-SA"/>
        </w:rPr>
        <w:t>关闭</w:t>
      </w:r>
      <w:r>
        <w:rPr>
          <w:rFonts w:hint="eastAsia" w:ascii="宋体" w:hAnsi="Times New Roman" w:eastAsia="宋体" w:cs="宋体"/>
          <w:kern w:val="0"/>
          <w:sz w:val="24"/>
          <w:szCs w:val="21"/>
          <w:lang w:val="en-US" w:eastAsia="zh-CN" w:bidi="ar-SA"/>
        </w:rPr>
        <w:t>】按钮统一操作</w:t>
      </w:r>
      <w:r>
        <w:rPr>
          <w:rFonts w:hint="eastAsia" w:ascii="宋体" w:cs="宋体"/>
          <w:kern w:val="0"/>
          <w:sz w:val="24"/>
          <w:szCs w:val="21"/>
          <w:lang w:val="en-US" w:eastAsia="zh-CN" w:bidi="ar-SA"/>
        </w:rPr>
        <w:t>，开启时间默认当前时间，也可根据实际情况进行修改，同时需填写最迟上报时间。</w:t>
      </w:r>
      <w:r>
        <w:rPr>
          <w:rFonts w:hint="eastAsia" w:ascii="宋体" w:hAnsi="Times New Roman" w:eastAsia="宋体" w:cs="宋体"/>
          <w:kern w:val="0"/>
          <w:sz w:val="24"/>
          <w:szCs w:val="21"/>
          <w:lang w:val="en-US" w:eastAsia="zh-CN" w:bidi="ar-SA"/>
        </w:rPr>
        <w:t>点击【保存】，提示保存成功。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逐级设置：总部设置二级企业开关，二级企业设置所属三级企业开关，依次逐级设置。</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保存</w:t>
      </w:r>
      <w:r>
        <w:rPr>
          <w:rFonts w:hint="eastAsia" w:ascii="Times New Roman" w:hAnsi="Times New Roman" w:eastAsia="宋体" w:cs="Times New Roman"/>
          <w:kern w:val="2"/>
          <w:sz w:val="24"/>
          <w:szCs w:val="24"/>
          <w:lang w:val="en-US" w:eastAsia="zh-CN" w:bidi="ar-SA"/>
        </w:rPr>
        <w:t>】：保存数据，配置内容即刻生效，返回配置列表界面。</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【关闭】：返回配置列表界面。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配置预算控制规则设置</w:t>
      </w:r>
      <w:bookmarkEnd w:id="100"/>
    </w:p>
    <w:p>
      <w:pPr>
        <w:widowControl w:val="0"/>
        <w:numPr>
          <w:ilvl w:val="2"/>
          <w:numId w:val="3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4" w:name="_Toc13283"/>
      <w:r>
        <w:rPr>
          <w:rFonts w:hint="eastAsia" w:ascii="Times New Roman" w:hAnsi="Times New Roman" w:eastAsia="宋体" w:cs="Times New Roman"/>
          <w:b/>
          <w:kern w:val="2"/>
          <w:sz w:val="28"/>
          <w:szCs w:val="24"/>
          <w:lang w:val="en-US" w:eastAsia="zh-CN" w:bidi="ar-SA"/>
        </w:rPr>
        <w:t>业务场景描述</w:t>
      </w:r>
      <w:bookmarkEnd w:id="104"/>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仅总部预算管理员拥有配置权限。</w:t>
      </w:r>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设置预算控制规则，在资金支付时按照控制规则进行控制预算。</w:t>
      </w:r>
    </w:p>
    <w:p>
      <w:pPr>
        <w:widowControl w:val="0"/>
        <w:numPr>
          <w:ilvl w:val="2"/>
          <w:numId w:val="3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5" w:name="_Toc8423"/>
      <w:r>
        <w:rPr>
          <w:rFonts w:hint="eastAsia" w:ascii="Times New Roman" w:hAnsi="Times New Roman" w:eastAsia="宋体" w:cs="Times New Roman"/>
          <w:b/>
          <w:kern w:val="2"/>
          <w:sz w:val="28"/>
          <w:szCs w:val="24"/>
          <w:lang w:val="en-US" w:eastAsia="zh-CN" w:bidi="ar-SA"/>
        </w:rPr>
        <w:t>菜单路径</w:t>
      </w:r>
      <w:bookmarkEnd w:id="105"/>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-【预算执行设置】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预算控制规则</w:t>
      </w:r>
      <w:r>
        <w:rPr>
          <w:rFonts w:hint="eastAsia" w:ascii="宋体" w:hAnsi="宋体" w:eastAsia="宋体" w:cs="宋体"/>
          <w:kern w:val="2"/>
          <w:sz w:val="24"/>
          <w:szCs w:val="24"/>
          <w:vertAlign w:val="baseline"/>
          <w:lang w:val="en-US" w:eastAsia="zh-CN" w:bidi="ar-SA"/>
        </w:rPr>
        <w:t>】。</w:t>
      </w:r>
    </w:p>
    <w:p>
      <w:pPr>
        <w:widowControl w:val="0"/>
        <w:numPr>
          <w:ilvl w:val="2"/>
          <w:numId w:val="3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6" w:name="_Toc13969"/>
      <w:r>
        <w:rPr>
          <w:rFonts w:hint="eastAsia" w:ascii="Times New Roman" w:hAnsi="Times New Roman" w:eastAsia="宋体" w:cs="Times New Roman"/>
          <w:b/>
          <w:kern w:val="2"/>
          <w:sz w:val="28"/>
          <w:szCs w:val="24"/>
          <w:lang w:val="en-US" w:eastAsia="zh-CN" w:bidi="ar-SA"/>
        </w:rPr>
        <w:t>操作步骤</w:t>
      </w:r>
      <w:bookmarkEnd w:id="106"/>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预算控制规则</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302885" cy="2450465"/>
            <wp:effectExtent l="0" t="0" r="5715" b="635"/>
            <wp:docPr id="18" name="图片 18" descr="167117599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71175993354"/>
                    <pic:cNvPicPr>
                      <a:picLocks noChangeAspect="1"/>
                    </pic:cNvPicPr>
                  </pic:nvPicPr>
                  <pic:blipFill>
                    <a:blip r:embed="rId40"/>
                    <a:stretch>
                      <a:fillRect/>
                    </a:stretch>
                  </pic:blipFill>
                  <pic:spPr>
                    <a:xfrm>
                      <a:off x="0" y="0"/>
                      <a:ext cx="5302885" cy="2450465"/>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w:t>
      </w:r>
      <w:r>
        <w:rPr>
          <w:rFonts w:hint="eastAsia" w:ascii="宋体" w:cs="宋体"/>
          <w:kern w:val="0"/>
          <w:sz w:val="24"/>
          <w:szCs w:val="21"/>
          <w:lang w:val="en-US" w:eastAsia="zh-CN" w:bidi="ar-SA"/>
        </w:rPr>
        <w:t>进入</w:t>
      </w:r>
      <w:r>
        <w:rPr>
          <w:rFonts w:hint="eastAsia" w:ascii="宋体" w:hAnsi="Times New Roman" w:eastAsia="宋体" w:cs="宋体"/>
          <w:kern w:val="0"/>
          <w:sz w:val="24"/>
          <w:szCs w:val="21"/>
          <w:lang w:val="en-US" w:eastAsia="zh-CN" w:bidi="ar-SA"/>
        </w:rPr>
        <w:t>预算控制规则设置新增界面，选择包含下级单位、是否控制、对应总额控制项目、浮动比例。点击【保存】，提示保存成功。</w:t>
      </w:r>
    </w:p>
    <w:p>
      <w:pPr>
        <w:widowControl w:val="0"/>
        <w:numPr>
          <w:ilvl w:val="0"/>
          <w:numId w:val="0"/>
        </w:numPr>
        <w:spacing w:line="360" w:lineRule="auto"/>
        <w:ind w:left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drawing>
          <wp:inline distT="0" distB="0" distL="114300" distR="114300">
            <wp:extent cx="5508625" cy="2560955"/>
            <wp:effectExtent l="0" t="0" r="3175" b="4445"/>
            <wp:docPr id="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
                    <pic:cNvPicPr>
                      <a:picLocks noChangeAspect="1"/>
                    </pic:cNvPicPr>
                  </pic:nvPicPr>
                  <pic:blipFill>
                    <a:blip r:embed="rId41"/>
                    <a:stretch>
                      <a:fillRect/>
                    </a:stretch>
                  </pic:blipFill>
                  <pic:spPr>
                    <a:xfrm>
                      <a:off x="0" y="0"/>
                      <a:ext cx="5508625" cy="256095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是否</w:t>
      </w:r>
      <w:r>
        <w:rPr>
          <w:rFonts w:hint="default" w:ascii="Times New Roman" w:hAnsi="Times New Roman" w:eastAsia="宋体" w:cs="Times New Roman"/>
          <w:kern w:val="2"/>
          <w:sz w:val="24"/>
          <w:szCs w:val="24"/>
          <w:lang w:val="en-US" w:eastAsia="zh-CN" w:bidi="ar-SA"/>
        </w:rPr>
        <w:t>控制：分为“不控制、单项控制、多项总额控制”，多项总额是多个项目共用一个额度，单项控制是该预算项目单独控制，可以设置预算上浮比例。</w:t>
      </w:r>
    </w:p>
    <w:p>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预算项目：预算项目按照月度模板，如果体系内含有周计划，按照周模板，控制规则设置到最小的周期模板</w:t>
      </w:r>
      <w:r>
        <w:rPr>
          <w:rFonts w:hint="eastAsia" w:cs="Times New Roman"/>
          <w:kern w:val="2"/>
          <w:sz w:val="24"/>
          <w:szCs w:val="24"/>
          <w:lang w:val="en-US" w:eastAsia="zh-CN" w:bidi="ar-SA"/>
        </w:rPr>
        <w:t>。</w:t>
      </w:r>
    </w:p>
    <w:p>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保存</w:t>
      </w:r>
      <w:r>
        <w:rPr>
          <w:rFonts w:hint="eastAsia" w:ascii="Times New Roman" w:hAnsi="Times New Roman" w:eastAsia="宋体" w:cs="Times New Roman"/>
          <w:kern w:val="2"/>
          <w:sz w:val="24"/>
          <w:szCs w:val="24"/>
          <w:lang w:val="en-US" w:eastAsia="zh-CN" w:bidi="ar-SA"/>
        </w:rPr>
        <w:t>】：保存数据，配置内容即刻生效，返回配置列表界面。</w:t>
      </w:r>
    </w:p>
    <w:p>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【关闭】：返回配置列表界面。</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107" w:name="_Toc18908"/>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配置预算控制开关设置</w:t>
      </w:r>
      <w:bookmarkEnd w:id="107"/>
    </w:p>
    <w:p>
      <w:pPr>
        <w:widowControl w:val="0"/>
        <w:numPr>
          <w:ilvl w:val="2"/>
          <w:numId w:val="3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8" w:name="_Toc5074"/>
      <w:r>
        <w:rPr>
          <w:rFonts w:hint="eastAsia" w:ascii="Times New Roman" w:hAnsi="Times New Roman" w:eastAsia="宋体" w:cs="Times New Roman"/>
          <w:b/>
          <w:kern w:val="2"/>
          <w:sz w:val="28"/>
          <w:szCs w:val="24"/>
          <w:lang w:val="en-US" w:eastAsia="zh-CN" w:bidi="ar-SA"/>
        </w:rPr>
        <w:t>业务场景描述</w:t>
      </w:r>
      <w:bookmarkEnd w:id="108"/>
    </w:p>
    <w:p>
      <w:pPr>
        <w:spacing w:line="360" w:lineRule="auto"/>
        <w:ind w:firstLine="480" w:firstLineChars="200"/>
        <w:rPr>
          <w:rFonts w:hint="eastAsia" w:ascii="宋体" w:hAnsi="宋体"/>
          <w:color w:val="auto"/>
          <w:sz w:val="24"/>
          <w:szCs w:val="32"/>
          <w:highlight w:val="none"/>
          <w:lang w:val="en-US" w:eastAsia="zh-CN"/>
        </w:rPr>
      </w:pPr>
      <w:bookmarkStart w:id="121" w:name="_GoBack"/>
      <w:bookmarkEnd w:id="121"/>
      <w:r>
        <w:rPr>
          <w:rFonts w:hint="eastAsia" w:ascii="宋体" w:hAnsi="宋体"/>
          <w:color w:val="auto"/>
          <w:sz w:val="24"/>
          <w:szCs w:val="32"/>
          <w:highlight w:val="none"/>
          <w:lang w:val="en-US" w:eastAsia="zh-CN"/>
        </w:rPr>
        <w:t>总部预算管理员拥有配置权限。</w:t>
      </w:r>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集团总部可设置直属单位在预算执行时是否受控，系统支持按单位按月分别设置。</w:t>
      </w:r>
    </w:p>
    <w:p>
      <w:pPr>
        <w:widowControl w:val="0"/>
        <w:numPr>
          <w:ilvl w:val="2"/>
          <w:numId w:val="3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9" w:name="_Toc26718"/>
      <w:r>
        <w:rPr>
          <w:rFonts w:hint="eastAsia" w:ascii="Times New Roman" w:hAnsi="Times New Roman" w:eastAsia="宋体" w:cs="Times New Roman"/>
          <w:b/>
          <w:kern w:val="2"/>
          <w:sz w:val="28"/>
          <w:szCs w:val="24"/>
          <w:lang w:val="en-US" w:eastAsia="zh-CN" w:bidi="ar-SA"/>
        </w:rPr>
        <w:t>菜单路径</w:t>
      </w:r>
      <w:bookmarkEnd w:id="109"/>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-【预算执行设置】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预算控制开关</w:t>
      </w:r>
      <w:r>
        <w:rPr>
          <w:rFonts w:hint="eastAsia" w:ascii="宋体" w:hAnsi="宋体" w:eastAsia="宋体" w:cs="宋体"/>
          <w:kern w:val="2"/>
          <w:sz w:val="24"/>
          <w:szCs w:val="24"/>
          <w:vertAlign w:val="baseline"/>
          <w:lang w:val="en-US" w:eastAsia="zh-CN" w:bidi="ar-SA"/>
        </w:rPr>
        <w:t>】。</w:t>
      </w:r>
    </w:p>
    <w:p>
      <w:pPr>
        <w:widowControl w:val="0"/>
        <w:numPr>
          <w:ilvl w:val="2"/>
          <w:numId w:val="3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10" w:name="_Toc22950"/>
      <w:r>
        <w:rPr>
          <w:rFonts w:hint="eastAsia" w:ascii="Times New Roman" w:hAnsi="Times New Roman" w:eastAsia="宋体" w:cs="Times New Roman"/>
          <w:b/>
          <w:kern w:val="2"/>
          <w:sz w:val="28"/>
          <w:szCs w:val="24"/>
          <w:lang w:val="en-US" w:eastAsia="zh-CN" w:bidi="ar-SA"/>
        </w:rPr>
        <w:t>操作步骤</w:t>
      </w:r>
      <w:bookmarkEnd w:id="110"/>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预算控制开关</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227955" cy="2012950"/>
            <wp:effectExtent l="0" t="0" r="4445" b="6350"/>
            <wp:docPr id="26" name="图片 26" descr="167117603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671176030198"/>
                    <pic:cNvPicPr>
                      <a:picLocks noChangeAspect="1"/>
                    </pic:cNvPicPr>
                  </pic:nvPicPr>
                  <pic:blipFill>
                    <a:blip r:embed="rId42"/>
                    <a:stretch>
                      <a:fillRect/>
                    </a:stretch>
                  </pic:blipFill>
                  <pic:spPr>
                    <a:xfrm>
                      <a:off x="0" y="0"/>
                      <a:ext cx="5227955" cy="2012950"/>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第二步，点击【新增】，</w:t>
      </w:r>
      <w:r>
        <w:rPr>
          <w:rFonts w:hint="eastAsia" w:ascii="宋体" w:cs="宋体"/>
          <w:kern w:val="0"/>
          <w:sz w:val="24"/>
          <w:szCs w:val="21"/>
          <w:lang w:val="en-US" w:eastAsia="zh-CN" w:bidi="ar-SA"/>
        </w:rPr>
        <w:t>进入</w:t>
      </w:r>
      <w:r>
        <w:rPr>
          <w:rFonts w:hint="eastAsia" w:ascii="宋体" w:hAnsi="Times New Roman" w:eastAsia="宋体" w:cs="宋体"/>
          <w:kern w:val="0"/>
          <w:sz w:val="24"/>
          <w:szCs w:val="21"/>
          <w:lang w:val="en-US" w:eastAsia="zh-CN" w:bidi="ar-SA"/>
        </w:rPr>
        <w:t>预算控制开关新增界面，选择预算年度、预算体系、预算周期、周期区间，然后在“预算控制明细”中逐条选择是否控制，也可通过【全部控制】和【全部不控制】按钮统一操作。点击【保存】，提示保存成功。</w:t>
      </w:r>
    </w:p>
    <w:p>
      <w:pPr>
        <w:widowControl w:val="0"/>
        <w:numPr>
          <w:ilvl w:val="0"/>
          <w:numId w:val="0"/>
        </w:numPr>
        <w:spacing w:line="360" w:lineRule="auto"/>
        <w:ind w:leftChars="0"/>
        <w:jc w:val="both"/>
        <w:rPr>
          <w:rFonts w:hint="eastAsia" w:ascii="宋体" w:cs="宋体"/>
          <w:kern w:val="0"/>
          <w:sz w:val="24"/>
          <w:szCs w:val="21"/>
          <w:lang w:val="en-US" w:eastAsia="zh-CN" w:bidi="ar-SA"/>
        </w:rPr>
      </w:pPr>
      <w:r>
        <w:rPr>
          <w:rFonts w:hint="eastAsia" w:ascii="宋体" w:cs="宋体"/>
          <w:kern w:val="0"/>
          <w:sz w:val="24"/>
          <w:szCs w:val="21"/>
          <w:lang w:val="en-US" w:eastAsia="zh-CN" w:bidi="ar-SA"/>
        </w:rPr>
        <w:drawing>
          <wp:inline distT="0" distB="0" distL="114300" distR="114300">
            <wp:extent cx="5751195" cy="2966720"/>
            <wp:effectExtent l="0" t="0" r="1905" b="5080"/>
            <wp:docPr id="116" name="图片 116" descr="167023244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1670232441096"/>
                    <pic:cNvPicPr>
                      <a:picLocks noChangeAspect="1"/>
                    </pic:cNvPicPr>
                  </pic:nvPicPr>
                  <pic:blipFill>
                    <a:blip r:embed="rId43"/>
                    <a:stretch>
                      <a:fillRect/>
                    </a:stretch>
                  </pic:blipFill>
                  <pic:spPr>
                    <a:xfrm>
                      <a:off x="0" y="0"/>
                      <a:ext cx="5751195" cy="296672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逐级设置：总部设置二级企业开关，二级企业设置所属三级企业开关，依次逐级设置。</w:t>
      </w:r>
    </w:p>
    <w:p>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保存</w:t>
      </w:r>
      <w:r>
        <w:rPr>
          <w:rFonts w:hint="eastAsia" w:ascii="Times New Roman" w:hAnsi="Times New Roman" w:eastAsia="宋体" w:cs="Times New Roman"/>
          <w:kern w:val="2"/>
          <w:sz w:val="24"/>
          <w:szCs w:val="24"/>
          <w:lang w:val="en-US" w:eastAsia="zh-CN" w:bidi="ar-SA"/>
        </w:rPr>
        <w:t>】：保存数据，配置内容即刻生效，返回配置列表界面。</w:t>
      </w:r>
    </w:p>
    <w:p>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【关闭】：返回配置列表界面。</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highlight w:val="none"/>
          <w:lang w:val="en-US" w:eastAsia="zh-CN" w:bidi="ar-SA"/>
        </w:rPr>
      </w:pPr>
      <w:bookmarkStart w:id="111" w:name="_Toc22856"/>
      <w:r>
        <w:rPr>
          <w:rFonts w:hint="eastAsia" w:ascii="Arial" w:hAnsi="Times New Roman" w:eastAsia="宋体" w:cs="Times New Roman"/>
          <w:b/>
          <w:kern w:val="2"/>
          <w:sz w:val="30"/>
          <w:szCs w:val="24"/>
          <w:highlight w:val="none"/>
          <w:lang w:val="en-US" w:eastAsia="zh-CN" w:bidi="ar-SA"/>
        </w:rPr>
        <w:t>如何</w:t>
      </w:r>
      <w:r>
        <w:rPr>
          <w:rFonts w:hint="eastAsia" w:ascii="Arial" w:cs="Times New Roman"/>
          <w:b/>
          <w:kern w:val="2"/>
          <w:sz w:val="30"/>
          <w:szCs w:val="24"/>
          <w:highlight w:val="none"/>
          <w:lang w:val="en-US" w:eastAsia="zh-CN" w:bidi="ar-SA"/>
        </w:rPr>
        <w:t>配置评价标准设置</w:t>
      </w:r>
      <w:bookmarkEnd w:id="111"/>
    </w:p>
    <w:p>
      <w:pPr>
        <w:widowControl w:val="0"/>
        <w:numPr>
          <w:ilvl w:val="2"/>
          <w:numId w:val="34"/>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12" w:name="_Toc12859"/>
      <w:r>
        <w:rPr>
          <w:rFonts w:hint="eastAsia" w:ascii="Times New Roman" w:hAnsi="Times New Roman" w:eastAsia="宋体" w:cs="Times New Roman"/>
          <w:b/>
          <w:kern w:val="2"/>
          <w:sz w:val="28"/>
          <w:szCs w:val="24"/>
          <w:lang w:val="en-US" w:eastAsia="zh-CN" w:bidi="ar-SA"/>
        </w:rPr>
        <w:t>业务场景描述</w:t>
      </w:r>
      <w:bookmarkEnd w:id="112"/>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仅总部预算管理员拥有配置权限。</w:t>
      </w:r>
    </w:p>
    <w:p>
      <w:pPr>
        <w:spacing w:line="360" w:lineRule="auto"/>
        <w:ind w:firstLine="480" w:firstLineChars="200"/>
        <w:rPr>
          <w:rFonts w:hint="eastAsia" w:ascii="宋体" w:hAnsi="宋体"/>
          <w:color w:val="auto"/>
          <w:sz w:val="24"/>
          <w:szCs w:val="32"/>
          <w:highlight w:val="none"/>
          <w:lang w:val="en-US" w:eastAsia="zh-CN"/>
        </w:rPr>
      </w:pPr>
      <w:r>
        <w:rPr>
          <w:rFonts w:hint="eastAsia" w:ascii="宋体" w:hAnsi="宋体"/>
          <w:color w:val="auto"/>
          <w:sz w:val="24"/>
          <w:szCs w:val="32"/>
          <w:highlight w:val="none"/>
          <w:lang w:val="en-US" w:eastAsia="zh-CN"/>
        </w:rPr>
        <w:t>总部系统管理设置资金评价标准，根据设置的评价标准按周期自动对各级所属企业进行评价。</w:t>
      </w:r>
    </w:p>
    <w:p>
      <w:pPr>
        <w:widowControl w:val="0"/>
        <w:numPr>
          <w:ilvl w:val="2"/>
          <w:numId w:val="35"/>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13" w:name="_Toc923"/>
      <w:r>
        <w:rPr>
          <w:rFonts w:hint="eastAsia" w:ascii="Times New Roman" w:hAnsi="Times New Roman" w:eastAsia="宋体" w:cs="Times New Roman"/>
          <w:b/>
          <w:kern w:val="2"/>
          <w:sz w:val="28"/>
          <w:szCs w:val="24"/>
          <w:lang w:val="en-US" w:eastAsia="zh-CN" w:bidi="ar-SA"/>
        </w:rPr>
        <w:t>菜单路径</w:t>
      </w:r>
      <w:bookmarkEnd w:id="113"/>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-【预算评价设置】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评价标准设置</w:t>
      </w:r>
      <w:r>
        <w:rPr>
          <w:rFonts w:hint="eastAsia" w:ascii="宋体" w:hAnsi="宋体" w:eastAsia="宋体" w:cs="宋体"/>
          <w:kern w:val="2"/>
          <w:sz w:val="24"/>
          <w:szCs w:val="24"/>
          <w:vertAlign w:val="baseline"/>
          <w:lang w:val="en-US" w:eastAsia="zh-CN" w:bidi="ar-SA"/>
        </w:rPr>
        <w:t>】。</w:t>
      </w:r>
    </w:p>
    <w:p>
      <w:pPr>
        <w:widowControl w:val="0"/>
        <w:numPr>
          <w:ilvl w:val="2"/>
          <w:numId w:val="35"/>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14" w:name="_Toc3843"/>
      <w:r>
        <w:rPr>
          <w:rFonts w:hint="eastAsia" w:ascii="Times New Roman" w:hAnsi="Times New Roman" w:eastAsia="宋体" w:cs="Times New Roman"/>
          <w:b/>
          <w:kern w:val="2"/>
          <w:sz w:val="28"/>
          <w:szCs w:val="24"/>
          <w:lang w:val="en-US" w:eastAsia="zh-CN" w:bidi="ar-SA"/>
        </w:rPr>
        <w:t>操作步骤</w:t>
      </w:r>
      <w:bookmarkEnd w:id="114"/>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评价标准设置</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444490" cy="1979295"/>
            <wp:effectExtent l="0" t="0" r="3810" b="1905"/>
            <wp:docPr id="28" name="图片 28" descr="167117612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671176120818"/>
                    <pic:cNvPicPr>
                      <a:picLocks noChangeAspect="1"/>
                    </pic:cNvPicPr>
                  </pic:nvPicPr>
                  <pic:blipFill>
                    <a:blip r:embed="rId44"/>
                    <a:stretch>
                      <a:fillRect/>
                    </a:stretch>
                  </pic:blipFill>
                  <pic:spPr>
                    <a:xfrm>
                      <a:off x="0" y="0"/>
                      <a:ext cx="5444490" cy="1979295"/>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第二步，点击【新增】，</w:t>
      </w:r>
      <w:r>
        <w:rPr>
          <w:rFonts w:hint="eastAsia" w:ascii="宋体" w:cs="宋体"/>
          <w:kern w:val="0"/>
          <w:sz w:val="24"/>
          <w:szCs w:val="21"/>
          <w:lang w:val="en-US" w:eastAsia="zh-CN" w:bidi="ar-SA"/>
        </w:rPr>
        <w:t>进入评价标准</w:t>
      </w:r>
      <w:r>
        <w:rPr>
          <w:rFonts w:hint="eastAsia" w:ascii="宋体" w:hAnsi="Times New Roman" w:eastAsia="宋体" w:cs="宋体"/>
          <w:kern w:val="0"/>
          <w:sz w:val="24"/>
          <w:szCs w:val="21"/>
          <w:lang w:val="en-US" w:eastAsia="zh-CN" w:bidi="ar-SA"/>
        </w:rPr>
        <w:t>新增界面，选择</w:t>
      </w:r>
      <w:r>
        <w:rPr>
          <w:rFonts w:hint="eastAsia" w:ascii="宋体" w:cs="宋体"/>
          <w:kern w:val="0"/>
          <w:sz w:val="24"/>
          <w:szCs w:val="21"/>
          <w:lang w:val="en-US" w:eastAsia="zh-CN" w:bidi="ar-SA"/>
        </w:rPr>
        <w:t>评价周期</w:t>
      </w:r>
      <w:r>
        <w:rPr>
          <w:rFonts w:hint="eastAsia" w:ascii="宋体" w:hAnsi="Times New Roman" w:eastAsia="宋体" w:cs="宋体"/>
          <w:kern w:val="0"/>
          <w:sz w:val="24"/>
          <w:szCs w:val="21"/>
          <w:lang w:val="en-US" w:eastAsia="zh-CN" w:bidi="ar-SA"/>
        </w:rPr>
        <w:t>，然后在“</w:t>
      </w:r>
      <w:r>
        <w:rPr>
          <w:rFonts w:hint="eastAsia" w:ascii="宋体" w:cs="宋体"/>
          <w:kern w:val="0"/>
          <w:sz w:val="24"/>
          <w:szCs w:val="21"/>
          <w:lang w:val="en-US" w:eastAsia="zh-CN" w:bidi="ar-SA"/>
        </w:rPr>
        <w:t>标准</w:t>
      </w:r>
      <w:r>
        <w:rPr>
          <w:rFonts w:hint="eastAsia" w:ascii="宋体" w:hAnsi="Times New Roman" w:eastAsia="宋体" w:cs="宋体"/>
          <w:kern w:val="0"/>
          <w:sz w:val="24"/>
          <w:szCs w:val="21"/>
          <w:lang w:val="en-US" w:eastAsia="zh-CN" w:bidi="ar-SA"/>
        </w:rPr>
        <w:t>明细”</w:t>
      </w:r>
      <w:r>
        <w:rPr>
          <w:rFonts w:hint="eastAsia" w:ascii="宋体" w:cs="宋体"/>
          <w:kern w:val="0"/>
          <w:sz w:val="24"/>
          <w:szCs w:val="21"/>
          <w:lang w:val="en-US" w:eastAsia="zh-CN" w:bidi="ar-SA"/>
        </w:rPr>
        <w:t>满分区填写数值</w:t>
      </w:r>
      <w:r>
        <w:rPr>
          <w:rFonts w:hint="eastAsia" w:ascii="宋体" w:hAnsi="Times New Roman" w:eastAsia="宋体" w:cs="宋体"/>
          <w:kern w:val="0"/>
          <w:sz w:val="24"/>
          <w:szCs w:val="21"/>
          <w:lang w:val="en-US" w:eastAsia="zh-CN" w:bidi="ar-SA"/>
        </w:rPr>
        <w:t>。点击【保存】，提示保存成功。</w:t>
      </w:r>
    </w:p>
    <w:p>
      <w:pPr>
        <w:widowControl w:val="0"/>
        <w:numPr>
          <w:ilvl w:val="0"/>
          <w:numId w:val="0"/>
        </w:numPr>
        <w:spacing w:line="360" w:lineRule="auto"/>
        <w:ind w:leftChars="0"/>
        <w:jc w:val="center"/>
        <w:rPr>
          <w:rFonts w:hint="eastAsia" w:ascii="宋体" w:cs="宋体"/>
          <w:kern w:val="0"/>
          <w:sz w:val="24"/>
          <w:szCs w:val="21"/>
          <w:lang w:val="en-US" w:eastAsia="zh-CN" w:bidi="ar-SA"/>
        </w:rPr>
      </w:pPr>
      <w:r>
        <w:rPr>
          <w:rFonts w:hint="eastAsia" w:ascii="宋体" w:hAnsi="Times New Roman" w:eastAsia="宋体" w:cs="宋体"/>
          <w:kern w:val="0"/>
          <w:sz w:val="24"/>
          <w:szCs w:val="21"/>
          <w:lang w:val="en-US" w:eastAsia="zh-CN" w:bidi="ar-SA"/>
        </w:rPr>
        <w:drawing>
          <wp:inline distT="0" distB="0" distL="114300" distR="114300">
            <wp:extent cx="5163185" cy="2243455"/>
            <wp:effectExtent l="0" t="0" r="5715" b="4445"/>
            <wp:docPr id="4" name="图片 4" descr="1670477086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70477086492"/>
                    <pic:cNvPicPr>
                      <a:picLocks noChangeAspect="1"/>
                    </pic:cNvPicPr>
                  </pic:nvPicPr>
                  <pic:blipFill>
                    <a:blip r:embed="rId45"/>
                    <a:stretch>
                      <a:fillRect/>
                    </a:stretch>
                  </pic:blipFill>
                  <pic:spPr>
                    <a:xfrm>
                      <a:off x="0" y="0"/>
                      <a:ext cx="5163185" cy="224345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评价标准设置历史查询：系统中每个评价周期只有一条有效记录，为最新新增或者修改的记录，可以【修改】。当存在记录时，再新增记录，提示“该评价周期已设置评价标准，请进行编辑修改！”。</w:t>
      </w:r>
    </w:p>
    <w:p>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评价标准：根据实际用情况可灵活配置满分数值。系统不控制所有各项分数之和是100分，支持其他满分制</w:t>
      </w:r>
      <w:r>
        <w:rPr>
          <w:rFonts w:hint="eastAsia" w:cs="Times New Roman"/>
          <w:kern w:val="2"/>
          <w:sz w:val="24"/>
          <w:szCs w:val="24"/>
          <w:lang w:val="en-US" w:eastAsia="zh-CN" w:bidi="ar-SA"/>
        </w:rPr>
        <w:t>。</w:t>
      </w:r>
    </w:p>
    <w:p>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保存</w:t>
      </w:r>
      <w:r>
        <w:rPr>
          <w:rFonts w:hint="eastAsia" w:ascii="Times New Roman" w:hAnsi="Times New Roman" w:eastAsia="宋体" w:cs="Times New Roman"/>
          <w:kern w:val="2"/>
          <w:sz w:val="24"/>
          <w:szCs w:val="24"/>
          <w:lang w:val="en-US" w:eastAsia="zh-CN" w:bidi="ar-SA"/>
        </w:rPr>
        <w:t>】：保存数据，配置内容即刻生效，返回配置列表界面。</w:t>
      </w:r>
    </w:p>
    <w:p>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【关闭】：返回配置列表界面。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lang w:val="en-US" w:eastAsia="zh-CN" w:bidi="ar-SA"/>
        </w:rPr>
      </w:pPr>
      <w:bookmarkStart w:id="115" w:name="_Toc29085"/>
      <w:bookmarkStart w:id="116" w:name="_Toc13087"/>
      <w:r>
        <w:rPr>
          <w:rFonts w:hint="eastAsia" w:ascii="Arial" w:hAnsi="Times New Roman" w:eastAsia="宋体" w:cs="Times New Roman"/>
          <w:b/>
          <w:kern w:val="2"/>
          <w:sz w:val="30"/>
          <w:szCs w:val="24"/>
          <w:lang w:val="en-US" w:eastAsia="zh-CN" w:bidi="ar-SA"/>
        </w:rPr>
        <w:t>如何查询业务数据</w:t>
      </w:r>
      <w:bookmarkEnd w:id="115"/>
      <w:bookmarkEnd w:id="116"/>
    </w:p>
    <w:p>
      <w:pPr>
        <w:widowControl w:val="0"/>
        <w:numPr>
          <w:ilvl w:val="2"/>
          <w:numId w:val="3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17" w:name="_Toc28938"/>
      <w:bookmarkStart w:id="118" w:name="_Toc3103"/>
      <w:r>
        <w:rPr>
          <w:rFonts w:hint="eastAsia" w:ascii="Times New Roman" w:hAnsi="Times New Roman" w:eastAsia="宋体" w:cs="Times New Roman"/>
          <w:b/>
          <w:kern w:val="2"/>
          <w:sz w:val="28"/>
          <w:szCs w:val="24"/>
          <w:lang w:val="en-US" w:eastAsia="zh-CN" w:bidi="ar-SA"/>
        </w:rPr>
        <w:t>业务场景描述</w:t>
      </w:r>
      <w:bookmarkEnd w:id="117"/>
      <w:bookmarkEnd w:id="118"/>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业务单据的提单用户、审核用户或其他有查询需求的相关用户，进行业务单据查询。</w:t>
      </w:r>
    </w:p>
    <w:p>
      <w:pPr>
        <w:widowControl w:val="0"/>
        <w:numPr>
          <w:ilvl w:val="2"/>
          <w:numId w:val="3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19" w:name="_Toc11517"/>
      <w:bookmarkStart w:id="120" w:name="_Toc7172"/>
      <w:r>
        <w:rPr>
          <w:rFonts w:hint="eastAsia" w:ascii="Times New Roman" w:hAnsi="Times New Roman" w:eastAsia="宋体" w:cs="Times New Roman"/>
          <w:b/>
          <w:kern w:val="2"/>
          <w:sz w:val="28"/>
          <w:szCs w:val="24"/>
          <w:lang w:val="en-US" w:eastAsia="zh-CN" w:bidi="ar-SA"/>
        </w:rPr>
        <w:t>菜单路径</w:t>
      </w:r>
      <w:bookmarkEnd w:id="119"/>
      <w:bookmarkEnd w:id="120"/>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路径：业务功能主界面。</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本人提单的单据，均可通过此类菜单进行查询。</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只要拥有菜单权限，均可按单位权限进行各业务数据统计查询。</w:t>
      </w:r>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数据权限：当前登录单位及其下级单位。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p>
    <w:p>
      <w:pPr>
        <w:widowControl w:val="0"/>
        <w:numPr>
          <w:ilvl w:val="0"/>
          <w:numId w:val="0"/>
        </w:numPr>
        <w:bidi w:val="0"/>
        <w:spacing w:before="60" w:after="60"/>
        <w:ind w:left="402" w:leftChars="0"/>
        <w:jc w:val="both"/>
        <w:outlineLvl w:val="3"/>
        <w:rPr>
          <w:rFonts w:hint="eastAsia" w:ascii="Times New Roman" w:hAnsi="Times New Roman" w:eastAsia="宋体" w:cs="Times New Roman"/>
          <w:b/>
          <w:kern w:val="2"/>
          <w:sz w:val="28"/>
          <w:szCs w:val="24"/>
          <w:lang w:val="en-US" w:eastAsia="zh-CN" w:bidi="ar-SA"/>
        </w:rPr>
      </w:pPr>
    </w:p>
    <w:sectPr>
      <w:headerReference r:id="rId8" w:type="default"/>
      <w:footerReference r:id="rId9" w:type="default"/>
      <w:pgSz w:w="11906" w:h="16838"/>
      <w:pgMar w:top="1440" w:right="1418" w:bottom="1440" w:left="1418"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Verdana">
    <w:panose1 w:val="020B0604030504040204"/>
    <w:charset w:val="00"/>
    <w:family w:val="swiss"/>
    <w:pitch w:val="default"/>
    <w:sig w:usb0="A10006FF" w:usb1="4000205B" w:usb2="00000010" w:usb3="00000000" w:csb0="2000019F" w:csb1="00000000"/>
  </w:font>
  <w:font w:name="HYQiHe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ingFang SC">
    <w:altName w:val="Segoe Print"/>
    <w:panose1 w:val="00000000000000000000"/>
    <w:charset w:val="00"/>
    <w:family w:val="auto"/>
    <w:pitch w:val="default"/>
    <w:sig w:usb0="00000000" w:usb1="00000000" w:usb2="00000000" w:usb3="00000000" w:csb0="00000000" w:csb1="00000000"/>
  </w:font>
  <w:font w:name="HYShuSongErKW">
    <w:altName w:val="Segoe Print"/>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 w:name="Microsoft JhengHei Light">
    <w:altName w:val="Microsoft JhengHei"/>
    <w:panose1 w:val="020B0304030504040204"/>
    <w:charset w:val="88"/>
    <w:family w:val="swiss"/>
    <w:pitch w:val="default"/>
    <w:sig w:usb0="00000000" w:usb1="00000000" w:usb2="00000016" w:usb3="00000000" w:csb0="00100009" w:csb1="00000000"/>
  </w:font>
  <w:font w:name="Microsoft JhengHei">
    <w:panose1 w:val="020B0604030504040204"/>
    <w:charset w:val="88"/>
    <w:family w:val="auto"/>
    <w:pitch w:val="default"/>
    <w:sig w:usb0="00000087" w:usb1="28AF4000" w:usb2="00000016" w:usb3="00000000" w:csb0="00100009"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876"/>
        <w:tab w:val="right" w:pos="9752"/>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536"/>
        <w:tab w:val="clear" w:pos="4153"/>
      </w:tabs>
      <w:jc w:val="center"/>
      <w:rPr>
        <w:b/>
        <w:bCs/>
        <w:sz w:val="24"/>
        <w:szCs w:val="24"/>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rPr>
        <w:szCs w:val="21"/>
        <w:u w:val="single"/>
      </w:rP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资金收支预算管理</w:t>
    </w:r>
    <w:r>
      <w:rPr>
        <w:rFonts w:ascii="HYShuSongErKW" w:hAnsi="HYShuSongErKW" w:eastAsia="HYShuSongErKW" w:cs="HYShuSongErKW"/>
        <w:color w:val="000000"/>
        <w:kern w:val="0"/>
        <w:sz w:val="20"/>
        <w:szCs w:val="20"/>
        <w:lang w:val="en-US" w:eastAsia="zh-CN" w:bidi="ar"/>
      </w:rPr>
      <w:t>系统操作说明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p>
    <w:r>
      <w:rPr>
        <w:rFonts w:hint="eastAsia"/>
        <w:sz w:val="18"/>
        <w:szCs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cs="HYShuSongErKW"/>
        <w:color w:val="000000"/>
        <w:kern w:val="0"/>
        <w:sz w:val="20"/>
        <w:szCs w:val="20"/>
        <w:lang w:val="en-US" w:eastAsia="zh-CN" w:bidi="ar"/>
      </w:rPr>
      <w:t>资金收支预算管理</w:t>
    </w:r>
    <w:r>
      <w:rPr>
        <w:rFonts w:ascii="HYShuSongErKW" w:hAnsi="HYShuSongErKW" w:eastAsia="HYShuSongErKW" w:cs="HYShuSongErKW"/>
        <w:color w:val="000000"/>
        <w:kern w:val="0"/>
        <w:sz w:val="20"/>
        <w:szCs w:val="20"/>
        <w:lang w:val="en-US" w:eastAsia="zh-CN" w:bidi="ar"/>
      </w:rPr>
      <w:t>系统操作说明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资金收支预算管理</w:t>
    </w:r>
    <w:r>
      <w:rPr>
        <w:rFonts w:ascii="HYShuSongErKW" w:hAnsi="HYShuSongErKW" w:eastAsia="HYShuSongErKW" w:cs="HYShuSongErKW"/>
        <w:color w:val="000000"/>
        <w:kern w:val="0"/>
        <w:sz w:val="20"/>
        <w:szCs w:val="20"/>
        <w:lang w:val="en-US" w:eastAsia="zh-CN" w:bidi="ar"/>
      </w:rPr>
      <w:t>系统操作说明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581E0"/>
    <w:multiLevelType w:val="multilevel"/>
    <w:tmpl w:val="814581E0"/>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8A493DDC"/>
    <w:multiLevelType w:val="multilevel"/>
    <w:tmpl w:val="8A493DDC"/>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
    <w:nsid w:val="91F1A8AC"/>
    <w:multiLevelType w:val="singleLevel"/>
    <w:tmpl w:val="91F1A8AC"/>
    <w:lvl w:ilvl="0" w:tentative="0">
      <w:start w:val="1"/>
      <w:numFmt w:val="bullet"/>
      <w:lvlText w:val=""/>
      <w:lvlJc w:val="left"/>
      <w:pPr>
        <w:ind w:left="420" w:hanging="420"/>
      </w:pPr>
      <w:rPr>
        <w:rFonts w:hint="default" w:ascii="Wingdings" w:hAnsi="Wingdings"/>
      </w:rPr>
    </w:lvl>
  </w:abstractNum>
  <w:abstractNum w:abstractNumId="3">
    <w:nsid w:val="9746BED4"/>
    <w:multiLevelType w:val="multilevel"/>
    <w:tmpl w:val="9746BED4"/>
    <w:lvl w:ilvl="0" w:tentative="0">
      <w:start w:val="1"/>
      <w:numFmt w:val="decimal"/>
      <w:lvlText w:val="%1."/>
      <w:lvlJc w:val="left"/>
      <w:pPr>
        <w:ind w:left="360" w:hanging="360"/>
      </w:pPr>
      <w:rPr>
        <w:rFonts w:hint="default" w:ascii="Arial" w:hAnsi="Arial" w:cs="Arial"/>
        <w:b w:val="0"/>
        <w:sz w:val="21"/>
        <w:szCs w:val="21"/>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4">
    <w:nsid w:val="AB219589"/>
    <w:multiLevelType w:val="multilevel"/>
    <w:tmpl w:val="AB219589"/>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5">
    <w:nsid w:val="C443F1FA"/>
    <w:multiLevelType w:val="multilevel"/>
    <w:tmpl w:val="C443F1F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6">
    <w:nsid w:val="CB97DA28"/>
    <w:multiLevelType w:val="multilevel"/>
    <w:tmpl w:val="CB97DA28"/>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7">
    <w:nsid w:val="DC0CAF3A"/>
    <w:multiLevelType w:val="multilevel"/>
    <w:tmpl w:val="DC0CAF3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8">
    <w:nsid w:val="E761C9E5"/>
    <w:multiLevelType w:val="singleLevel"/>
    <w:tmpl w:val="E761C9E5"/>
    <w:lvl w:ilvl="0" w:tentative="0">
      <w:start w:val="1"/>
      <w:numFmt w:val="decimalEnclosedCircleChinese"/>
      <w:suff w:val="nothing"/>
      <w:lvlText w:val="%1　"/>
      <w:lvlJc w:val="left"/>
      <w:pPr>
        <w:ind w:left="0" w:firstLine="400"/>
      </w:pPr>
      <w:rPr>
        <w:rFonts w:hint="eastAsia"/>
      </w:rPr>
    </w:lvl>
  </w:abstractNum>
  <w:abstractNum w:abstractNumId="9">
    <w:nsid w:val="EA4D70AF"/>
    <w:multiLevelType w:val="singleLevel"/>
    <w:tmpl w:val="EA4D70AF"/>
    <w:lvl w:ilvl="0" w:tentative="0">
      <w:start w:val="1"/>
      <w:numFmt w:val="chineseCounting"/>
      <w:suff w:val="nothing"/>
      <w:lvlText w:val="%1、"/>
      <w:lvlJc w:val="left"/>
      <w:pPr>
        <w:ind w:left="0" w:firstLine="0"/>
      </w:pPr>
      <w:rPr>
        <w:rFonts w:hint="eastAsia"/>
      </w:rPr>
    </w:lvl>
  </w:abstractNum>
  <w:abstractNum w:abstractNumId="10">
    <w:nsid w:val="FBCB3957"/>
    <w:multiLevelType w:val="multilevel"/>
    <w:tmpl w:val="FBCB3957"/>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1">
    <w:nsid w:val="FE63F176"/>
    <w:multiLevelType w:val="multilevel"/>
    <w:tmpl w:val="FE63F176"/>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2">
    <w:nsid w:val="00000007"/>
    <w:multiLevelType w:val="multilevel"/>
    <w:tmpl w:val="00000007"/>
    <w:lvl w:ilvl="0" w:tentative="0">
      <w:start w:val="1"/>
      <w:numFmt w:val="japaneseCounting"/>
      <w:pStyle w:val="43"/>
      <w:lvlText w:val="%1、"/>
      <w:lvlJc w:val="left"/>
      <w:pPr>
        <w:tabs>
          <w:tab w:val="left" w:pos="420"/>
        </w:tabs>
        <w:ind w:left="420" w:hanging="420"/>
      </w:pPr>
      <w:rPr>
        <w:rFonts w:hint="default"/>
      </w:rPr>
    </w:lvl>
    <w:lvl w:ilvl="1" w:tentative="0">
      <w:start w:val="1"/>
      <w:numFmt w:val="decimal"/>
      <w:lvlText w:val="%2、"/>
      <w:lvlJc w:val="left"/>
      <w:pPr>
        <w:tabs>
          <w:tab w:val="left" w:pos="1260"/>
        </w:tabs>
        <w:ind w:left="126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0000002E"/>
    <w:multiLevelType w:val="multilevel"/>
    <w:tmpl w:val="0000002E"/>
    <w:lvl w:ilvl="0" w:tentative="0">
      <w:start w:val="1"/>
      <w:numFmt w:val="chineseCountingThousand"/>
      <w:lvlText w:val="第%1章"/>
      <w:lvlJc w:val="left"/>
      <w:pPr>
        <w:tabs>
          <w:tab w:val="left" w:pos="1673"/>
        </w:tabs>
        <w:ind w:left="426" w:firstLine="0"/>
      </w:pPr>
      <w:rPr>
        <w:rFonts w:hint="eastAsia"/>
        <w:lang w:val="en-US"/>
      </w:rPr>
    </w:lvl>
    <w:lvl w:ilvl="1" w:tentative="0">
      <w:start w:val="1"/>
      <w:numFmt w:val="decimal"/>
      <w:pStyle w:val="49"/>
      <w:isLgl/>
      <w:lvlText w:val="%1.%2"/>
      <w:lvlJc w:val="left"/>
      <w:pPr>
        <w:tabs>
          <w:tab w:val="left" w:pos="454"/>
        </w:tabs>
        <w:ind w:left="0" w:firstLine="0"/>
      </w:pPr>
      <w:rPr>
        <w:rFonts w:hint="eastAsia"/>
      </w:rPr>
    </w:lvl>
    <w:lvl w:ilvl="2" w:tentative="0">
      <w:start w:val="1"/>
      <w:numFmt w:val="decimal"/>
      <w:pStyle w:val="46"/>
      <w:isLgl/>
      <w:lvlText w:val="%1.%2.%3"/>
      <w:lvlJc w:val="left"/>
      <w:pPr>
        <w:tabs>
          <w:tab w:val="left" w:pos="709"/>
        </w:tabs>
        <w:ind w:left="0" w:firstLine="0"/>
      </w:pPr>
      <w:rPr>
        <w:rFonts w:hint="eastAsia"/>
      </w:rPr>
    </w:lvl>
    <w:lvl w:ilvl="3" w:tentative="0">
      <w:start w:val="1"/>
      <w:numFmt w:val="decimal"/>
      <w:isLgl/>
      <w:lvlText w:val="%1.%2.%3.%4"/>
      <w:lvlJc w:val="left"/>
      <w:pPr>
        <w:tabs>
          <w:tab w:val="left" w:pos="936"/>
        </w:tabs>
        <w:ind w:left="0" w:firstLine="0"/>
      </w:pPr>
      <w:rPr>
        <w:rFonts w:hint="eastAsia"/>
      </w:rPr>
    </w:lvl>
    <w:lvl w:ilvl="4" w:tentative="0">
      <w:start w:val="1"/>
      <w:numFmt w:val="decimal"/>
      <w:isLgl/>
      <w:lvlText w:val="%1.%2.%3.%4.%5"/>
      <w:lvlJc w:val="left"/>
      <w:pPr>
        <w:tabs>
          <w:tab w:val="left" w:pos="1162"/>
        </w:tabs>
        <w:ind w:left="0" w:firstLine="0"/>
      </w:pPr>
      <w:rPr>
        <w:rFonts w:hint="eastAsia"/>
      </w:rPr>
    </w:lvl>
    <w:lvl w:ilvl="5" w:tentative="0">
      <w:start w:val="1"/>
      <w:numFmt w:val="decimal"/>
      <w:isLgl/>
      <w:lvlText w:val="%1.%2.%3.%4.%5.%6"/>
      <w:lvlJc w:val="left"/>
      <w:pPr>
        <w:tabs>
          <w:tab w:val="left" w:pos="1389"/>
        </w:tabs>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4">
    <w:nsid w:val="089BEDCF"/>
    <w:multiLevelType w:val="singleLevel"/>
    <w:tmpl w:val="089BEDCF"/>
    <w:lvl w:ilvl="0" w:tentative="0">
      <w:start w:val="1"/>
      <w:numFmt w:val="decimalEnclosedCircleChinese"/>
      <w:suff w:val="nothing"/>
      <w:lvlText w:val="%1　"/>
      <w:lvlJc w:val="left"/>
      <w:pPr>
        <w:ind w:left="0" w:firstLine="400"/>
      </w:pPr>
      <w:rPr>
        <w:rFonts w:hint="eastAsia"/>
      </w:rPr>
    </w:lvl>
  </w:abstractNum>
  <w:abstractNum w:abstractNumId="15">
    <w:nsid w:val="08B009D6"/>
    <w:multiLevelType w:val="multilevel"/>
    <w:tmpl w:val="08B009D6"/>
    <w:lvl w:ilvl="0" w:tentative="0">
      <w:start w:val="0"/>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1430"/>
        </w:tabs>
        <w:ind w:left="1430" w:hanging="720"/>
      </w:pPr>
      <w:rPr>
        <w:rFonts w:hint="eastAsia"/>
      </w:rPr>
    </w:lvl>
    <w:lvl w:ilvl="3" w:tentative="0">
      <w:start w:val="1"/>
      <w:numFmt w:val="decimal"/>
      <w:pStyle w:val="6"/>
      <w:lvlText w:val="%1.%2.%3.%4"/>
      <w:lvlJc w:val="left"/>
      <w:pPr>
        <w:tabs>
          <w:tab w:val="left" w:pos="1857"/>
        </w:tabs>
        <w:ind w:left="1857"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6">
    <w:nsid w:val="09755C3E"/>
    <w:multiLevelType w:val="singleLevel"/>
    <w:tmpl w:val="09755C3E"/>
    <w:lvl w:ilvl="0" w:tentative="0">
      <w:start w:val="1"/>
      <w:numFmt w:val="decimalEnclosedCircleChinese"/>
      <w:suff w:val="nothing"/>
      <w:lvlText w:val="%1　"/>
      <w:lvlJc w:val="left"/>
      <w:pPr>
        <w:ind w:left="0" w:firstLine="400"/>
      </w:pPr>
      <w:rPr>
        <w:rFonts w:hint="eastAsia"/>
      </w:rPr>
    </w:lvl>
  </w:abstractNum>
  <w:abstractNum w:abstractNumId="17">
    <w:nsid w:val="1058F24A"/>
    <w:multiLevelType w:val="multilevel"/>
    <w:tmpl w:val="1058F24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8">
    <w:nsid w:val="11C183BA"/>
    <w:multiLevelType w:val="singleLevel"/>
    <w:tmpl w:val="11C183BA"/>
    <w:lvl w:ilvl="0" w:tentative="0">
      <w:start w:val="1"/>
      <w:numFmt w:val="decimalEnclosedCircleChinese"/>
      <w:suff w:val="nothing"/>
      <w:lvlText w:val="%1　"/>
      <w:lvlJc w:val="left"/>
      <w:pPr>
        <w:ind w:left="0" w:firstLine="400"/>
      </w:pPr>
      <w:rPr>
        <w:rFonts w:hint="eastAsia"/>
      </w:rPr>
    </w:lvl>
  </w:abstractNum>
  <w:abstractNum w:abstractNumId="19">
    <w:nsid w:val="1BD98C2F"/>
    <w:multiLevelType w:val="singleLevel"/>
    <w:tmpl w:val="1BD98C2F"/>
    <w:lvl w:ilvl="0" w:tentative="0">
      <w:start w:val="1"/>
      <w:numFmt w:val="decimalEnclosedCircleChinese"/>
      <w:suff w:val="nothing"/>
      <w:lvlText w:val="%1　"/>
      <w:lvlJc w:val="left"/>
      <w:pPr>
        <w:ind w:left="0" w:firstLine="400"/>
      </w:pPr>
      <w:rPr>
        <w:rFonts w:hint="eastAsia"/>
      </w:rPr>
    </w:lvl>
  </w:abstractNum>
  <w:abstractNum w:abstractNumId="20">
    <w:nsid w:val="1C087F6E"/>
    <w:multiLevelType w:val="singleLevel"/>
    <w:tmpl w:val="1C087F6E"/>
    <w:lvl w:ilvl="0" w:tentative="0">
      <w:start w:val="1"/>
      <w:numFmt w:val="decimalEnclosedCircleChinese"/>
      <w:suff w:val="nothing"/>
      <w:lvlText w:val="%1　"/>
      <w:lvlJc w:val="left"/>
      <w:pPr>
        <w:ind w:left="0" w:firstLine="400"/>
      </w:pPr>
      <w:rPr>
        <w:rFonts w:hint="eastAsia"/>
      </w:rPr>
    </w:lvl>
  </w:abstractNum>
  <w:abstractNum w:abstractNumId="21">
    <w:nsid w:val="29846CD3"/>
    <w:multiLevelType w:val="multilevel"/>
    <w:tmpl w:val="29846CD3"/>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2">
    <w:nsid w:val="33332025"/>
    <w:multiLevelType w:val="singleLevel"/>
    <w:tmpl w:val="33332025"/>
    <w:lvl w:ilvl="0" w:tentative="0">
      <w:start w:val="1"/>
      <w:numFmt w:val="decimalEnclosedCircleChinese"/>
      <w:suff w:val="nothing"/>
      <w:lvlText w:val="%1　"/>
      <w:lvlJc w:val="left"/>
      <w:pPr>
        <w:ind w:left="0" w:firstLine="400"/>
      </w:pPr>
      <w:rPr>
        <w:rFonts w:hint="eastAsia"/>
      </w:rPr>
    </w:lvl>
  </w:abstractNum>
  <w:abstractNum w:abstractNumId="23">
    <w:nsid w:val="34D0BD90"/>
    <w:multiLevelType w:val="singleLevel"/>
    <w:tmpl w:val="34D0BD90"/>
    <w:lvl w:ilvl="0" w:tentative="0">
      <w:start w:val="1"/>
      <w:numFmt w:val="decimalEnclosedCircleChinese"/>
      <w:suff w:val="nothing"/>
      <w:lvlText w:val="%1　"/>
      <w:lvlJc w:val="left"/>
      <w:pPr>
        <w:ind w:left="0" w:firstLine="400"/>
      </w:pPr>
      <w:rPr>
        <w:rFonts w:hint="eastAsia"/>
      </w:rPr>
    </w:lvl>
  </w:abstractNum>
  <w:abstractNum w:abstractNumId="24">
    <w:nsid w:val="3DF23FE5"/>
    <w:multiLevelType w:val="singleLevel"/>
    <w:tmpl w:val="3DF23FE5"/>
    <w:lvl w:ilvl="0" w:tentative="0">
      <w:start w:val="1"/>
      <w:numFmt w:val="decimalEnclosedCircleChinese"/>
      <w:suff w:val="nothing"/>
      <w:lvlText w:val="%1　"/>
      <w:lvlJc w:val="left"/>
      <w:pPr>
        <w:ind w:left="0" w:firstLine="400"/>
      </w:pPr>
      <w:rPr>
        <w:rFonts w:hint="eastAsia"/>
      </w:rPr>
    </w:lvl>
  </w:abstractNum>
  <w:abstractNum w:abstractNumId="25">
    <w:nsid w:val="441FBE9B"/>
    <w:multiLevelType w:val="multilevel"/>
    <w:tmpl w:val="441FBE9B"/>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6">
    <w:nsid w:val="471397A4"/>
    <w:multiLevelType w:val="singleLevel"/>
    <w:tmpl w:val="471397A4"/>
    <w:lvl w:ilvl="0" w:tentative="0">
      <w:start w:val="1"/>
      <w:numFmt w:val="decimalEnclosedCircleChinese"/>
      <w:suff w:val="nothing"/>
      <w:lvlText w:val="%1　"/>
      <w:lvlJc w:val="left"/>
      <w:pPr>
        <w:ind w:left="0" w:firstLine="400"/>
      </w:pPr>
      <w:rPr>
        <w:rFonts w:hint="eastAsia"/>
      </w:rPr>
    </w:lvl>
  </w:abstractNum>
  <w:abstractNum w:abstractNumId="27">
    <w:nsid w:val="4CEBEDA3"/>
    <w:multiLevelType w:val="singleLevel"/>
    <w:tmpl w:val="4CEBEDA3"/>
    <w:lvl w:ilvl="0" w:tentative="0">
      <w:start w:val="1"/>
      <w:numFmt w:val="decimalEnclosedCircleChinese"/>
      <w:suff w:val="nothing"/>
      <w:lvlText w:val="%1　"/>
      <w:lvlJc w:val="left"/>
      <w:pPr>
        <w:ind w:left="0" w:firstLine="400"/>
      </w:pPr>
      <w:rPr>
        <w:rFonts w:hint="eastAsia"/>
      </w:rPr>
    </w:lvl>
  </w:abstractNum>
  <w:abstractNum w:abstractNumId="28">
    <w:nsid w:val="63E64672"/>
    <w:multiLevelType w:val="multilevel"/>
    <w:tmpl w:val="63E64672"/>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9">
    <w:nsid w:val="6B98488A"/>
    <w:multiLevelType w:val="multilevel"/>
    <w:tmpl w:val="6B98488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0">
    <w:nsid w:val="6CB11212"/>
    <w:multiLevelType w:val="multilevel"/>
    <w:tmpl w:val="6CB11212"/>
    <w:lvl w:ilvl="0" w:tentative="0">
      <w:start w:val="1"/>
      <w:numFmt w:val="bullet"/>
      <w:pStyle w:val="7"/>
      <w:lvlText w:val=""/>
      <w:lvlJc w:val="left"/>
      <w:pPr>
        <w:tabs>
          <w:tab w:val="left" w:pos="420"/>
        </w:tabs>
        <w:ind w:left="420" w:hanging="420"/>
      </w:pPr>
      <w:rPr>
        <w:rFonts w:hint="default" w:ascii="Wingdings" w:hAnsi="Wingding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1">
    <w:nsid w:val="7177416D"/>
    <w:multiLevelType w:val="multilevel"/>
    <w:tmpl w:val="7177416D"/>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2">
    <w:nsid w:val="75BB8B3C"/>
    <w:multiLevelType w:val="multilevel"/>
    <w:tmpl w:val="75BB8B3C"/>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3">
    <w:nsid w:val="78BD8ED9"/>
    <w:multiLevelType w:val="singleLevel"/>
    <w:tmpl w:val="78BD8ED9"/>
    <w:lvl w:ilvl="0" w:tentative="0">
      <w:start w:val="1"/>
      <w:numFmt w:val="chineseCounting"/>
      <w:suff w:val="nothing"/>
      <w:lvlText w:val="%1、"/>
      <w:lvlJc w:val="left"/>
      <w:pPr>
        <w:ind w:left="0" w:firstLine="420"/>
      </w:pPr>
      <w:rPr>
        <w:rFonts w:hint="eastAsia"/>
      </w:rPr>
    </w:lvl>
  </w:abstractNum>
  <w:abstractNum w:abstractNumId="34">
    <w:nsid w:val="7A5CD4C6"/>
    <w:multiLevelType w:val="singleLevel"/>
    <w:tmpl w:val="7A5CD4C6"/>
    <w:lvl w:ilvl="0" w:tentative="0">
      <w:start w:val="1"/>
      <w:numFmt w:val="decimalEnclosedCircleChinese"/>
      <w:suff w:val="nothing"/>
      <w:lvlText w:val="%1　"/>
      <w:lvlJc w:val="left"/>
      <w:pPr>
        <w:ind w:left="0" w:firstLine="400"/>
      </w:pPr>
      <w:rPr>
        <w:rFonts w:hint="eastAsia"/>
      </w:rPr>
    </w:lvl>
  </w:abstractNum>
  <w:abstractNum w:abstractNumId="35">
    <w:nsid w:val="7DB71245"/>
    <w:multiLevelType w:val="singleLevel"/>
    <w:tmpl w:val="7DB71245"/>
    <w:lvl w:ilvl="0" w:tentative="0">
      <w:start w:val="1"/>
      <w:numFmt w:val="decimalEnclosedCircleChinese"/>
      <w:suff w:val="nothing"/>
      <w:lvlText w:val="%1　"/>
      <w:lvlJc w:val="left"/>
      <w:pPr>
        <w:ind w:left="0" w:firstLine="400"/>
      </w:pPr>
      <w:rPr>
        <w:rFonts w:hint="eastAsia"/>
      </w:rPr>
    </w:lvl>
  </w:abstractNum>
  <w:abstractNum w:abstractNumId="36">
    <w:nsid w:val="7E500ACD"/>
    <w:multiLevelType w:val="multilevel"/>
    <w:tmpl w:val="7E500ACD"/>
    <w:lvl w:ilvl="0" w:tentative="0">
      <w:start w:val="1"/>
      <w:numFmt w:val="decimal"/>
      <w:lvlText w:val="%1."/>
      <w:lvlJc w:val="left"/>
      <w:pPr>
        <w:ind w:left="360" w:hanging="360"/>
      </w:pPr>
      <w:rPr>
        <w:rFonts w:hint="default" w:ascii="Arial" w:hAnsi="Arial" w:cs="Arial"/>
        <w:b w:val="0"/>
        <w:sz w:val="21"/>
        <w:szCs w:val="21"/>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15"/>
  </w:num>
  <w:num w:numId="2">
    <w:abstractNumId w:val="30"/>
  </w:num>
  <w:num w:numId="3">
    <w:abstractNumId w:val="12"/>
  </w:num>
  <w:num w:numId="4">
    <w:abstractNumId w:val="13"/>
  </w:num>
  <w:num w:numId="5">
    <w:abstractNumId w:val="9"/>
  </w:num>
  <w:num w:numId="6">
    <w:abstractNumId w:val="36"/>
  </w:num>
  <w:num w:numId="7">
    <w:abstractNumId w:val="3"/>
  </w:num>
  <w:num w:numId="8">
    <w:abstractNumId w:val="28"/>
    <w:lvlOverride w:ilvl="0">
      <w:lvl w:ilvl="0" w:tentative="1">
        <w:start w:val="0"/>
        <w:numFmt w:val="decimal"/>
        <w:lvlText w:val=""/>
        <w:lvlJc w:val="left"/>
      </w:lvl>
    </w:lvlOverride>
    <w:lvlOverride w:ilvl="1">
      <w:lvl w:ilvl="1" w:tentative="1">
        <w:start w:val="0"/>
        <w:numFmt w:val="decimal"/>
        <w:lvlText w:val=""/>
        <w:lvlJc w:val="left"/>
      </w:lvl>
    </w:lvlOverride>
    <w:lvlOverride w:ilvl="2">
      <w:lvl w:ilvl="2" w:tentative="1">
        <w:start w:val="1"/>
        <w:numFmt w:val="decimal"/>
        <w:lvlText w:val="%1.%2.%3"/>
        <w:lvlJc w:val="left"/>
        <w:pPr>
          <w:tabs>
            <w:tab w:val="left" w:pos="851"/>
          </w:tabs>
          <w:ind w:left="851" w:hanging="709"/>
        </w:pPr>
        <w:rPr>
          <w:rFonts w:hint="eastAsia"/>
        </w:rPr>
      </w:lvl>
    </w:lvlOverride>
  </w:num>
  <w:num w:numId="9">
    <w:abstractNumId w:val="24"/>
  </w:num>
  <w:num w:numId="10">
    <w:abstractNumId w:val="33"/>
  </w:num>
  <w:num w:numId="11">
    <w:abstractNumId w:val="29"/>
  </w:num>
  <w:num w:numId="12">
    <w:abstractNumId w:val="2"/>
  </w:num>
  <w:num w:numId="13">
    <w:abstractNumId w:val="35"/>
  </w:num>
  <w:num w:numId="14">
    <w:abstractNumId w:val="6"/>
  </w:num>
  <w:num w:numId="15">
    <w:abstractNumId w:val="22"/>
  </w:num>
  <w:num w:numId="16">
    <w:abstractNumId w:val="4"/>
  </w:num>
  <w:num w:numId="17">
    <w:abstractNumId w:val="16"/>
  </w:num>
  <w:num w:numId="18">
    <w:abstractNumId w:val="25"/>
  </w:num>
  <w:num w:numId="19">
    <w:abstractNumId w:val="19"/>
  </w:num>
  <w:num w:numId="20">
    <w:abstractNumId w:val="7"/>
  </w:num>
  <w:num w:numId="21">
    <w:abstractNumId w:val="18"/>
  </w:num>
  <w:num w:numId="22">
    <w:abstractNumId w:val="17"/>
  </w:num>
  <w:num w:numId="23">
    <w:abstractNumId w:val="14"/>
  </w:num>
  <w:num w:numId="24">
    <w:abstractNumId w:val="31"/>
  </w:num>
  <w:num w:numId="25">
    <w:abstractNumId w:val="34"/>
  </w:num>
  <w:num w:numId="26">
    <w:abstractNumId w:val="11"/>
  </w:num>
  <w:num w:numId="27">
    <w:abstractNumId w:val="23"/>
  </w:num>
  <w:num w:numId="28">
    <w:abstractNumId w:val="1"/>
  </w:num>
  <w:num w:numId="29">
    <w:abstractNumId w:val="8"/>
  </w:num>
  <w:num w:numId="30">
    <w:abstractNumId w:val="32"/>
  </w:num>
  <w:num w:numId="31">
    <w:abstractNumId w:val="26"/>
  </w:num>
  <w:num w:numId="32">
    <w:abstractNumId w:val="10"/>
  </w:num>
  <w:num w:numId="33">
    <w:abstractNumId w:val="27"/>
  </w:num>
  <w:num w:numId="34">
    <w:abstractNumId w:val="5"/>
  </w:num>
  <w:num w:numId="35">
    <w:abstractNumId w:val="0"/>
  </w:num>
  <w:num w:numId="36">
    <w:abstractNumId w:val="20"/>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NkNDFjMmFiZDJlMWY3NDE2NzgyMDE1NDYwODE2NmYifQ=="/>
  </w:docVars>
  <w:rsids>
    <w:rsidRoot w:val="275A7A4D"/>
    <w:rsid w:val="0000753F"/>
    <w:rsid w:val="00007A23"/>
    <w:rsid w:val="00013842"/>
    <w:rsid w:val="0001521D"/>
    <w:rsid w:val="00016EFD"/>
    <w:rsid w:val="00017273"/>
    <w:rsid w:val="000360AB"/>
    <w:rsid w:val="00037697"/>
    <w:rsid w:val="00040952"/>
    <w:rsid w:val="0004289B"/>
    <w:rsid w:val="00050956"/>
    <w:rsid w:val="0005165A"/>
    <w:rsid w:val="0005393A"/>
    <w:rsid w:val="00060396"/>
    <w:rsid w:val="0006195B"/>
    <w:rsid w:val="0006629B"/>
    <w:rsid w:val="00076E15"/>
    <w:rsid w:val="00076E49"/>
    <w:rsid w:val="00077787"/>
    <w:rsid w:val="000809F9"/>
    <w:rsid w:val="0008222A"/>
    <w:rsid w:val="00082786"/>
    <w:rsid w:val="00083FAA"/>
    <w:rsid w:val="00084B1A"/>
    <w:rsid w:val="000A3752"/>
    <w:rsid w:val="000A5C4E"/>
    <w:rsid w:val="000A76C4"/>
    <w:rsid w:val="000B3207"/>
    <w:rsid w:val="000B460C"/>
    <w:rsid w:val="000B7596"/>
    <w:rsid w:val="000C0240"/>
    <w:rsid w:val="000C0AB3"/>
    <w:rsid w:val="000C0D9A"/>
    <w:rsid w:val="000C4DA3"/>
    <w:rsid w:val="000C5488"/>
    <w:rsid w:val="000D3D22"/>
    <w:rsid w:val="000D400F"/>
    <w:rsid w:val="000D6DF0"/>
    <w:rsid w:val="000E0295"/>
    <w:rsid w:val="000E6F26"/>
    <w:rsid w:val="000F3255"/>
    <w:rsid w:val="00101F45"/>
    <w:rsid w:val="00103977"/>
    <w:rsid w:val="00107E67"/>
    <w:rsid w:val="001146CE"/>
    <w:rsid w:val="0011559B"/>
    <w:rsid w:val="00117300"/>
    <w:rsid w:val="00125A3E"/>
    <w:rsid w:val="00130109"/>
    <w:rsid w:val="00132CCE"/>
    <w:rsid w:val="00135B0F"/>
    <w:rsid w:val="001424F0"/>
    <w:rsid w:val="00156023"/>
    <w:rsid w:val="001620C8"/>
    <w:rsid w:val="001628B7"/>
    <w:rsid w:val="0016387F"/>
    <w:rsid w:val="00163990"/>
    <w:rsid w:val="001651DA"/>
    <w:rsid w:val="0016572D"/>
    <w:rsid w:val="00170161"/>
    <w:rsid w:val="001752DE"/>
    <w:rsid w:val="001818F4"/>
    <w:rsid w:val="00184801"/>
    <w:rsid w:val="00184F8E"/>
    <w:rsid w:val="001955C1"/>
    <w:rsid w:val="001A26D2"/>
    <w:rsid w:val="001A53D5"/>
    <w:rsid w:val="001A691E"/>
    <w:rsid w:val="001B1491"/>
    <w:rsid w:val="001B1D5D"/>
    <w:rsid w:val="001B2A7F"/>
    <w:rsid w:val="001B3CE6"/>
    <w:rsid w:val="001B5341"/>
    <w:rsid w:val="001C7D7E"/>
    <w:rsid w:val="001D0CB3"/>
    <w:rsid w:val="001D5044"/>
    <w:rsid w:val="001E4BCA"/>
    <w:rsid w:val="001E68E1"/>
    <w:rsid w:val="001F1436"/>
    <w:rsid w:val="001F2F76"/>
    <w:rsid w:val="00203735"/>
    <w:rsid w:val="002054A6"/>
    <w:rsid w:val="00207267"/>
    <w:rsid w:val="002108E0"/>
    <w:rsid w:val="00213212"/>
    <w:rsid w:val="00220C34"/>
    <w:rsid w:val="00222014"/>
    <w:rsid w:val="002227B2"/>
    <w:rsid w:val="00226D0E"/>
    <w:rsid w:val="00235D2C"/>
    <w:rsid w:val="00246E44"/>
    <w:rsid w:val="002526FD"/>
    <w:rsid w:val="00253636"/>
    <w:rsid w:val="00255BBB"/>
    <w:rsid w:val="00261AB5"/>
    <w:rsid w:val="00263D80"/>
    <w:rsid w:val="00266826"/>
    <w:rsid w:val="002670BF"/>
    <w:rsid w:val="00271A31"/>
    <w:rsid w:val="00277519"/>
    <w:rsid w:val="00281D43"/>
    <w:rsid w:val="002837CE"/>
    <w:rsid w:val="0028685F"/>
    <w:rsid w:val="00287A5C"/>
    <w:rsid w:val="0029536F"/>
    <w:rsid w:val="002A00C9"/>
    <w:rsid w:val="002A3885"/>
    <w:rsid w:val="002B0F6A"/>
    <w:rsid w:val="002B53FA"/>
    <w:rsid w:val="002B721A"/>
    <w:rsid w:val="002C7039"/>
    <w:rsid w:val="002D18BC"/>
    <w:rsid w:val="002D2C03"/>
    <w:rsid w:val="002D34E1"/>
    <w:rsid w:val="002D67CA"/>
    <w:rsid w:val="002E09BC"/>
    <w:rsid w:val="002E5548"/>
    <w:rsid w:val="002E7A7F"/>
    <w:rsid w:val="002E7E95"/>
    <w:rsid w:val="002F4B37"/>
    <w:rsid w:val="00301907"/>
    <w:rsid w:val="00302A68"/>
    <w:rsid w:val="00307FEC"/>
    <w:rsid w:val="00310DE2"/>
    <w:rsid w:val="00310F02"/>
    <w:rsid w:val="0032047A"/>
    <w:rsid w:val="00320760"/>
    <w:rsid w:val="003223B4"/>
    <w:rsid w:val="00322F50"/>
    <w:rsid w:val="00322F5A"/>
    <w:rsid w:val="00330014"/>
    <w:rsid w:val="00340019"/>
    <w:rsid w:val="00340AB2"/>
    <w:rsid w:val="00342004"/>
    <w:rsid w:val="0034256E"/>
    <w:rsid w:val="00352DBB"/>
    <w:rsid w:val="00356692"/>
    <w:rsid w:val="0036468C"/>
    <w:rsid w:val="00364C7C"/>
    <w:rsid w:val="0037054C"/>
    <w:rsid w:val="00373F12"/>
    <w:rsid w:val="003746BB"/>
    <w:rsid w:val="003839FD"/>
    <w:rsid w:val="003855FD"/>
    <w:rsid w:val="003865EF"/>
    <w:rsid w:val="00387D9B"/>
    <w:rsid w:val="00391438"/>
    <w:rsid w:val="003914C8"/>
    <w:rsid w:val="003929CB"/>
    <w:rsid w:val="003A2311"/>
    <w:rsid w:val="003A6E37"/>
    <w:rsid w:val="003A7728"/>
    <w:rsid w:val="003B139B"/>
    <w:rsid w:val="003B7374"/>
    <w:rsid w:val="003C0B02"/>
    <w:rsid w:val="003C3C3E"/>
    <w:rsid w:val="003C7E2B"/>
    <w:rsid w:val="003D1F52"/>
    <w:rsid w:val="003D1FAD"/>
    <w:rsid w:val="003D24F8"/>
    <w:rsid w:val="003D2706"/>
    <w:rsid w:val="003E04F9"/>
    <w:rsid w:val="003E18BD"/>
    <w:rsid w:val="003E3718"/>
    <w:rsid w:val="003E7130"/>
    <w:rsid w:val="003F0256"/>
    <w:rsid w:val="003F40BF"/>
    <w:rsid w:val="003F40E5"/>
    <w:rsid w:val="003F45B0"/>
    <w:rsid w:val="003F7C0B"/>
    <w:rsid w:val="00401F87"/>
    <w:rsid w:val="004020B6"/>
    <w:rsid w:val="00402E98"/>
    <w:rsid w:val="00403866"/>
    <w:rsid w:val="00403D06"/>
    <w:rsid w:val="00410FFC"/>
    <w:rsid w:val="00412B93"/>
    <w:rsid w:val="00415D74"/>
    <w:rsid w:val="00421FB2"/>
    <w:rsid w:val="00422A46"/>
    <w:rsid w:val="004252B6"/>
    <w:rsid w:val="004270C4"/>
    <w:rsid w:val="00427B11"/>
    <w:rsid w:val="00435E93"/>
    <w:rsid w:val="00442F50"/>
    <w:rsid w:val="00446328"/>
    <w:rsid w:val="00457E6C"/>
    <w:rsid w:val="00460347"/>
    <w:rsid w:val="004633AD"/>
    <w:rsid w:val="00463411"/>
    <w:rsid w:val="00467551"/>
    <w:rsid w:val="004721AB"/>
    <w:rsid w:val="004762F0"/>
    <w:rsid w:val="0048045F"/>
    <w:rsid w:val="00490B33"/>
    <w:rsid w:val="00490E29"/>
    <w:rsid w:val="0049483A"/>
    <w:rsid w:val="00496DDA"/>
    <w:rsid w:val="004978FC"/>
    <w:rsid w:val="00497AE7"/>
    <w:rsid w:val="004A05E5"/>
    <w:rsid w:val="004A129A"/>
    <w:rsid w:val="004A1E37"/>
    <w:rsid w:val="004A2569"/>
    <w:rsid w:val="004A5344"/>
    <w:rsid w:val="004B5A7B"/>
    <w:rsid w:val="004B62A8"/>
    <w:rsid w:val="004B687F"/>
    <w:rsid w:val="004B7F0A"/>
    <w:rsid w:val="004C6111"/>
    <w:rsid w:val="004C7A39"/>
    <w:rsid w:val="004D01B8"/>
    <w:rsid w:val="004D1236"/>
    <w:rsid w:val="004D1C6F"/>
    <w:rsid w:val="004D2FDE"/>
    <w:rsid w:val="004E3796"/>
    <w:rsid w:val="004E3E5E"/>
    <w:rsid w:val="004E56D9"/>
    <w:rsid w:val="004F1DBA"/>
    <w:rsid w:val="005033EE"/>
    <w:rsid w:val="00503B73"/>
    <w:rsid w:val="00513A44"/>
    <w:rsid w:val="00514D2F"/>
    <w:rsid w:val="005150AE"/>
    <w:rsid w:val="00520607"/>
    <w:rsid w:val="00524311"/>
    <w:rsid w:val="00525B01"/>
    <w:rsid w:val="00533562"/>
    <w:rsid w:val="00533B0A"/>
    <w:rsid w:val="00535D45"/>
    <w:rsid w:val="005372C2"/>
    <w:rsid w:val="00542FB4"/>
    <w:rsid w:val="00543C47"/>
    <w:rsid w:val="005452D9"/>
    <w:rsid w:val="00551B48"/>
    <w:rsid w:val="005520B8"/>
    <w:rsid w:val="00554911"/>
    <w:rsid w:val="0056742F"/>
    <w:rsid w:val="00574C42"/>
    <w:rsid w:val="00585B22"/>
    <w:rsid w:val="005933FD"/>
    <w:rsid w:val="00593A2F"/>
    <w:rsid w:val="00594827"/>
    <w:rsid w:val="00595069"/>
    <w:rsid w:val="00596991"/>
    <w:rsid w:val="005A02E3"/>
    <w:rsid w:val="005A3C08"/>
    <w:rsid w:val="005B104C"/>
    <w:rsid w:val="005B390D"/>
    <w:rsid w:val="005B4C16"/>
    <w:rsid w:val="005C45F8"/>
    <w:rsid w:val="005C5ACA"/>
    <w:rsid w:val="005D05A9"/>
    <w:rsid w:val="005E2130"/>
    <w:rsid w:val="005E3686"/>
    <w:rsid w:val="005E7835"/>
    <w:rsid w:val="005F0740"/>
    <w:rsid w:val="005F19E3"/>
    <w:rsid w:val="005F3576"/>
    <w:rsid w:val="005F53E2"/>
    <w:rsid w:val="005F5C5A"/>
    <w:rsid w:val="00604E4C"/>
    <w:rsid w:val="00606D24"/>
    <w:rsid w:val="00606F42"/>
    <w:rsid w:val="00611184"/>
    <w:rsid w:val="006116C2"/>
    <w:rsid w:val="00613F30"/>
    <w:rsid w:val="006168B0"/>
    <w:rsid w:val="0062233B"/>
    <w:rsid w:val="00622957"/>
    <w:rsid w:val="00623B82"/>
    <w:rsid w:val="00623E7A"/>
    <w:rsid w:val="00624E4F"/>
    <w:rsid w:val="00625883"/>
    <w:rsid w:val="00627F74"/>
    <w:rsid w:val="006304EE"/>
    <w:rsid w:val="0063126E"/>
    <w:rsid w:val="0063492B"/>
    <w:rsid w:val="00635A17"/>
    <w:rsid w:val="00637452"/>
    <w:rsid w:val="00641B30"/>
    <w:rsid w:val="006477AD"/>
    <w:rsid w:val="00651F00"/>
    <w:rsid w:val="00652395"/>
    <w:rsid w:val="00652616"/>
    <w:rsid w:val="00652A94"/>
    <w:rsid w:val="00653280"/>
    <w:rsid w:val="006557AC"/>
    <w:rsid w:val="0065624B"/>
    <w:rsid w:val="00657739"/>
    <w:rsid w:val="00661B41"/>
    <w:rsid w:val="00662E84"/>
    <w:rsid w:val="00670112"/>
    <w:rsid w:val="00670ADC"/>
    <w:rsid w:val="006710E3"/>
    <w:rsid w:val="006713CD"/>
    <w:rsid w:val="006806D3"/>
    <w:rsid w:val="0068089A"/>
    <w:rsid w:val="00682EB6"/>
    <w:rsid w:val="00682F60"/>
    <w:rsid w:val="0068454C"/>
    <w:rsid w:val="006847E6"/>
    <w:rsid w:val="006863DB"/>
    <w:rsid w:val="0069583C"/>
    <w:rsid w:val="0069662B"/>
    <w:rsid w:val="006A1DE5"/>
    <w:rsid w:val="006A22D3"/>
    <w:rsid w:val="006A2A0C"/>
    <w:rsid w:val="006A2C14"/>
    <w:rsid w:val="006A30A9"/>
    <w:rsid w:val="006B2DD2"/>
    <w:rsid w:val="006B3595"/>
    <w:rsid w:val="006B5598"/>
    <w:rsid w:val="006C1E04"/>
    <w:rsid w:val="006C2CDE"/>
    <w:rsid w:val="006E2134"/>
    <w:rsid w:val="006E57D6"/>
    <w:rsid w:val="006E685D"/>
    <w:rsid w:val="006F1DA8"/>
    <w:rsid w:val="006F3F78"/>
    <w:rsid w:val="006F66D3"/>
    <w:rsid w:val="006F71F7"/>
    <w:rsid w:val="00703817"/>
    <w:rsid w:val="00705C98"/>
    <w:rsid w:val="00707285"/>
    <w:rsid w:val="007109D9"/>
    <w:rsid w:val="00713E6A"/>
    <w:rsid w:val="0071766A"/>
    <w:rsid w:val="007205A3"/>
    <w:rsid w:val="007207C0"/>
    <w:rsid w:val="00722A39"/>
    <w:rsid w:val="00723848"/>
    <w:rsid w:val="007273D3"/>
    <w:rsid w:val="00732AB7"/>
    <w:rsid w:val="007354B2"/>
    <w:rsid w:val="00736414"/>
    <w:rsid w:val="0074360F"/>
    <w:rsid w:val="007464A2"/>
    <w:rsid w:val="00746DC7"/>
    <w:rsid w:val="00747ABC"/>
    <w:rsid w:val="00750A21"/>
    <w:rsid w:val="00751DA1"/>
    <w:rsid w:val="0075302C"/>
    <w:rsid w:val="00756F99"/>
    <w:rsid w:val="00762B4E"/>
    <w:rsid w:val="00766475"/>
    <w:rsid w:val="00770B3D"/>
    <w:rsid w:val="00773C2F"/>
    <w:rsid w:val="007754CC"/>
    <w:rsid w:val="007954F4"/>
    <w:rsid w:val="007A0FC6"/>
    <w:rsid w:val="007A25DF"/>
    <w:rsid w:val="007A6C8E"/>
    <w:rsid w:val="007B0DE2"/>
    <w:rsid w:val="007B24A3"/>
    <w:rsid w:val="007B2647"/>
    <w:rsid w:val="007B3865"/>
    <w:rsid w:val="007B546D"/>
    <w:rsid w:val="007C0D35"/>
    <w:rsid w:val="007C10A4"/>
    <w:rsid w:val="007D229F"/>
    <w:rsid w:val="007D487F"/>
    <w:rsid w:val="007D648F"/>
    <w:rsid w:val="007E1C02"/>
    <w:rsid w:val="007E6190"/>
    <w:rsid w:val="007E67AD"/>
    <w:rsid w:val="007E7352"/>
    <w:rsid w:val="00801841"/>
    <w:rsid w:val="00804130"/>
    <w:rsid w:val="008060CB"/>
    <w:rsid w:val="008061FB"/>
    <w:rsid w:val="0081417D"/>
    <w:rsid w:val="00816346"/>
    <w:rsid w:val="0081774E"/>
    <w:rsid w:val="008213DD"/>
    <w:rsid w:val="0082386C"/>
    <w:rsid w:val="008278A4"/>
    <w:rsid w:val="00831E78"/>
    <w:rsid w:val="008352BB"/>
    <w:rsid w:val="0083652E"/>
    <w:rsid w:val="00836D12"/>
    <w:rsid w:val="008408BE"/>
    <w:rsid w:val="00841C0D"/>
    <w:rsid w:val="008462D6"/>
    <w:rsid w:val="00846B13"/>
    <w:rsid w:val="00854EA0"/>
    <w:rsid w:val="008576E0"/>
    <w:rsid w:val="00862E5A"/>
    <w:rsid w:val="00863AC9"/>
    <w:rsid w:val="008673A3"/>
    <w:rsid w:val="0087297F"/>
    <w:rsid w:val="00886904"/>
    <w:rsid w:val="00891BA4"/>
    <w:rsid w:val="008A04A1"/>
    <w:rsid w:val="008A7EDE"/>
    <w:rsid w:val="008B1457"/>
    <w:rsid w:val="008B5320"/>
    <w:rsid w:val="008B57CD"/>
    <w:rsid w:val="008C69AC"/>
    <w:rsid w:val="008C79D2"/>
    <w:rsid w:val="008D059F"/>
    <w:rsid w:val="008D19FF"/>
    <w:rsid w:val="008E39C0"/>
    <w:rsid w:val="008E64FA"/>
    <w:rsid w:val="008E6EDE"/>
    <w:rsid w:val="008F06CA"/>
    <w:rsid w:val="008F43B1"/>
    <w:rsid w:val="008F4E09"/>
    <w:rsid w:val="008F574F"/>
    <w:rsid w:val="00901CB4"/>
    <w:rsid w:val="00901DBF"/>
    <w:rsid w:val="00901E8C"/>
    <w:rsid w:val="009025E6"/>
    <w:rsid w:val="00906C34"/>
    <w:rsid w:val="00913AA5"/>
    <w:rsid w:val="00913BD0"/>
    <w:rsid w:val="0091644E"/>
    <w:rsid w:val="00916D1A"/>
    <w:rsid w:val="00917807"/>
    <w:rsid w:val="00930FB0"/>
    <w:rsid w:val="0093182C"/>
    <w:rsid w:val="00943D4E"/>
    <w:rsid w:val="0094682B"/>
    <w:rsid w:val="00950EED"/>
    <w:rsid w:val="00953A0B"/>
    <w:rsid w:val="00953EA4"/>
    <w:rsid w:val="00956556"/>
    <w:rsid w:val="00971D02"/>
    <w:rsid w:val="00980602"/>
    <w:rsid w:val="00980C75"/>
    <w:rsid w:val="0098161C"/>
    <w:rsid w:val="009861ED"/>
    <w:rsid w:val="009869A2"/>
    <w:rsid w:val="0099036B"/>
    <w:rsid w:val="009916C4"/>
    <w:rsid w:val="009A0BDA"/>
    <w:rsid w:val="009A16EC"/>
    <w:rsid w:val="009B3E93"/>
    <w:rsid w:val="009C09F6"/>
    <w:rsid w:val="009C2DC9"/>
    <w:rsid w:val="009C6C00"/>
    <w:rsid w:val="009C6E30"/>
    <w:rsid w:val="009C7442"/>
    <w:rsid w:val="009D24B2"/>
    <w:rsid w:val="009D7822"/>
    <w:rsid w:val="009E088B"/>
    <w:rsid w:val="009E284A"/>
    <w:rsid w:val="009E3A9F"/>
    <w:rsid w:val="009E3DB6"/>
    <w:rsid w:val="009E3DD2"/>
    <w:rsid w:val="009E7155"/>
    <w:rsid w:val="009F313F"/>
    <w:rsid w:val="00A00C68"/>
    <w:rsid w:val="00A00F87"/>
    <w:rsid w:val="00A03E1D"/>
    <w:rsid w:val="00A103AE"/>
    <w:rsid w:val="00A11327"/>
    <w:rsid w:val="00A13FDB"/>
    <w:rsid w:val="00A1511B"/>
    <w:rsid w:val="00A15E6E"/>
    <w:rsid w:val="00A226AD"/>
    <w:rsid w:val="00A24E31"/>
    <w:rsid w:val="00A274C3"/>
    <w:rsid w:val="00A31093"/>
    <w:rsid w:val="00A31169"/>
    <w:rsid w:val="00A33386"/>
    <w:rsid w:val="00A44976"/>
    <w:rsid w:val="00A45784"/>
    <w:rsid w:val="00A458FB"/>
    <w:rsid w:val="00A50C6B"/>
    <w:rsid w:val="00A5455F"/>
    <w:rsid w:val="00A55AA2"/>
    <w:rsid w:val="00A61A20"/>
    <w:rsid w:val="00A6242D"/>
    <w:rsid w:val="00A63FA2"/>
    <w:rsid w:val="00A642D2"/>
    <w:rsid w:val="00A644CC"/>
    <w:rsid w:val="00A703AC"/>
    <w:rsid w:val="00A72418"/>
    <w:rsid w:val="00A73AD5"/>
    <w:rsid w:val="00A757CF"/>
    <w:rsid w:val="00A75CDD"/>
    <w:rsid w:val="00A833BF"/>
    <w:rsid w:val="00A870F0"/>
    <w:rsid w:val="00A9447D"/>
    <w:rsid w:val="00A95A14"/>
    <w:rsid w:val="00AA1FCC"/>
    <w:rsid w:val="00AB0888"/>
    <w:rsid w:val="00AB1398"/>
    <w:rsid w:val="00AB1DA0"/>
    <w:rsid w:val="00AB2B00"/>
    <w:rsid w:val="00AB7274"/>
    <w:rsid w:val="00AB7865"/>
    <w:rsid w:val="00AC1856"/>
    <w:rsid w:val="00AC295B"/>
    <w:rsid w:val="00AC3003"/>
    <w:rsid w:val="00AC469F"/>
    <w:rsid w:val="00AD1450"/>
    <w:rsid w:val="00AE0161"/>
    <w:rsid w:val="00AE070B"/>
    <w:rsid w:val="00AE13EF"/>
    <w:rsid w:val="00AE491E"/>
    <w:rsid w:val="00AF233F"/>
    <w:rsid w:val="00AF2377"/>
    <w:rsid w:val="00AF2AA4"/>
    <w:rsid w:val="00AF7AE9"/>
    <w:rsid w:val="00B04304"/>
    <w:rsid w:val="00B04E92"/>
    <w:rsid w:val="00B05538"/>
    <w:rsid w:val="00B05B05"/>
    <w:rsid w:val="00B05DDD"/>
    <w:rsid w:val="00B065BA"/>
    <w:rsid w:val="00B1155D"/>
    <w:rsid w:val="00B11716"/>
    <w:rsid w:val="00B11C25"/>
    <w:rsid w:val="00B136D0"/>
    <w:rsid w:val="00B148EC"/>
    <w:rsid w:val="00B23D0D"/>
    <w:rsid w:val="00B2584B"/>
    <w:rsid w:val="00B3064F"/>
    <w:rsid w:val="00B317B2"/>
    <w:rsid w:val="00B34C1E"/>
    <w:rsid w:val="00B367B4"/>
    <w:rsid w:val="00B40FF8"/>
    <w:rsid w:val="00B42DFC"/>
    <w:rsid w:val="00B455B7"/>
    <w:rsid w:val="00B461E4"/>
    <w:rsid w:val="00B518F8"/>
    <w:rsid w:val="00B51CC6"/>
    <w:rsid w:val="00B53F60"/>
    <w:rsid w:val="00B56F06"/>
    <w:rsid w:val="00B6160A"/>
    <w:rsid w:val="00B6655F"/>
    <w:rsid w:val="00B721E2"/>
    <w:rsid w:val="00B7299A"/>
    <w:rsid w:val="00B72D9A"/>
    <w:rsid w:val="00B73899"/>
    <w:rsid w:val="00B7514F"/>
    <w:rsid w:val="00B8332B"/>
    <w:rsid w:val="00B93304"/>
    <w:rsid w:val="00B943B9"/>
    <w:rsid w:val="00B95444"/>
    <w:rsid w:val="00BA12F4"/>
    <w:rsid w:val="00BA239A"/>
    <w:rsid w:val="00BA2693"/>
    <w:rsid w:val="00BA3D3F"/>
    <w:rsid w:val="00BB0095"/>
    <w:rsid w:val="00BB0215"/>
    <w:rsid w:val="00BB5228"/>
    <w:rsid w:val="00BB5A7F"/>
    <w:rsid w:val="00BB64F4"/>
    <w:rsid w:val="00BB74DD"/>
    <w:rsid w:val="00BC232E"/>
    <w:rsid w:val="00BC7FC1"/>
    <w:rsid w:val="00BD6195"/>
    <w:rsid w:val="00BD6C83"/>
    <w:rsid w:val="00BE01E6"/>
    <w:rsid w:val="00BE03E6"/>
    <w:rsid w:val="00BE047F"/>
    <w:rsid w:val="00BF0095"/>
    <w:rsid w:val="00BF0238"/>
    <w:rsid w:val="00BF0DB8"/>
    <w:rsid w:val="00BF671B"/>
    <w:rsid w:val="00C01BB9"/>
    <w:rsid w:val="00C076D5"/>
    <w:rsid w:val="00C07D0D"/>
    <w:rsid w:val="00C134E2"/>
    <w:rsid w:val="00C142E7"/>
    <w:rsid w:val="00C17F18"/>
    <w:rsid w:val="00C23BD5"/>
    <w:rsid w:val="00C27394"/>
    <w:rsid w:val="00C27A0C"/>
    <w:rsid w:val="00C453A6"/>
    <w:rsid w:val="00C45CA0"/>
    <w:rsid w:val="00C45FEA"/>
    <w:rsid w:val="00C50DAF"/>
    <w:rsid w:val="00C5225E"/>
    <w:rsid w:val="00C55DE3"/>
    <w:rsid w:val="00C57A76"/>
    <w:rsid w:val="00C61365"/>
    <w:rsid w:val="00C62AB5"/>
    <w:rsid w:val="00C62E16"/>
    <w:rsid w:val="00C64EC3"/>
    <w:rsid w:val="00C74269"/>
    <w:rsid w:val="00C75A92"/>
    <w:rsid w:val="00C76E43"/>
    <w:rsid w:val="00C936EB"/>
    <w:rsid w:val="00C96A9A"/>
    <w:rsid w:val="00CA064A"/>
    <w:rsid w:val="00CA3CBE"/>
    <w:rsid w:val="00CA3ED2"/>
    <w:rsid w:val="00CA7E90"/>
    <w:rsid w:val="00CB1F47"/>
    <w:rsid w:val="00CB25E4"/>
    <w:rsid w:val="00CB2771"/>
    <w:rsid w:val="00CB5952"/>
    <w:rsid w:val="00CB6436"/>
    <w:rsid w:val="00CC7D03"/>
    <w:rsid w:val="00CD18FD"/>
    <w:rsid w:val="00CD1CDD"/>
    <w:rsid w:val="00CD3432"/>
    <w:rsid w:val="00CE0841"/>
    <w:rsid w:val="00CE4E11"/>
    <w:rsid w:val="00CE5C55"/>
    <w:rsid w:val="00CF18B7"/>
    <w:rsid w:val="00CF26A7"/>
    <w:rsid w:val="00CF2EB3"/>
    <w:rsid w:val="00CF306B"/>
    <w:rsid w:val="00CF4102"/>
    <w:rsid w:val="00CF4266"/>
    <w:rsid w:val="00CF5E67"/>
    <w:rsid w:val="00CF7C51"/>
    <w:rsid w:val="00D109EA"/>
    <w:rsid w:val="00D12496"/>
    <w:rsid w:val="00D20900"/>
    <w:rsid w:val="00D2356B"/>
    <w:rsid w:val="00D262CB"/>
    <w:rsid w:val="00D279EE"/>
    <w:rsid w:val="00D3664D"/>
    <w:rsid w:val="00D4349C"/>
    <w:rsid w:val="00D43A27"/>
    <w:rsid w:val="00D43E20"/>
    <w:rsid w:val="00D52BFC"/>
    <w:rsid w:val="00D5407F"/>
    <w:rsid w:val="00D55168"/>
    <w:rsid w:val="00D552FB"/>
    <w:rsid w:val="00D65434"/>
    <w:rsid w:val="00D72C73"/>
    <w:rsid w:val="00D73C61"/>
    <w:rsid w:val="00D75431"/>
    <w:rsid w:val="00D83898"/>
    <w:rsid w:val="00D872CD"/>
    <w:rsid w:val="00D90C17"/>
    <w:rsid w:val="00D91B78"/>
    <w:rsid w:val="00DA117A"/>
    <w:rsid w:val="00DA1D9C"/>
    <w:rsid w:val="00DA4F68"/>
    <w:rsid w:val="00DB3A3C"/>
    <w:rsid w:val="00DB3E47"/>
    <w:rsid w:val="00DB4030"/>
    <w:rsid w:val="00DB6DAB"/>
    <w:rsid w:val="00DB76FF"/>
    <w:rsid w:val="00DC052D"/>
    <w:rsid w:val="00DC75A8"/>
    <w:rsid w:val="00DD00C2"/>
    <w:rsid w:val="00DD3DCD"/>
    <w:rsid w:val="00DE0286"/>
    <w:rsid w:val="00DE10B7"/>
    <w:rsid w:val="00DE54D2"/>
    <w:rsid w:val="00DF2B11"/>
    <w:rsid w:val="00E017FC"/>
    <w:rsid w:val="00E02B5E"/>
    <w:rsid w:val="00E053CA"/>
    <w:rsid w:val="00E05739"/>
    <w:rsid w:val="00E0589F"/>
    <w:rsid w:val="00E11D6D"/>
    <w:rsid w:val="00E16A8B"/>
    <w:rsid w:val="00E20C71"/>
    <w:rsid w:val="00E219D7"/>
    <w:rsid w:val="00E26F20"/>
    <w:rsid w:val="00E31A23"/>
    <w:rsid w:val="00E32CA2"/>
    <w:rsid w:val="00E37536"/>
    <w:rsid w:val="00E40517"/>
    <w:rsid w:val="00E4068E"/>
    <w:rsid w:val="00E4209D"/>
    <w:rsid w:val="00E4460F"/>
    <w:rsid w:val="00E4512F"/>
    <w:rsid w:val="00E462DF"/>
    <w:rsid w:val="00E46C54"/>
    <w:rsid w:val="00E47F12"/>
    <w:rsid w:val="00E513FD"/>
    <w:rsid w:val="00E51662"/>
    <w:rsid w:val="00E516DE"/>
    <w:rsid w:val="00E53F5D"/>
    <w:rsid w:val="00E57312"/>
    <w:rsid w:val="00E61852"/>
    <w:rsid w:val="00E70EEA"/>
    <w:rsid w:val="00E71C7D"/>
    <w:rsid w:val="00E73994"/>
    <w:rsid w:val="00E75412"/>
    <w:rsid w:val="00E773F1"/>
    <w:rsid w:val="00E81A0A"/>
    <w:rsid w:val="00E81F39"/>
    <w:rsid w:val="00E879C9"/>
    <w:rsid w:val="00E87EBF"/>
    <w:rsid w:val="00E9218C"/>
    <w:rsid w:val="00E922A6"/>
    <w:rsid w:val="00E92E3D"/>
    <w:rsid w:val="00EA059B"/>
    <w:rsid w:val="00EA192B"/>
    <w:rsid w:val="00EA2255"/>
    <w:rsid w:val="00EA58AB"/>
    <w:rsid w:val="00EA71DC"/>
    <w:rsid w:val="00EB156E"/>
    <w:rsid w:val="00EB3200"/>
    <w:rsid w:val="00EB3C60"/>
    <w:rsid w:val="00EB49A6"/>
    <w:rsid w:val="00EC36A0"/>
    <w:rsid w:val="00EC3D4A"/>
    <w:rsid w:val="00ED1575"/>
    <w:rsid w:val="00ED1903"/>
    <w:rsid w:val="00ED2A18"/>
    <w:rsid w:val="00EE42F5"/>
    <w:rsid w:val="00EE50CE"/>
    <w:rsid w:val="00EE57C3"/>
    <w:rsid w:val="00EE5970"/>
    <w:rsid w:val="00EE6879"/>
    <w:rsid w:val="00EF1DFB"/>
    <w:rsid w:val="00EF1F5C"/>
    <w:rsid w:val="00EF2B35"/>
    <w:rsid w:val="00EF3BE1"/>
    <w:rsid w:val="00F0045D"/>
    <w:rsid w:val="00F06218"/>
    <w:rsid w:val="00F1340A"/>
    <w:rsid w:val="00F16E0B"/>
    <w:rsid w:val="00F228FB"/>
    <w:rsid w:val="00F2366C"/>
    <w:rsid w:val="00F24B09"/>
    <w:rsid w:val="00F3057D"/>
    <w:rsid w:val="00F3468E"/>
    <w:rsid w:val="00F354DF"/>
    <w:rsid w:val="00F41C67"/>
    <w:rsid w:val="00F50D3D"/>
    <w:rsid w:val="00F53DFE"/>
    <w:rsid w:val="00F57D5C"/>
    <w:rsid w:val="00F623C4"/>
    <w:rsid w:val="00F6402D"/>
    <w:rsid w:val="00F640D2"/>
    <w:rsid w:val="00F65E83"/>
    <w:rsid w:val="00F730FE"/>
    <w:rsid w:val="00F82B22"/>
    <w:rsid w:val="00F82D57"/>
    <w:rsid w:val="00F8354F"/>
    <w:rsid w:val="00F8414F"/>
    <w:rsid w:val="00F852A7"/>
    <w:rsid w:val="00F879D1"/>
    <w:rsid w:val="00F957F4"/>
    <w:rsid w:val="00FA0BBB"/>
    <w:rsid w:val="00FA0C14"/>
    <w:rsid w:val="00FA3E1D"/>
    <w:rsid w:val="00FA6D20"/>
    <w:rsid w:val="00FA6F51"/>
    <w:rsid w:val="00FB2073"/>
    <w:rsid w:val="00FB469F"/>
    <w:rsid w:val="00FB795D"/>
    <w:rsid w:val="00FC1EF6"/>
    <w:rsid w:val="00FC6617"/>
    <w:rsid w:val="00FC7B5B"/>
    <w:rsid w:val="00FC7C8A"/>
    <w:rsid w:val="00FD35C4"/>
    <w:rsid w:val="00FD3EFC"/>
    <w:rsid w:val="00FD5343"/>
    <w:rsid w:val="00FE31ED"/>
    <w:rsid w:val="00FE3C89"/>
    <w:rsid w:val="01F41726"/>
    <w:rsid w:val="033E7420"/>
    <w:rsid w:val="040E1BD0"/>
    <w:rsid w:val="048A70E5"/>
    <w:rsid w:val="04C74740"/>
    <w:rsid w:val="05F15F19"/>
    <w:rsid w:val="06BD5DFB"/>
    <w:rsid w:val="06CF6176"/>
    <w:rsid w:val="06E0780A"/>
    <w:rsid w:val="07A82607"/>
    <w:rsid w:val="07A8669E"/>
    <w:rsid w:val="086C5D2B"/>
    <w:rsid w:val="087E2542"/>
    <w:rsid w:val="0AAA0DF0"/>
    <w:rsid w:val="0AF671E5"/>
    <w:rsid w:val="0C5A79E3"/>
    <w:rsid w:val="0F4C3AD5"/>
    <w:rsid w:val="0F5773CD"/>
    <w:rsid w:val="10BB2461"/>
    <w:rsid w:val="10C405D5"/>
    <w:rsid w:val="11333133"/>
    <w:rsid w:val="11A3221E"/>
    <w:rsid w:val="11B44234"/>
    <w:rsid w:val="1223041B"/>
    <w:rsid w:val="122D02D9"/>
    <w:rsid w:val="129E5C9F"/>
    <w:rsid w:val="12EE521E"/>
    <w:rsid w:val="1404150D"/>
    <w:rsid w:val="14B80E3B"/>
    <w:rsid w:val="167E7B54"/>
    <w:rsid w:val="17476310"/>
    <w:rsid w:val="17F43601"/>
    <w:rsid w:val="18E90642"/>
    <w:rsid w:val="19B07661"/>
    <w:rsid w:val="1AB31597"/>
    <w:rsid w:val="1AB45141"/>
    <w:rsid w:val="1B205E1E"/>
    <w:rsid w:val="1BD550E6"/>
    <w:rsid w:val="1DFF4A9C"/>
    <w:rsid w:val="1E774AF2"/>
    <w:rsid w:val="1E877480"/>
    <w:rsid w:val="1EF35C8C"/>
    <w:rsid w:val="1F1A0417"/>
    <w:rsid w:val="1F815CCA"/>
    <w:rsid w:val="1FBE3EDB"/>
    <w:rsid w:val="1FE46489"/>
    <w:rsid w:val="201F3743"/>
    <w:rsid w:val="20595F45"/>
    <w:rsid w:val="20B60B17"/>
    <w:rsid w:val="20C77B4A"/>
    <w:rsid w:val="215D4F00"/>
    <w:rsid w:val="22195C90"/>
    <w:rsid w:val="22A243CB"/>
    <w:rsid w:val="22DD798B"/>
    <w:rsid w:val="231A5B6D"/>
    <w:rsid w:val="23482FA1"/>
    <w:rsid w:val="241D03D6"/>
    <w:rsid w:val="248C5333"/>
    <w:rsid w:val="248D1D34"/>
    <w:rsid w:val="24ED4662"/>
    <w:rsid w:val="25826C83"/>
    <w:rsid w:val="275A7A4D"/>
    <w:rsid w:val="277826A1"/>
    <w:rsid w:val="27EA11BF"/>
    <w:rsid w:val="285A7939"/>
    <w:rsid w:val="285F4B0C"/>
    <w:rsid w:val="295C629E"/>
    <w:rsid w:val="29C91D16"/>
    <w:rsid w:val="29DF7CB3"/>
    <w:rsid w:val="2A963A79"/>
    <w:rsid w:val="2AB23F50"/>
    <w:rsid w:val="2B147FF5"/>
    <w:rsid w:val="2B1B6BD8"/>
    <w:rsid w:val="2C1A42E9"/>
    <w:rsid w:val="2D1A6ABE"/>
    <w:rsid w:val="2D3F5547"/>
    <w:rsid w:val="2D621DCA"/>
    <w:rsid w:val="2EB219D2"/>
    <w:rsid w:val="2EEE4599"/>
    <w:rsid w:val="2F175FAE"/>
    <w:rsid w:val="2F6E2F5F"/>
    <w:rsid w:val="2FA17343"/>
    <w:rsid w:val="2FBC567F"/>
    <w:rsid w:val="303705B5"/>
    <w:rsid w:val="303B7C22"/>
    <w:rsid w:val="30F8483A"/>
    <w:rsid w:val="34433534"/>
    <w:rsid w:val="34922BBA"/>
    <w:rsid w:val="34EB1585"/>
    <w:rsid w:val="354005B5"/>
    <w:rsid w:val="35C12962"/>
    <w:rsid w:val="36A41CFF"/>
    <w:rsid w:val="37135D64"/>
    <w:rsid w:val="3719062C"/>
    <w:rsid w:val="37A249F8"/>
    <w:rsid w:val="382014AF"/>
    <w:rsid w:val="38CA1951"/>
    <w:rsid w:val="3983700C"/>
    <w:rsid w:val="3A3538DC"/>
    <w:rsid w:val="3A574B7E"/>
    <w:rsid w:val="3B770292"/>
    <w:rsid w:val="3C7821FC"/>
    <w:rsid w:val="3C7D799A"/>
    <w:rsid w:val="3D1545F4"/>
    <w:rsid w:val="3D542B55"/>
    <w:rsid w:val="3D956D20"/>
    <w:rsid w:val="3E223086"/>
    <w:rsid w:val="40037A42"/>
    <w:rsid w:val="423E141F"/>
    <w:rsid w:val="429B0B90"/>
    <w:rsid w:val="438A6492"/>
    <w:rsid w:val="446906D7"/>
    <w:rsid w:val="44A73FE4"/>
    <w:rsid w:val="46194A54"/>
    <w:rsid w:val="46595606"/>
    <w:rsid w:val="46A13DD5"/>
    <w:rsid w:val="470B7B0C"/>
    <w:rsid w:val="471C4D54"/>
    <w:rsid w:val="477C646E"/>
    <w:rsid w:val="47D14C87"/>
    <w:rsid w:val="47DF04EE"/>
    <w:rsid w:val="47E63168"/>
    <w:rsid w:val="48036767"/>
    <w:rsid w:val="480F66C6"/>
    <w:rsid w:val="481D44EF"/>
    <w:rsid w:val="483D68B3"/>
    <w:rsid w:val="48C055EE"/>
    <w:rsid w:val="492E74E4"/>
    <w:rsid w:val="49805C47"/>
    <w:rsid w:val="4AD57A63"/>
    <w:rsid w:val="4BD73B3D"/>
    <w:rsid w:val="4C957957"/>
    <w:rsid w:val="4D69684A"/>
    <w:rsid w:val="4E10389B"/>
    <w:rsid w:val="4E301ADB"/>
    <w:rsid w:val="4E686953"/>
    <w:rsid w:val="4F0B3A4E"/>
    <w:rsid w:val="52075E4F"/>
    <w:rsid w:val="53E84859"/>
    <w:rsid w:val="5401323C"/>
    <w:rsid w:val="54446925"/>
    <w:rsid w:val="54640332"/>
    <w:rsid w:val="548310D4"/>
    <w:rsid w:val="55256612"/>
    <w:rsid w:val="553025BD"/>
    <w:rsid w:val="55855303"/>
    <w:rsid w:val="55B51D33"/>
    <w:rsid w:val="55DC231C"/>
    <w:rsid w:val="56F6294E"/>
    <w:rsid w:val="58BE587B"/>
    <w:rsid w:val="58FB6F24"/>
    <w:rsid w:val="590B1595"/>
    <w:rsid w:val="5962576C"/>
    <w:rsid w:val="59AD338F"/>
    <w:rsid w:val="59B70A84"/>
    <w:rsid w:val="5A6D30C3"/>
    <w:rsid w:val="5BE33F13"/>
    <w:rsid w:val="5BF52F92"/>
    <w:rsid w:val="5C2D1520"/>
    <w:rsid w:val="5CFD0954"/>
    <w:rsid w:val="5DBD0424"/>
    <w:rsid w:val="5DC0220C"/>
    <w:rsid w:val="5E0648A7"/>
    <w:rsid w:val="5E0E6B87"/>
    <w:rsid w:val="5E964C3F"/>
    <w:rsid w:val="5FC5200C"/>
    <w:rsid w:val="60EC1A4F"/>
    <w:rsid w:val="614E17A2"/>
    <w:rsid w:val="61CE6DDC"/>
    <w:rsid w:val="62AA3973"/>
    <w:rsid w:val="62D656A3"/>
    <w:rsid w:val="63312B48"/>
    <w:rsid w:val="63571E25"/>
    <w:rsid w:val="63F339FD"/>
    <w:rsid w:val="64816732"/>
    <w:rsid w:val="65C642C5"/>
    <w:rsid w:val="65FF005E"/>
    <w:rsid w:val="671E7365"/>
    <w:rsid w:val="68BF7BBF"/>
    <w:rsid w:val="68D93544"/>
    <w:rsid w:val="68E00120"/>
    <w:rsid w:val="69140A20"/>
    <w:rsid w:val="697F6D73"/>
    <w:rsid w:val="69A350DC"/>
    <w:rsid w:val="6A054BF2"/>
    <w:rsid w:val="6AD77278"/>
    <w:rsid w:val="6D8C399B"/>
    <w:rsid w:val="6DDF0898"/>
    <w:rsid w:val="6E31702B"/>
    <w:rsid w:val="6E7C3A35"/>
    <w:rsid w:val="6EC15527"/>
    <w:rsid w:val="6F862F2F"/>
    <w:rsid w:val="6FEA24DA"/>
    <w:rsid w:val="706C7ABD"/>
    <w:rsid w:val="71AB3F7F"/>
    <w:rsid w:val="71E55E13"/>
    <w:rsid w:val="726643C5"/>
    <w:rsid w:val="72C963D7"/>
    <w:rsid w:val="732B3D6D"/>
    <w:rsid w:val="735D2A28"/>
    <w:rsid w:val="738246BE"/>
    <w:rsid w:val="73AE059F"/>
    <w:rsid w:val="73F95C9D"/>
    <w:rsid w:val="74B76484"/>
    <w:rsid w:val="74CE774E"/>
    <w:rsid w:val="74EC4BFB"/>
    <w:rsid w:val="75A77168"/>
    <w:rsid w:val="76B5561E"/>
    <w:rsid w:val="77CB7A92"/>
    <w:rsid w:val="786D1EFA"/>
    <w:rsid w:val="78E45CB4"/>
    <w:rsid w:val="79587CE2"/>
    <w:rsid w:val="7A5B573E"/>
    <w:rsid w:val="7A732EA5"/>
    <w:rsid w:val="7A8D43C0"/>
    <w:rsid w:val="7B5D2ADC"/>
    <w:rsid w:val="7BA846D7"/>
    <w:rsid w:val="7E227931"/>
    <w:rsid w:val="7E7C23F6"/>
    <w:rsid w:val="7F426367"/>
    <w:rsid w:val="7FD72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3"/>
    <w:qFormat/>
    <w:uiPriority w:val="0"/>
    <w:pPr>
      <w:keepNext/>
      <w:keepLines/>
      <w:widowControl/>
      <w:numPr>
        <w:ilvl w:val="0"/>
        <w:numId w:val="1"/>
      </w:numPr>
      <w:spacing w:before="340" w:after="330"/>
      <w:jc w:val="left"/>
      <w:outlineLvl w:val="0"/>
    </w:pPr>
    <w:rPr>
      <w:rFonts w:ascii="黑体" w:eastAsia="黑体"/>
      <w:b/>
      <w:kern w:val="44"/>
      <w:sz w:val="32"/>
      <w:szCs w:val="44"/>
      <w:lang w:val="zh-CN"/>
    </w:rPr>
  </w:style>
  <w:style w:type="paragraph" w:styleId="3">
    <w:name w:val="heading 2"/>
    <w:basedOn w:val="1"/>
    <w:next w:val="1"/>
    <w:link w:val="34"/>
    <w:qFormat/>
    <w:uiPriority w:val="0"/>
    <w:pPr>
      <w:keepNext/>
      <w:keepLines/>
      <w:numPr>
        <w:ilvl w:val="1"/>
        <w:numId w:val="1"/>
      </w:numPr>
      <w:spacing w:before="100" w:beforeAutospacing="1" w:after="100" w:afterAutospacing="1" w:line="360" w:lineRule="auto"/>
      <w:jc w:val="left"/>
      <w:outlineLvl w:val="1"/>
    </w:pPr>
    <w:rPr>
      <w:rFonts w:ascii="黑体" w:hAnsi="Arial" w:eastAsia="黑体"/>
      <w:b/>
      <w:kern w:val="0"/>
      <w:sz w:val="30"/>
      <w:lang w:val="zh-CN"/>
    </w:rPr>
  </w:style>
  <w:style w:type="paragraph" w:styleId="4">
    <w:name w:val="heading 3"/>
    <w:basedOn w:val="1"/>
    <w:next w:val="5"/>
    <w:link w:val="44"/>
    <w:qFormat/>
    <w:uiPriority w:val="0"/>
    <w:pPr>
      <w:keepNext/>
      <w:keepLines/>
      <w:numPr>
        <w:ilvl w:val="2"/>
        <w:numId w:val="1"/>
      </w:numPr>
      <w:spacing w:before="260" w:after="260" w:line="416" w:lineRule="auto"/>
      <w:outlineLvl w:val="2"/>
    </w:pPr>
    <w:rPr>
      <w:b/>
      <w:sz w:val="32"/>
    </w:rPr>
  </w:style>
  <w:style w:type="paragraph" w:styleId="6">
    <w:name w:val="heading 4"/>
    <w:basedOn w:val="1"/>
    <w:next w:val="1"/>
    <w:link w:val="37"/>
    <w:unhideWhenUsed/>
    <w:qFormat/>
    <w:uiPriority w:val="0"/>
    <w:pPr>
      <w:keepNext/>
      <w:keepLines/>
      <w:numPr>
        <w:ilvl w:val="3"/>
        <w:numId w:val="1"/>
      </w:numPr>
      <w:spacing w:before="280" w:after="290" w:line="376" w:lineRule="auto"/>
      <w:outlineLvl w:val="3"/>
    </w:pPr>
    <w:rPr>
      <w:rFonts w:ascii="Cambria" w:hAnsi="Cambria"/>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7">
    <w:name w:val="List Number 2"/>
    <w:basedOn w:val="1"/>
    <w:qFormat/>
    <w:uiPriority w:val="0"/>
    <w:pPr>
      <w:numPr>
        <w:ilvl w:val="0"/>
        <w:numId w:val="2"/>
      </w:numPr>
      <w:tabs>
        <w:tab w:val="left" w:pos="567"/>
      </w:tabs>
    </w:pPr>
    <w:rPr>
      <w:sz w:val="28"/>
    </w:rPr>
  </w:style>
  <w:style w:type="paragraph" w:styleId="8">
    <w:name w:val="caption"/>
    <w:basedOn w:val="1"/>
    <w:next w:val="1"/>
    <w:qFormat/>
    <w:uiPriority w:val="0"/>
    <w:pPr>
      <w:spacing w:line="360" w:lineRule="auto"/>
      <w:jc w:val="center"/>
    </w:pPr>
    <w:rPr>
      <w:rFonts w:ascii="Arial" w:hAnsi="Arial" w:eastAsia="黑体"/>
    </w:rPr>
  </w:style>
  <w:style w:type="paragraph" w:styleId="9">
    <w:name w:val="Document Map"/>
    <w:basedOn w:val="1"/>
    <w:link w:val="41"/>
    <w:qFormat/>
    <w:uiPriority w:val="0"/>
    <w:rPr>
      <w:rFonts w:ascii="宋体"/>
      <w:sz w:val="18"/>
      <w:szCs w:val="18"/>
    </w:rPr>
  </w:style>
  <w:style w:type="paragraph" w:styleId="10">
    <w:name w:val="annotation text"/>
    <w:basedOn w:val="1"/>
    <w:link w:val="30"/>
    <w:qFormat/>
    <w:uiPriority w:val="0"/>
    <w:pPr>
      <w:jc w:val="left"/>
    </w:pPr>
    <w:rPr>
      <w:lang w:val="zh-CN"/>
    </w:rPr>
  </w:style>
  <w:style w:type="paragraph" w:styleId="11">
    <w:name w:val="Body Text"/>
    <w:basedOn w:val="1"/>
    <w:link w:val="42"/>
    <w:qFormat/>
    <w:uiPriority w:val="0"/>
    <w:pPr>
      <w:spacing w:after="120"/>
    </w:pPr>
  </w:style>
  <w:style w:type="paragraph" w:styleId="12">
    <w:name w:val="Body Text Indent"/>
    <w:basedOn w:val="1"/>
    <w:qFormat/>
    <w:uiPriority w:val="0"/>
    <w:pPr>
      <w:ind w:firstLine="420"/>
    </w:pPr>
  </w:style>
  <w:style w:type="paragraph" w:styleId="13">
    <w:name w:val="toc 3"/>
    <w:basedOn w:val="1"/>
    <w:next w:val="1"/>
    <w:qFormat/>
    <w:uiPriority w:val="39"/>
    <w:pPr>
      <w:ind w:left="840" w:leftChars="400"/>
    </w:pPr>
  </w:style>
  <w:style w:type="paragraph" w:styleId="14">
    <w:name w:val="Date"/>
    <w:basedOn w:val="1"/>
    <w:next w:val="1"/>
    <w:qFormat/>
    <w:uiPriority w:val="0"/>
    <w:pPr>
      <w:ind w:left="100" w:leftChars="2500"/>
    </w:pPr>
  </w:style>
  <w:style w:type="paragraph" w:styleId="15">
    <w:name w:val="Balloon Text"/>
    <w:basedOn w:val="1"/>
    <w:link w:val="32"/>
    <w:qFormat/>
    <w:uiPriority w:val="0"/>
    <w:rPr>
      <w:sz w:val="18"/>
      <w:szCs w:val="18"/>
      <w:lang w:val="zh-CN"/>
    </w:rPr>
  </w:style>
  <w:style w:type="paragraph" w:styleId="16">
    <w:name w:val="footer"/>
    <w:basedOn w:val="1"/>
    <w:link w:val="29"/>
    <w:qFormat/>
    <w:uiPriority w:val="99"/>
    <w:pPr>
      <w:tabs>
        <w:tab w:val="center" w:pos="4153"/>
        <w:tab w:val="right" w:pos="8306"/>
      </w:tabs>
      <w:snapToGrid w:val="0"/>
      <w:jc w:val="left"/>
    </w:pPr>
    <w:rPr>
      <w:sz w:val="18"/>
      <w:szCs w:val="18"/>
      <w:lang w:val="zh-CN"/>
    </w:rPr>
  </w:style>
  <w:style w:type="paragraph" w:styleId="17">
    <w:name w:val="header"/>
    <w:basedOn w:val="1"/>
    <w:link w:val="28"/>
    <w:qFormat/>
    <w:uiPriority w:val="0"/>
    <w:pPr>
      <w:pBdr>
        <w:bottom w:val="single" w:color="auto" w:sz="6" w:space="1"/>
      </w:pBdr>
      <w:tabs>
        <w:tab w:val="center" w:pos="4153"/>
        <w:tab w:val="right" w:pos="8306"/>
      </w:tabs>
      <w:snapToGrid w:val="0"/>
      <w:jc w:val="center"/>
    </w:pPr>
    <w:rPr>
      <w:sz w:val="18"/>
      <w:szCs w:val="18"/>
      <w:lang w:val="zh-CN"/>
    </w:rPr>
  </w:style>
  <w:style w:type="paragraph" w:styleId="18">
    <w:name w:val="toc 1"/>
    <w:basedOn w:val="1"/>
    <w:next w:val="1"/>
    <w:qFormat/>
    <w:uiPriority w:val="39"/>
  </w:style>
  <w:style w:type="paragraph" w:styleId="19">
    <w:name w:val="toc 2"/>
    <w:basedOn w:val="1"/>
    <w:next w:val="1"/>
    <w:qFormat/>
    <w:uiPriority w:val="39"/>
    <w:pPr>
      <w:ind w:left="420" w:leftChars="200"/>
    </w:pPr>
  </w:style>
  <w:style w:type="paragraph" w:styleId="20">
    <w:name w:val="annotation subject"/>
    <w:basedOn w:val="10"/>
    <w:next w:val="10"/>
    <w:link w:val="31"/>
    <w:qFormat/>
    <w:uiPriority w:val="0"/>
    <w:rPr>
      <w:b/>
      <w:bCs/>
    </w:rPr>
  </w:style>
  <w:style w:type="paragraph" w:styleId="21">
    <w:name w:val="Body Text First Indent 2"/>
    <w:qFormat/>
    <w:uiPriority w:val="0"/>
    <w:pPr>
      <w:widowControl w:val="0"/>
      <w:spacing w:after="120" w:afterLines="0"/>
      <w:ind w:left="420" w:leftChars="200" w:firstLine="420" w:firstLineChars="200"/>
      <w:jc w:val="both"/>
    </w:pPr>
    <w:rPr>
      <w:rFonts w:ascii="Times New Roman" w:hAnsi="Times New Roman" w:eastAsia="宋体" w:cs="Times New Roman"/>
      <w:kern w:val="2"/>
      <w:sz w:val="21"/>
      <w:szCs w:val="24"/>
      <w:lang w:val="en-US" w:eastAsia="zh-CN" w:bidi="ar-SA"/>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unhideWhenUsed/>
    <w:qFormat/>
    <w:uiPriority w:val="99"/>
    <w:rPr>
      <w:color w:val="0000FF"/>
      <w:u w:val="single"/>
    </w:rPr>
  </w:style>
  <w:style w:type="character" w:styleId="26">
    <w:name w:val="annotation reference"/>
    <w:qFormat/>
    <w:uiPriority w:val="0"/>
    <w:rPr>
      <w:sz w:val="21"/>
      <w:szCs w:val="21"/>
    </w:rPr>
  </w:style>
  <w:style w:type="paragraph" w:customStyle="1" w:styleId="27">
    <w:name w:val="Char"/>
    <w:basedOn w:val="1"/>
    <w:qFormat/>
    <w:uiPriority w:val="0"/>
    <w:pPr>
      <w:widowControl/>
      <w:spacing w:after="160" w:line="240" w:lineRule="exact"/>
      <w:jc w:val="left"/>
    </w:pPr>
    <w:rPr>
      <w:rFonts w:ascii="Verdana" w:hAnsi="Verdana"/>
      <w:kern w:val="0"/>
      <w:sz w:val="20"/>
      <w:lang w:eastAsia="en-US"/>
    </w:rPr>
  </w:style>
  <w:style w:type="character" w:customStyle="1" w:styleId="28">
    <w:name w:val="页眉 字符"/>
    <w:link w:val="17"/>
    <w:qFormat/>
    <w:uiPriority w:val="0"/>
    <w:rPr>
      <w:kern w:val="2"/>
      <w:sz w:val="18"/>
      <w:szCs w:val="18"/>
    </w:rPr>
  </w:style>
  <w:style w:type="character" w:customStyle="1" w:styleId="29">
    <w:name w:val="页脚 字符"/>
    <w:link w:val="16"/>
    <w:qFormat/>
    <w:uiPriority w:val="99"/>
    <w:rPr>
      <w:kern w:val="2"/>
      <w:sz w:val="18"/>
      <w:szCs w:val="18"/>
    </w:rPr>
  </w:style>
  <w:style w:type="character" w:customStyle="1" w:styleId="30">
    <w:name w:val="批注文字 字符"/>
    <w:link w:val="10"/>
    <w:qFormat/>
    <w:uiPriority w:val="0"/>
    <w:rPr>
      <w:kern w:val="2"/>
      <w:sz w:val="21"/>
    </w:rPr>
  </w:style>
  <w:style w:type="character" w:customStyle="1" w:styleId="31">
    <w:name w:val="批注主题 字符"/>
    <w:link w:val="20"/>
    <w:qFormat/>
    <w:uiPriority w:val="0"/>
    <w:rPr>
      <w:b/>
      <w:bCs/>
      <w:kern w:val="2"/>
      <w:sz w:val="21"/>
    </w:rPr>
  </w:style>
  <w:style w:type="character" w:customStyle="1" w:styleId="32">
    <w:name w:val="批注框文本 字符"/>
    <w:link w:val="15"/>
    <w:qFormat/>
    <w:uiPriority w:val="0"/>
    <w:rPr>
      <w:kern w:val="2"/>
      <w:sz w:val="18"/>
      <w:szCs w:val="18"/>
    </w:rPr>
  </w:style>
  <w:style w:type="character" w:customStyle="1" w:styleId="33">
    <w:name w:val="标题 1 字符"/>
    <w:link w:val="2"/>
    <w:qFormat/>
    <w:uiPriority w:val="0"/>
    <w:rPr>
      <w:rFonts w:ascii="黑体" w:eastAsia="黑体"/>
      <w:b/>
      <w:kern w:val="44"/>
      <w:sz w:val="32"/>
      <w:szCs w:val="44"/>
      <w:lang w:val="zh-CN" w:eastAsia="zh-CN"/>
    </w:rPr>
  </w:style>
  <w:style w:type="character" w:customStyle="1" w:styleId="34">
    <w:name w:val="标题 2 字符"/>
    <w:link w:val="3"/>
    <w:qFormat/>
    <w:uiPriority w:val="0"/>
    <w:rPr>
      <w:rFonts w:ascii="黑体" w:hAnsi="Arial" w:eastAsia="黑体"/>
      <w:b/>
      <w:sz w:val="30"/>
      <w:lang w:val="zh-CN" w:eastAsia="zh-CN"/>
    </w:rPr>
  </w:style>
  <w:style w:type="paragraph" w:styleId="35">
    <w:name w:val="List Paragraph"/>
    <w:basedOn w:val="1"/>
    <w:qFormat/>
    <w:uiPriority w:val="34"/>
    <w:pPr>
      <w:ind w:firstLine="420" w:firstLineChars="200"/>
    </w:pPr>
  </w:style>
  <w:style w:type="paragraph" w:customStyle="1" w:styleId="36">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37">
    <w:name w:val="标题 4 字符"/>
    <w:basedOn w:val="24"/>
    <w:link w:val="6"/>
    <w:qFormat/>
    <w:uiPriority w:val="0"/>
    <w:rPr>
      <w:rFonts w:ascii="Cambria" w:hAnsi="Cambria"/>
      <w:b/>
      <w:bCs/>
      <w:kern w:val="2"/>
      <w:sz w:val="28"/>
      <w:szCs w:val="28"/>
    </w:rPr>
  </w:style>
  <w:style w:type="paragraph" w:customStyle="1" w:styleId="38">
    <w:name w:val="并列"/>
    <w:basedOn w:val="1"/>
    <w:qFormat/>
    <w:uiPriority w:val="0"/>
    <w:pPr>
      <w:spacing w:line="360" w:lineRule="auto"/>
      <w:ind w:firstLine="200" w:firstLineChars="200"/>
      <w:jc w:val="left"/>
    </w:pPr>
    <w:rPr>
      <w:szCs w:val="24"/>
    </w:rPr>
  </w:style>
  <w:style w:type="paragraph" w:customStyle="1" w:styleId="39">
    <w:name w:val="第1层正文"/>
    <w:basedOn w:val="1"/>
    <w:qFormat/>
    <w:uiPriority w:val="0"/>
    <w:pPr>
      <w:tabs>
        <w:tab w:val="left" w:pos="105"/>
      </w:tabs>
      <w:spacing w:before="120" w:after="120" w:line="360" w:lineRule="auto"/>
      <w:ind w:firstLine="480" w:firstLineChars="200"/>
      <w:jc w:val="left"/>
    </w:pPr>
    <w:rPr>
      <w:sz w:val="24"/>
      <w:szCs w:val="24"/>
    </w:rPr>
  </w:style>
  <w:style w:type="paragraph" w:customStyle="1" w:styleId="40">
    <w:name w:val="说明"/>
    <w:basedOn w:val="39"/>
    <w:next w:val="39"/>
    <w:qFormat/>
    <w:uiPriority w:val="0"/>
    <w:pPr>
      <w:spacing w:before="0" w:line="240" w:lineRule="auto"/>
      <w:ind w:left="450" w:firstLine="0" w:firstLineChars="0"/>
    </w:pPr>
    <w:rPr>
      <w:i/>
      <w:color w:val="000080"/>
      <w:sz w:val="21"/>
    </w:rPr>
  </w:style>
  <w:style w:type="character" w:customStyle="1" w:styleId="41">
    <w:name w:val="文档结构图 字符"/>
    <w:basedOn w:val="24"/>
    <w:link w:val="9"/>
    <w:qFormat/>
    <w:uiPriority w:val="0"/>
    <w:rPr>
      <w:rFonts w:ascii="宋体"/>
      <w:kern w:val="2"/>
      <w:sz w:val="18"/>
      <w:szCs w:val="18"/>
    </w:rPr>
  </w:style>
  <w:style w:type="character" w:customStyle="1" w:styleId="42">
    <w:name w:val="正文文本 字符"/>
    <w:basedOn w:val="24"/>
    <w:link w:val="11"/>
    <w:qFormat/>
    <w:uiPriority w:val="0"/>
    <w:rPr>
      <w:kern w:val="2"/>
      <w:sz w:val="21"/>
    </w:rPr>
  </w:style>
  <w:style w:type="paragraph" w:customStyle="1" w:styleId="43">
    <w:name w:val="样式2"/>
    <w:basedOn w:val="3"/>
    <w:next w:val="1"/>
    <w:qFormat/>
    <w:uiPriority w:val="0"/>
    <w:pPr>
      <w:numPr>
        <w:ilvl w:val="0"/>
        <w:numId w:val="3"/>
      </w:numPr>
    </w:pPr>
    <w:rPr>
      <w:rFonts w:ascii="Arial"/>
      <w:b w:val="0"/>
      <w:bCs/>
      <w:color w:val="000000"/>
      <w:kern w:val="2"/>
      <w:sz w:val="24"/>
      <w:szCs w:val="24"/>
      <w:lang w:val="en-US"/>
    </w:rPr>
  </w:style>
  <w:style w:type="character" w:customStyle="1" w:styleId="44">
    <w:name w:val="标题 3 字符"/>
    <w:basedOn w:val="24"/>
    <w:link w:val="4"/>
    <w:qFormat/>
    <w:uiPriority w:val="0"/>
    <w:rPr>
      <w:b/>
      <w:kern w:val="2"/>
      <w:sz w:val="32"/>
    </w:rPr>
  </w:style>
  <w:style w:type="paragraph" w:customStyle="1" w:styleId="45">
    <w:name w:val="正式正文"/>
    <w:basedOn w:val="1"/>
    <w:qFormat/>
    <w:uiPriority w:val="0"/>
    <w:pPr>
      <w:spacing w:line="312" w:lineRule="auto"/>
      <w:ind w:firstLine="200" w:firstLineChars="200"/>
    </w:pPr>
    <w:rPr>
      <w:sz w:val="24"/>
    </w:rPr>
  </w:style>
  <w:style w:type="paragraph" w:customStyle="1" w:styleId="46">
    <w:name w:val="三级标题"/>
    <w:next w:val="45"/>
    <w:qFormat/>
    <w:uiPriority w:val="0"/>
    <w:pPr>
      <w:widowControl w:val="0"/>
      <w:numPr>
        <w:ilvl w:val="2"/>
        <w:numId w:val="4"/>
      </w:numPr>
      <w:spacing w:before="60" w:after="60"/>
      <w:jc w:val="both"/>
      <w:outlineLvl w:val="2"/>
    </w:pPr>
    <w:rPr>
      <w:rFonts w:ascii="Times New Roman" w:hAnsi="Times New Roman" w:eastAsia="宋体" w:cs="Times New Roman"/>
      <w:b/>
      <w:kern w:val="2"/>
      <w:sz w:val="28"/>
      <w:szCs w:val="24"/>
      <w:lang w:val="en-US" w:eastAsia="zh-CN" w:bidi="ar-SA"/>
    </w:rPr>
  </w:style>
  <w:style w:type="paragraph" w:customStyle="1" w:styleId="47">
    <w:name w:val="TABLE_HEAD"/>
    <w:qFormat/>
    <w:uiPriority w:val="99"/>
    <w:pPr>
      <w:widowControl w:val="0"/>
      <w:autoSpaceDE w:val="0"/>
      <w:autoSpaceDN w:val="0"/>
      <w:jc w:val="center"/>
    </w:pPr>
    <w:rPr>
      <w:rFonts w:ascii="Cambria" w:hAnsi="Cambria" w:eastAsia="宋体" w:cs="Cambria"/>
      <w:kern w:val="0"/>
      <w:sz w:val="16"/>
      <w:szCs w:val="16"/>
      <w:lang w:val="zh-CN" w:eastAsia="zh-CN" w:bidi="ar-SA"/>
    </w:rPr>
  </w:style>
  <w:style w:type="paragraph" w:customStyle="1" w:styleId="48">
    <w:name w:val="HEAD_FOOT"/>
    <w:qFormat/>
    <w:uiPriority w:val="99"/>
    <w:pPr>
      <w:widowControl w:val="0"/>
      <w:autoSpaceDE w:val="0"/>
      <w:autoSpaceDN w:val="0"/>
      <w:jc w:val="both"/>
    </w:pPr>
    <w:rPr>
      <w:rFonts w:ascii="Cambria" w:hAnsi="Cambria" w:eastAsia="宋体" w:cs="Cambria"/>
      <w:kern w:val="0"/>
      <w:sz w:val="18"/>
      <w:szCs w:val="18"/>
      <w:lang w:val="zh-CN" w:eastAsia="zh-CN" w:bidi="ar-SA"/>
    </w:rPr>
  </w:style>
  <w:style w:type="paragraph" w:customStyle="1" w:styleId="49">
    <w:name w:val="二级标题"/>
    <w:next w:val="45"/>
    <w:qFormat/>
    <w:uiPriority w:val="0"/>
    <w:pPr>
      <w:widowControl w:val="0"/>
      <w:numPr>
        <w:ilvl w:val="1"/>
        <w:numId w:val="4"/>
      </w:numPr>
      <w:spacing w:before="60" w:after="60"/>
      <w:jc w:val="both"/>
      <w:outlineLvl w:val="1"/>
    </w:pPr>
    <w:rPr>
      <w:rFonts w:ascii="Times New Roman" w:hAnsi="Times New Roman" w:eastAsia="宋体" w:cs="Times New Roman"/>
      <w:b/>
      <w:kern w:val="2"/>
      <w:sz w:val="2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2.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02&#20854;&#20182;&#24037;&#20316;&#36164;&#26009;\&#36136;&#37327;&#31649;&#29702;&#20307;&#31995;&#20462;&#35746;-2020\&#35768;&#24013;\&#31532;9&#20998;&#20876;&#65306;&#34920;&#26684;&#27169;&#26495;&#65288;&#24320;&#21457;&#31867;&#65289;&#27719;&#32534;\08.&#31995;&#32479;&#19978;&#32447;&#36807;&#31243;\&#39033;&#30446;&#21517;&#31216;-&#29992;&#25143;&#25163;&#2087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8D8BE-EDA4-4A1C-AAF1-EFE028FC3834}">
  <ds:schemaRefs/>
</ds:datastoreItem>
</file>

<file path=docProps/app.xml><?xml version="1.0" encoding="utf-8"?>
<Properties xmlns="http://schemas.openxmlformats.org/officeDocument/2006/extended-properties" xmlns:vt="http://schemas.openxmlformats.org/officeDocument/2006/docPropsVTypes">
  <Template>项目名称-用户手册</Template>
  <Pages>25</Pages>
  <Words>7696</Words>
  <Characters>7863</Characters>
  <Lines>19</Lines>
  <Paragraphs>5</Paragraphs>
  <TotalTime>9</TotalTime>
  <ScaleCrop>false</ScaleCrop>
  <LinksUpToDate>false</LinksUpToDate>
  <CharactersWithSpaces>7993</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2020-12-15T01:10:00Z</dcterms:created>
  <dc:creator>胖公子</dc:creator>
  <cp:lastModifiedBy>佘瑾</cp:lastModifiedBy>
  <dcterms:modified xsi:type="dcterms:W3CDTF">2023-05-20T09:30:12Z</dcterms:modified>
  <dc:title>管理评审控制程序</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4012C97FBAC64B8DAB6A1C173394C408</vt:lpwstr>
  </property>
</Properties>
</file>