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sz w:val="32"/>
          <w:szCs w:val="32"/>
        </w:rPr>
      </w:pPr>
      <w:bookmarkStart w:id="0" w:name="_Toc184480090"/>
      <w:bookmarkStart w:id="1" w:name="_Toc182121124"/>
    </w:p>
    <w:p>
      <w:pPr>
        <w:rPr>
          <w:rFonts w:ascii="Arial" w:hAnsi="Arial" w:eastAsia="黑体" w:cs="Arial"/>
          <w:b/>
          <w:sz w:val="32"/>
        </w:rPr>
      </w:pPr>
      <w:r>
        <w:rPr>
          <w:rFonts w:ascii="Arial" w:hAnsi="Arial" w:eastAsia="黑体" w:cs="Arial"/>
          <w:sz w:val="32"/>
          <w:szCs w:val="32"/>
        </w:rPr>
        <w:t xml:space="preserve"> </w:t>
      </w:r>
    </w:p>
    <w:p>
      <w:pPr>
        <w:rPr>
          <w:rFonts w:ascii="Arial" w:hAnsi="Arial" w:eastAsia="黑体" w:cs="Arial"/>
          <w:b/>
          <w:sz w:val="32"/>
        </w:rPr>
      </w:pPr>
    </w:p>
    <w:p>
      <w:pPr>
        <w:rPr>
          <w:rFonts w:ascii="Arial" w:hAnsi="Arial" w:eastAsia="黑体" w:cs="Arial"/>
          <w:b/>
          <w:sz w:val="32"/>
        </w:rPr>
      </w:pPr>
    </w:p>
    <w:p>
      <w:pPr>
        <w:rPr>
          <w:rFonts w:ascii="Arial" w:hAnsi="Arial" w:eastAsia="黑体" w:cs="Arial"/>
          <w:b/>
          <w:sz w:val="32"/>
        </w:rPr>
      </w:pPr>
    </w:p>
    <w:p>
      <w:pPr>
        <w:rPr>
          <w:rFonts w:ascii="Arial" w:hAnsi="Arial" w:eastAsia="黑体" w:cs="Arial"/>
          <w:b/>
          <w:sz w:val="32"/>
        </w:rPr>
      </w:pPr>
    </w:p>
    <w:p>
      <w:pPr>
        <w:rPr>
          <w:rFonts w:ascii="Arial" w:hAnsi="Arial" w:eastAsia="黑体" w:cs="Arial"/>
          <w:b/>
          <w:sz w:val="32"/>
        </w:rPr>
      </w:pPr>
    </w:p>
    <w:p>
      <w:pPr>
        <w:jc w:val="center"/>
        <w:rPr>
          <w:rFonts w:ascii="Arial" w:hAnsi="Arial" w:eastAsia="黑体" w:cs="Arial"/>
          <w:b/>
          <w:sz w:val="32"/>
        </w:rPr>
      </w:pPr>
    </w:p>
    <w:p>
      <w:pPr>
        <w:keepNext w:val="0"/>
        <w:keepLines w:val="0"/>
        <w:widowControl/>
        <w:suppressLineNumbers w:val="0"/>
        <w:spacing w:line="360" w:lineRule="auto"/>
        <w:jc w:val="center"/>
      </w:pPr>
      <w:r>
        <w:rPr>
          <w:rFonts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中国航空工业集团有限公司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</w:pPr>
      <w:r>
        <w:rPr>
          <w:rFonts w:hint="eastAsia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资金收支预算管理</w:t>
      </w:r>
      <w:r>
        <w:rPr>
          <w:rFonts w:hint="default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系统操作手册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</w:pPr>
      <w:r>
        <w:rPr>
          <w:rFonts w:hint="eastAsia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（系统管理）</w:t>
      </w:r>
    </w:p>
    <w:p>
      <w:pPr>
        <w:rPr>
          <w:rFonts w:ascii="Arial" w:hAnsi="Arial" w:eastAsia="黑体" w:cs="Arial"/>
          <w:b/>
          <w:sz w:val="32"/>
        </w:rPr>
      </w:pPr>
    </w:p>
    <w:p>
      <w:pPr>
        <w:rPr>
          <w:rFonts w:ascii="Arial" w:hAnsi="Arial" w:eastAsia="黑体" w:cs="Arial"/>
          <w:b/>
          <w:sz w:val="32"/>
        </w:rPr>
      </w:pPr>
    </w:p>
    <w:p>
      <w:pPr>
        <w:tabs>
          <w:tab w:val="left" w:pos="4395"/>
        </w:tabs>
        <w:spacing w:line="1600" w:lineRule="exact"/>
        <w:jc w:val="center"/>
        <w:rPr>
          <w:rFonts w:ascii="Arial" w:hAnsi="Arial" w:eastAsia="黑体" w:cs="Arial"/>
          <w:b/>
          <w:sz w:val="72"/>
          <w:szCs w:val="7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992505</wp:posOffset>
                </wp:positionV>
                <wp:extent cx="3695700" cy="895350"/>
                <wp:effectExtent l="13970" t="13970" r="24130" b="241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1660" y="5703570"/>
                          <a:ext cx="3695700" cy="895350"/>
                        </a:xfrm>
                        <a:prstGeom prst="rect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PingFang SC" w:hAnsi="PingFang SC" w:eastAsia="PingFang SC" w:cs="PingFang SC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中国航空工业集团有限公司版权所有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hint="default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仅限用于</w:t>
                            </w:r>
                            <w:r>
                              <w:rPr>
                                <w:rFonts w:ascii="HYShuSongErKW" w:hAnsi="HYShuSongErKW" w:eastAsia="HYShuSongErKW" w:cs="HYShuSongErKW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集团公司</w:t>
                            </w:r>
                            <w:r>
                              <w:rPr>
                                <w:rFonts w:hint="default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及所属单位进行</w:t>
                            </w:r>
                            <w:r>
                              <w:rPr>
                                <w:rFonts w:hint="eastAsia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资金收支预算</w:t>
                            </w:r>
                            <w:r>
                              <w:rPr>
                                <w:rFonts w:hint="default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管理参考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2pt;margin-top:78.15pt;height:70.5pt;width:291pt;z-index:251659264;v-text-anchor:middle;mso-width-relative:page;mso-height-relative:page;" fillcolor="#FFFFFF [3201]" filled="t" stroked="t" coordsize="21600,21600" o:gfxdata="UEsDBAoAAAAAAIdO4kAAAAAAAAAAAAAAAAAEAAAAZHJzL1BLAwQUAAAACACHTuJAwuL1KNcAAAAL&#10;AQAADwAAAGRycy9kb3ducmV2LnhtbE2PwU6DQBCG7ya+w2ZMvNkFirQgSxObevMimnjdslNA2VnC&#10;bml5e8eTHme+P/98U+6udhAzTr53pCBeRSCQGmd6ahV8vL88bEH4oMnowREqWNDDrrq9KXVh3IXe&#10;cK5DK7iEfKEVdCGMhZS+6dBqv3IjErOTm6wOPE6tNJO+cLkdZBJFmbS6J77Q6RH3HTbf9dkqmOvD&#10;kg+vVj6nh6991n+6xdZOqfu7OHoCEfAa/sLwq8/qULHT0Z3JeDEoSOIk5SiDx2wNghObPOXNkVG+&#10;WYOsSvn/h+oHUEsDBBQAAAAIAIdO4kCTIJ3BlAIAAC0FAAAOAAAAZHJzL2Uyb0RvYy54bWytVEtu&#10;2zAQ3RfoHQjuG1mO5R8iB4YNFwWCJkBadE1TlCWAv5L0r5cp0F0P0eMUvUYfJTlxki6yqADLM+Lj&#10;G86bGV5dH5QkO+F8bXRO04seJUJzU9R6k9PPn1bvxpT4wHTBpNEip0fh6fXs7ZurvZ2KvqmMLIQj&#10;INF+urc5rUKw0yTxvBKK+QtjhcZiaZxiAa7bJIVje7ArmfR7vWGyN66wznDhPb4u20XaMbrXEJqy&#10;rLlYGr5VQoeW1QnJAlLyVW09nTWnLUvBw21ZehGIzCkyDc0bQWCv4zuZXbHpxjFb1bw7AnvNEZ7l&#10;pFitEfSBaskCI1tXv6BSNXfGmzJccKOSNpFGEWSR9p5pc18xK5pcILW3D6L7/0fLP+7uHKkLdAIl&#10;mikU/M/3n79//SBp1GZv/RSQe3vnOs/DjIkeSqfiP1IgB+weZ+lwCFWPOc1GvUv8Wm3FIRAOwOVw&#10;gm8AcCDGk+wyawDJI5N1PrwXRpFo5NShdo2kbHfjA6IDeoLEwN7IuljVUjaO26wX0pEdQ51XzRPD&#10;Y8sTmNRkn9P+OBtlOAhD95boGpjKQoFiLSlhcoOx4ME1sZ/s9udBBukonSxaUMUK0YbOenhOkVv4&#10;y1PELJbMV+0Wf/RLE1qxVB0wW7JWkCgynaikBkusRat+tMJhfehKsjbFEUV0pu1ub/mqRogb5sMd&#10;c2hnqI6BD7d4ldJAAdNZlFTGffvX94hHl2GVkj3GI6f+65Y5QYn8oNF/k3QwAG1onEE26sNx5yvr&#10;8xW9VQuDyqDHcLrGjPggT2bpjPqCe2Eeo2KJaY7YbR06ZxHascXNwsV83sAwQ5aFG31veSSPnaDN&#10;fBtMWTcdE4Vq1en0wxQ19egmPo7pud+gHm+52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C4vUo&#10;1wAAAAsBAAAPAAAAAAAAAAEAIAAAACIAAABkcnMvZG93bnJldi54bWxQSwECFAAUAAAACACHTuJA&#10;kyCdwZQCAAAtBQAADgAAAAAAAAABACAAAAAmAQAAZHJzL2Uyb0RvYy54bWxQSwUGAAAAAAYABgBZ&#10;AQAALAYAAAAA&#10;">
                <v:fill on="t" focussize="0,0"/>
                <v:stroke weight="2.25pt" color="#41719C [3204]" linestyle="thinThin" miterlimit="8" joinstyle="miter" dashstyle="1 1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pacing w:line="360" w:lineRule="auto"/>
                        <w:jc w:val="center"/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中国航空工业集团有限公司版权所有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pacing w:line="360" w:lineRule="auto"/>
                        <w:jc w:val="center"/>
                      </w:pPr>
                      <w:r>
                        <w:rPr>
                          <w:rFonts w:hint="default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仅限用于</w:t>
                      </w:r>
                      <w:r>
                        <w:rPr>
                          <w:rFonts w:ascii="HYShuSongErKW" w:hAnsi="HYShuSongErKW" w:eastAsia="HYShuSongErKW" w:cs="HYShuSongErKW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集团公司</w:t>
                      </w:r>
                      <w:r>
                        <w:rPr>
                          <w:rFonts w:hint="default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及所属单位进行</w:t>
                      </w:r>
                      <w:r>
                        <w:rPr>
                          <w:rFonts w:hint="eastAsia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资金收支预算</w:t>
                      </w:r>
                      <w:r>
                        <w:rPr>
                          <w:rFonts w:hint="default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管理参考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jc w:val="center"/>
        <w:rPr>
          <w:rFonts w:ascii="Arial" w:hAnsi="Arial" w:eastAsia="黑体" w:cs="Arial"/>
          <w:sz w:val="32"/>
          <w:szCs w:val="32"/>
        </w:rPr>
      </w:pPr>
    </w:p>
    <w:p>
      <w:pPr>
        <w:jc w:val="center"/>
        <w:rPr>
          <w:rFonts w:ascii="Arial" w:hAnsi="Arial" w:eastAsia="黑体" w:cs="Arial"/>
          <w:sz w:val="32"/>
          <w:szCs w:val="32"/>
        </w:rPr>
      </w:pPr>
    </w:p>
    <w:p>
      <w:pPr>
        <w:keepNext w:val="0"/>
        <w:keepLines w:val="0"/>
        <w:widowControl/>
        <w:suppressLineNumbers w:val="0"/>
        <w:jc w:val="center"/>
      </w:pPr>
      <w:r>
        <w:rPr>
          <w:rFonts w:ascii="Helvetica Neue" w:hAnsi="Helvetica Neue" w:eastAsia="Helvetica Neue" w:cs="Helvetica Neue"/>
          <w:color w:val="000008"/>
          <w:kern w:val="0"/>
          <w:sz w:val="31"/>
          <w:szCs w:val="31"/>
          <w:lang w:val="en-US" w:eastAsia="zh-CN" w:bidi="ar"/>
        </w:rPr>
        <w:t xml:space="preserve">2022 </w:t>
      </w:r>
      <w:r>
        <w:rPr>
          <w:rFonts w:ascii="HYShuSongErKW" w:hAnsi="HYShuSongErKW" w:eastAsia="HYShuSongErKW" w:cs="HYShuSongErKW"/>
          <w:b/>
          <w:bCs/>
          <w:color w:val="000008"/>
          <w:kern w:val="0"/>
          <w:sz w:val="31"/>
          <w:szCs w:val="31"/>
          <w:lang w:val="en-US" w:eastAsia="zh-CN" w:bidi="ar"/>
        </w:rPr>
        <w:t xml:space="preserve">年 </w:t>
      </w:r>
      <w:r>
        <w:rPr>
          <w:rFonts w:hint="eastAsia" w:ascii="HYShuSongErKW" w:hAnsi="HYShuSongErKW" w:eastAsia="HYShuSongErKW" w:cs="HYShuSongErKW"/>
          <w:b/>
          <w:bCs/>
          <w:color w:val="000008"/>
          <w:kern w:val="0"/>
          <w:sz w:val="31"/>
          <w:szCs w:val="31"/>
          <w:lang w:val="en-US" w:eastAsia="zh-CN" w:bidi="ar"/>
        </w:rPr>
        <w:t>12</w:t>
      </w:r>
      <w:r>
        <w:rPr>
          <w:rFonts w:hint="default" w:ascii="Helvetica Neue" w:hAnsi="Helvetica Neue" w:eastAsia="Helvetica Neue" w:cs="Helvetica Neue"/>
          <w:color w:val="000008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hint="default" w:ascii="HYShuSongErKW" w:hAnsi="HYShuSongErKW" w:eastAsia="HYShuSongErKW" w:cs="HYShuSongErKW"/>
          <w:b/>
          <w:bCs/>
          <w:color w:val="000008"/>
          <w:kern w:val="0"/>
          <w:sz w:val="31"/>
          <w:szCs w:val="31"/>
          <w:lang w:val="en-US" w:eastAsia="zh-CN" w:bidi="ar"/>
        </w:rPr>
        <w:t>月</w:t>
      </w:r>
    </w:p>
    <w:p>
      <w:pPr>
        <w:jc w:val="center"/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rPr>
          <w:rFonts w:ascii="Arial" w:hAnsi="Arial" w:eastAsia="黑体" w:cs="Arial"/>
          <w:sz w:val="32"/>
          <w:szCs w:val="32"/>
        </w:rPr>
      </w:pPr>
    </w:p>
    <w:p>
      <w:pPr>
        <w:spacing w:line="240" w:lineRule="atLeast"/>
        <w:jc w:val="center"/>
        <w:rPr>
          <w:rFonts w:ascii="Arial" w:hAnsi="Arial" w:eastAsia="黑体" w:cs="Arial"/>
          <w:b/>
          <w:sz w:val="32"/>
        </w:rPr>
      </w:pPr>
    </w:p>
    <w:p>
      <w:pPr>
        <w:spacing w:line="400" w:lineRule="exact"/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180340</wp:posOffset>
                </wp:positionV>
                <wp:extent cx="614362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.65pt;margin-top:14.2pt;height:0pt;width:483.75pt;z-index:251661312;mso-width-relative:page;mso-height-relative:page;" filled="f" stroked="t" coordsize="21600,21600" o:gfxdata="UEsDBAoAAAAAAIdO4kAAAAAAAAAAAAAAAAAEAAAAZHJzL1BLAwQUAAAACACHTuJAepLgQdgAAAAH&#10;AQAADwAAAGRycy9kb3ducmV2LnhtbE2PT2vCQBDF74LfYZlCb7oxisaYjZT+gVIopVrwumanSTQ7&#10;G7IbTb99p/TQHt+8x3u/ybaDbcQFO187UjCbRiCQCmdqKhV87J8mCQgfNBndOEIFX+hhm49HmU6N&#10;u9I7XnahFFxCPtUKqhDaVEpfVGi1n7oWib1P11kdWHalNJ2+crltZBxFS2l1TbxQ6RbvKyzOu94q&#10;eIvLefto9ufF60vxvEqGh7tDf1Lq9mYWbUAEHMJfGH7wGR1yZjq6nowXjYL1nIMK4mQBgu31asmf&#10;HH8PMs/kf/78G1BLAwQUAAAACACHTuJAkiNWVusBAAC2AwAADgAAAGRycy9lMm9Eb2MueG1srVPN&#10;bhMxEL4j8Q6W72Q3KY3QKpseEpVLgUgt3B2vN2theyyPk01eghdA4gYnjtz7NpTH6Nj5KS2XHtiD&#10;5fn7PN83s5OLrTVsowJqcDUfDkrOlJPQaLeq+ceby1dvOMMoXCMMOFXznUJ+MX35YtL7So2gA9Oo&#10;wAjEYdX7mncx+qooUHbKChyAV46CLQQrIplhVTRB9IRuTTEqy3HRQ2h8AKkQyTvfB/kBMTwHENpW&#10;SzUHubbKxT1qUEZEooSd9sinudu2VTJ+aFtUkZmaE9OYT3qE7st0FtOJqFZB+E7LQwviOS084WSF&#10;dvToCWouomDroP+BsloGQGjjQIIt9kSyIsRiWD7R5roTXmUuJDX6k+j4/2Dl+80iMN3UfDTkzAlL&#10;E7/7+uv3l+9/br/ReffzB6MIydR7rCh75hYhEZVbd+2vQH5G5mDWCbdSud2bnSeIXFE8KkkGenps&#10;2b+DhnLEOkLWbNsGy1qj/adUmMBJF7bNQ9qdhqS2kUlyjoevz8ajc87kMVaIKkGkQh8wvlVgWbrU&#10;3GiX9BOV2FxhJBKUekxJbgeX2pi8A8axnsDPzstcgGB0k4IpDcNqOTOBbUTaovwlRQjsUVqAtWv2&#10;fuMofGS8124JzW4RUjj5aZwZ4LB6aV/+tnPWw+82v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6&#10;kuBB2AAAAAcBAAAPAAAAAAAAAAEAIAAAACIAAABkcnMvZG93bnJldi54bWxQSwECFAAUAAAACACH&#10;TuJAkiNWVusBAAC2AwAADgAAAAAAAAABACAAAAAnAQAAZHJzL2Uyb0RvYy54bWxQSwUGAAAAAAYA&#10;BgBZAQAAhAUAAAAA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180340</wp:posOffset>
                </wp:positionV>
                <wp:extent cx="605536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536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35pt;margin-top:14.2pt;height:0pt;width:476.8pt;z-index:251660288;mso-width-relative:page;mso-height-relative:page;" filled="f" stroked="t" coordsize="21600,21600" o:gfxdata="UEsDBAoAAAAAAIdO4kAAAAAAAAAAAAAAAAAEAAAAZHJzL1BLAwQUAAAACACHTuJA8nkm3dkAAAAI&#10;AQAADwAAAGRycy9kb3ducmV2LnhtbE2PT0vDQBDF70K/wzIFb+2mMdg0ZlKKf0CEIraC1212TNJm&#10;Z0N208Zv74oHPb55j/d+k69H04oz9a6xjLCYRyCIS6sbrhDe90+zFITzirVqLRPCFzlYF5OrXGXa&#10;XviNzjtfiVDCLlMItfddJqUrazLKzW1HHLxP2xvlg+wrqXt1CeWmlXEU3UqjGg4LterovqbytBsM&#10;wmtc3XSPen9Kti/l8zIdHzYfwxHxerqI7kB4Gv1fGH7wAzoUgelgB9ZOtAizZBmSCHGagAj+KklX&#10;IA6/B1nk8v8DxTdQSwMEFAAAAAgAh07iQDOo39HqAQAAtgMAAA4AAABkcnMvZTJvRG9jLnhtbK1T&#10;sW4bMQzdC/QfBO31nR3YKA4+Z7CRLmlrIGl3WafzCZVEQZR99k/0Bwp0a6eO3fs3ST+jlOw4abJk&#10;yA2CKJKPfI+86fnOGrZVATW4mg8HJWfKSWi0W9f80/XFm7ecYRSuEQacqvleIT+fvX417X2lRtCB&#10;aVRgBOKw6n3Nuxh9VRQoO2UFDsArR84WghWRzLAumiB6QremGJXlpOghND6AVIj0ujg4+RExPAcQ&#10;2lZLtQC5scrFA2pQRkSihJ32yGe527ZVMn5sW1SRmZoT05hPKkL3VTqL2VRU6yB8p+WxBfGcFh5x&#10;skI7KnqCWogo2CboJ1BWywAIbRxIsMWBSFaEWAzLR9pcdcKrzIWkRn8SHV8OVn7YLgPTTc1HJIkT&#10;liZ+++33zdcff/98p/P2109GHpKp91hR9NwtQyIqd+7KX4L8gszBvBNurXK713tPEMOUUfyXkgz0&#10;VGzVv4eGYsQmQtZs1wbLWqP955SYwEkXtstD2p+GpHaRSXqclOPx2YSalXe+QlQJIiX6gPGdAsvS&#10;peZGu6SfqMT2EmNq6T4kPTu40MbkHTCO9QR+Ni5zAoLRTXKmMAzr1dwEthVpi/KX+ZHnYViAjWsO&#10;RYw70k+MD9qtoNkvw50sNM7czXH10r48tHP2/e82+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y&#10;eSbd2QAAAAgBAAAPAAAAAAAAAAEAIAAAACIAAABkcnMvZG93bnJldi54bWxQSwECFAAUAAAACACH&#10;TuJAM6jf0eoBAAC2AwAADgAAAAAAAAABACAAAAAoAQAAZHJzL2Uyb0RvYy54bWxQSwUGAAAAAAYA&#10;BgBZAQAAhAUAAAAA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w:br w:type="page"/>
      </w:r>
      <w:bookmarkStart w:id="2" w:name="OLE_LINK3"/>
      <w:bookmarkStart w:id="3" w:name="OLE_LINK4"/>
    </w:p>
    <w:bookmarkEnd w:id="2"/>
    <w:bookmarkEnd w:id="3"/>
    <w:p>
      <w:pPr>
        <w:jc w:val="center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目录</w:t>
      </w:r>
    </w:p>
    <w:p>
      <w:pPr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>
      <w:pPr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>
      <w:pPr>
        <w:spacing w:line="360" w:lineRule="auto"/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b/>
          <w:sz w:val="24"/>
          <w:szCs w:val="24"/>
        </w:rPr>
        <w:fldChar w:fldCharType="begin"/>
      </w:r>
      <w:r>
        <w:rPr>
          <w:rFonts w:ascii="Arial" w:hAnsi="Arial" w:cs="Arial"/>
          <w:b/>
          <w:sz w:val="24"/>
          <w:szCs w:val="24"/>
        </w:rPr>
        <w:instrText xml:space="preserve"> TOC \o "1-2" \h \z \u </w:instrText>
      </w:r>
      <w:r>
        <w:rPr>
          <w:rFonts w:ascii="Arial" w:hAnsi="Arial" w:cs="Arial"/>
          <w:b/>
          <w:sz w:val="24"/>
          <w:szCs w:val="24"/>
        </w:rPr>
        <w:fldChar w:fldCharType="separate"/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_Toc1786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一、 系统概述</w:t>
      </w:r>
      <w:r>
        <w:tab/>
      </w:r>
      <w:r>
        <w:fldChar w:fldCharType="begin"/>
      </w:r>
      <w:r>
        <w:instrText xml:space="preserve"> PAGEREF _Toc1786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_Toc7421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1.1 </w:t>
      </w:r>
      <w:r>
        <w:rPr>
          <w:rFonts w:hint="eastAsia"/>
        </w:rPr>
        <w:t>系统介绍</w:t>
      </w:r>
      <w:r>
        <w:tab/>
      </w:r>
      <w:r>
        <w:fldChar w:fldCharType="begin"/>
      </w:r>
      <w:r>
        <w:instrText xml:space="preserve"> PAGEREF _Toc7421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_Toc305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1.2 </w:t>
      </w:r>
      <w:r>
        <w:rPr>
          <w:rFonts w:hint="eastAsia"/>
        </w:rPr>
        <w:t>软硬件环境</w:t>
      </w:r>
      <w:r>
        <w:tab/>
      </w:r>
      <w:r>
        <w:fldChar w:fldCharType="begin"/>
      </w:r>
      <w:r>
        <w:instrText xml:space="preserve"> PAGEREF _Toc305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_Toc4241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二、 系统</w:t>
      </w:r>
      <w:r>
        <w:rPr>
          <w:rFonts w:hint="eastAsia" w:ascii="Arial" w:hAnsi="Arial" w:cs="Arial"/>
          <w:lang w:eastAsia="zh-CN"/>
        </w:rPr>
        <w:t>登录</w:t>
      </w:r>
      <w:r>
        <w:tab/>
      </w:r>
      <w:r>
        <w:fldChar w:fldCharType="begin"/>
      </w:r>
      <w:r>
        <w:instrText xml:space="preserve"> PAGEREF _Toc4241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_Toc25195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2.1 </w:t>
      </w:r>
      <w:r>
        <w:rPr>
          <w:rFonts w:hint="eastAsia"/>
          <w:lang w:eastAsia="zh-CN"/>
        </w:rPr>
        <w:t>登录地址</w:t>
      </w:r>
      <w:r>
        <w:tab/>
      </w:r>
      <w:r>
        <w:fldChar w:fldCharType="begin"/>
      </w:r>
      <w:r>
        <w:instrText xml:space="preserve"> PAGEREF _Toc25195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_Toc4378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2.2 </w:t>
      </w:r>
      <w:r>
        <w:rPr>
          <w:rFonts w:hint="eastAsia"/>
          <w:lang w:eastAsia="zh-CN"/>
        </w:rPr>
        <w:t>登录首页</w:t>
      </w:r>
      <w:r>
        <w:tab/>
      </w:r>
      <w:r>
        <w:fldChar w:fldCharType="begin"/>
      </w:r>
      <w:r>
        <w:instrText xml:space="preserve"> PAGEREF _Toc4378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_Toc27587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三、 通用功能</w:t>
      </w:r>
      <w:r>
        <w:tab/>
      </w:r>
      <w:r>
        <w:fldChar w:fldCharType="begin"/>
      </w:r>
      <w:r>
        <w:instrText xml:space="preserve"> PAGEREF _Toc27587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_Toc27992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  <w:bCs/>
          <w:lang w:val="en-US" w:eastAsia="zh-CN"/>
        </w:rPr>
        <w:t xml:space="preserve">3.1 </w:t>
      </w:r>
      <w:r>
        <w:rPr>
          <w:rFonts w:hint="eastAsia"/>
          <w:bCs/>
          <w:lang w:val="en-US" w:eastAsia="zh-CN"/>
        </w:rPr>
        <w:t>页面风格</w:t>
      </w:r>
      <w:r>
        <w:tab/>
      </w:r>
      <w:r>
        <w:fldChar w:fldCharType="begin"/>
      </w:r>
      <w:r>
        <w:instrText xml:space="preserve"> PAGEREF _Toc27992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_Toc8925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3.2 </w:t>
      </w:r>
      <w:r>
        <w:rPr>
          <w:rFonts w:hint="eastAsia"/>
          <w:lang w:val="en-US" w:eastAsia="zh-CN"/>
        </w:rPr>
        <w:t>通用按钮约定</w:t>
      </w:r>
      <w:r>
        <w:tab/>
      </w:r>
      <w:r>
        <w:fldChar w:fldCharType="begin"/>
      </w:r>
      <w:r>
        <w:instrText xml:space="preserve"> PAGEREF _Toc8925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_Toc18101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 xml:space="preserve">四、 </w:t>
      </w:r>
      <w:r>
        <w:rPr>
          <w:rFonts w:hint="eastAsia" w:ascii="Arial" w:hAnsi="Arial" w:cs="Arial"/>
          <w:lang w:val="en-US" w:eastAsia="zh-CN"/>
        </w:rPr>
        <w:t>常见业务场景及操作步骤</w:t>
      </w:r>
      <w:r>
        <w:tab/>
      </w:r>
      <w:r>
        <w:fldChar w:fldCharType="begin"/>
      </w:r>
      <w:r>
        <w:instrText xml:space="preserve"> PAGEREF _Toc18101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_Toc29799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一、 如何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配置机构管理</w:t>
      </w:r>
      <w:r>
        <w:tab/>
      </w:r>
      <w:r>
        <w:fldChar w:fldCharType="begin"/>
      </w:r>
      <w:r>
        <w:instrText xml:space="preserve"> PAGEREF _Toc29799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_Toc11342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_Toc11342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_Toc23440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_Toc23440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_Toc15125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_Toc15125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_Toc15892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二、 如何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配置权限管理-角色管理</w:t>
      </w:r>
      <w:r>
        <w:tab/>
      </w:r>
      <w:r>
        <w:fldChar w:fldCharType="begin"/>
      </w:r>
      <w:r>
        <w:instrText xml:space="preserve"> PAGEREF _Toc15892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_Toc21536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_Toc21536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_Toc27090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_Toc27090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_Toc17000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4． 操作步骤</w:t>
      </w:r>
      <w:r>
        <w:tab/>
      </w:r>
      <w:r>
        <w:fldChar w:fldCharType="begin"/>
      </w:r>
      <w:r>
        <w:instrText xml:space="preserve"> PAGEREF _Toc17000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_Toc18451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三、 如何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配置权限管理-岗位管理</w:t>
      </w:r>
      <w:r>
        <w:tab/>
      </w:r>
      <w:r>
        <w:fldChar w:fldCharType="begin"/>
      </w:r>
      <w:r>
        <w:instrText xml:space="preserve"> PAGEREF _Toc18451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_Toc13184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_Toc13184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_Toc15324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_Toc15324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_Toc17169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_Toc17169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_Toc3078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 xml:space="preserve">四、 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如何配置权限管理-用户管理</w:t>
      </w:r>
      <w:r>
        <w:tab/>
      </w:r>
      <w:r>
        <w:fldChar w:fldCharType="begin"/>
      </w:r>
      <w:r>
        <w:instrText xml:space="preserve"> PAGEREF _Toc3078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_Toc5914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_Toc5914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_Toc32503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_Toc32503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_Toc15171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_Toc15171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_Toc15656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五、 如何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配置岗位流程配置</w:t>
      </w:r>
      <w:r>
        <w:tab/>
      </w:r>
      <w:r>
        <w:fldChar w:fldCharType="begin"/>
      </w:r>
      <w:r>
        <w:instrText xml:space="preserve"> PAGEREF _Toc15656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_Toc7114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_Toc7114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_Toc30947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_Toc30947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_Toc17615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_Toc17615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>
      <w:pPr>
        <w:spacing w:line="360" w:lineRule="auto"/>
        <w:ind w:firstLine="630" w:firstLineChars="300"/>
        <w:rPr>
          <w:szCs w:val="21"/>
        </w:rPr>
      </w:pPr>
      <w:r>
        <w:rPr>
          <w:rFonts w:ascii="Arial" w:hAnsi="Arial" w:cs="Arial"/>
          <w:szCs w:val="24"/>
        </w:rPr>
        <w:fldChar w:fldCharType="end"/>
      </w:r>
    </w:p>
    <w:p>
      <w:pPr>
        <w:ind w:firstLine="630" w:firstLineChars="300"/>
        <w:rPr>
          <w:szCs w:val="21"/>
        </w:rPr>
        <w:sectPr>
          <w:headerReference r:id="rId5" w:type="first"/>
          <w:footerReference r:id="rId7" w:type="first"/>
          <w:headerReference r:id="rId3" w:type="default"/>
          <w:footerReference r:id="rId6" w:type="default"/>
          <w:headerReference r:id="rId4" w:type="even"/>
          <w:pgSz w:w="11907" w:h="16839"/>
          <w:pgMar w:top="851" w:right="1077" w:bottom="851" w:left="1077" w:header="851" w:footer="851" w:gutter="0"/>
          <w:pgNumType w:fmt="decimal"/>
          <w:cols w:space="720" w:num="1"/>
          <w:titlePg/>
          <w:docGrid w:linePitch="272" w:charSpace="0"/>
        </w:sectPr>
      </w:pPr>
    </w:p>
    <w:bookmarkEnd w:id="0"/>
    <w:bookmarkEnd w:id="1"/>
    <w:p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ascii="Arial" w:hAnsi="Arial" w:cs="Arial"/>
        </w:rPr>
      </w:pPr>
      <w:bookmarkStart w:id="4" w:name="_Toc247620708"/>
      <w:bookmarkStart w:id="5" w:name="_Toc1786"/>
      <w:r>
        <w:rPr>
          <w:rFonts w:hint="eastAsia" w:ascii="Arial" w:hAnsi="Arial" w:cs="Arial"/>
        </w:rPr>
        <w:t>系统概述</w:t>
      </w:r>
      <w:bookmarkEnd w:id="4"/>
      <w:bookmarkEnd w:id="5"/>
      <w:bookmarkStart w:id="6" w:name="_Toc239151931"/>
    </w:p>
    <w:p>
      <w:pPr>
        <w:pStyle w:val="35"/>
        <w:keepNext/>
        <w:keepLines/>
        <w:widowControl/>
        <w:numPr>
          <w:ilvl w:val="0"/>
          <w:numId w:val="6"/>
        </w:numPr>
        <w:spacing w:before="260" w:after="260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7" w:name="_Toc311734357"/>
      <w:bookmarkEnd w:id="7"/>
      <w:bookmarkStart w:id="8" w:name="_Toc309309021"/>
      <w:bookmarkEnd w:id="8"/>
      <w:bookmarkStart w:id="9" w:name="_Toc309309059"/>
      <w:bookmarkEnd w:id="9"/>
      <w:bookmarkStart w:id="10" w:name="_Toc247620709"/>
      <w:bookmarkStart w:id="11" w:name="_Toc236733088"/>
      <w:bookmarkStart w:id="12" w:name="_Ref152043981"/>
    </w:p>
    <w:p>
      <w:pPr>
        <w:pStyle w:val="35"/>
        <w:keepNext/>
        <w:keepLines/>
        <w:widowControl/>
        <w:numPr>
          <w:ilvl w:val="0"/>
          <w:numId w:val="6"/>
        </w:numPr>
        <w:spacing w:before="260" w:after="260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13" w:name="_Toc311734358"/>
      <w:bookmarkEnd w:id="13"/>
      <w:bookmarkStart w:id="14" w:name="_Toc309309060"/>
      <w:bookmarkEnd w:id="14"/>
      <w:bookmarkStart w:id="15" w:name="_Toc309309022"/>
      <w:bookmarkEnd w:id="15"/>
    </w:p>
    <w:bookmarkEnd w:id="10"/>
    <w:bookmarkEnd w:id="11"/>
    <w:bookmarkEnd w:id="12"/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240" w:lineRule="auto"/>
      </w:pPr>
      <w:bookmarkStart w:id="16" w:name="_Toc9259"/>
      <w:bookmarkStart w:id="17" w:name="_Toc7421"/>
      <w:r>
        <w:rPr>
          <w:rFonts w:hint="eastAsia"/>
        </w:rPr>
        <w:t>系统介绍</w:t>
      </w:r>
      <w:bookmarkEnd w:id="16"/>
      <w:bookmarkEnd w:id="17"/>
    </w:p>
    <w:p>
      <w:pPr>
        <w:spacing w:line="360" w:lineRule="auto"/>
        <w:ind w:firstLine="420"/>
        <w:rPr>
          <w:rFonts w:hint="eastAsia" w:ascii="宋体" w:hAnsi="宋体"/>
          <w:color w:val="auto"/>
          <w:sz w:val="24"/>
          <w:szCs w:val="32"/>
          <w:lang w:val="en-US" w:eastAsia="zh-CN"/>
        </w:rPr>
      </w:pPr>
      <w:bookmarkStart w:id="18" w:name="_Toc247620710"/>
      <w:bookmarkStart w:id="19" w:name="_Toc5777"/>
      <w:r>
        <w:rPr>
          <w:rFonts w:hint="eastAsia" w:ascii="宋体" w:hAnsi="宋体"/>
          <w:color w:val="auto"/>
          <w:sz w:val="24"/>
          <w:szCs w:val="32"/>
          <w:lang w:val="en-US" w:eastAsia="zh-CN"/>
        </w:rPr>
        <w:t>资金预算管理是为满足集团公司战略发展和经营管理需要，以业务预算为依据，对集团公司所属单位年度、月度的资金预算和资金收支计划进行科学预测和统筹安排。通过实施集团公司资金预算管理，建设资金收支预算管理系统，借助信息化手段规范和加强对资金流入流出的预算管理，提高各级单位现金流管理的计划性、科学性和准确度，提高资金使用效益和资金运营效率，并通过加强预算外资金支出的管控，提高资金风险防范能力和水平。</w:t>
      </w:r>
    </w:p>
    <w:p>
      <w:pPr>
        <w:spacing w:line="360" w:lineRule="auto"/>
        <w:ind w:firstLine="420"/>
        <w:rPr>
          <w:rFonts w:hint="eastAsia" w:ascii="宋体" w:hAnsi="宋体"/>
          <w:color w:val="auto"/>
          <w:sz w:val="24"/>
          <w:szCs w:val="32"/>
        </w:rPr>
      </w:pPr>
      <w:r>
        <w:rPr>
          <w:rFonts w:hint="eastAsia" w:ascii="宋体" w:hAnsi="宋体"/>
          <w:color w:val="auto"/>
          <w:sz w:val="24"/>
          <w:szCs w:val="32"/>
        </w:rPr>
        <w:t>通过建设资金收支预算管理系统，可以对集团公司各级单位资金预算（计划）的编制、上报、审批、执行、调整、分析评价等实施全流程、线上化管理，并逐步推进预算系统与财务公司网银系统联通，以预算控制支付，实现“无预算不开支、有预算不超支”。</w:t>
      </w:r>
    </w:p>
    <w:p>
      <w:pPr>
        <w:spacing w:line="360" w:lineRule="auto"/>
        <w:ind w:firstLine="420"/>
        <w:rPr>
          <w:rFonts w:hint="eastAsia" w:ascii="宋体" w:hAnsi="宋体"/>
          <w:color w:val="auto"/>
          <w:sz w:val="24"/>
          <w:szCs w:val="32"/>
        </w:rPr>
      </w:pPr>
      <w:r>
        <w:rPr>
          <w:rFonts w:hint="eastAsia" w:ascii="宋体" w:hAnsi="宋体"/>
          <w:color w:val="auto"/>
          <w:sz w:val="24"/>
          <w:szCs w:val="32"/>
        </w:rPr>
        <w:t>本系统主要包括</w:t>
      </w:r>
      <w:r>
        <w:rPr>
          <w:rFonts w:hint="eastAsia" w:ascii="宋体" w:hAnsi="宋体"/>
          <w:color w:val="auto"/>
          <w:sz w:val="24"/>
          <w:szCs w:val="32"/>
          <w:lang w:val="en-US" w:eastAsia="zh-CN"/>
        </w:rPr>
        <w:t>系统</w:t>
      </w:r>
      <w:r>
        <w:rPr>
          <w:rFonts w:hint="eastAsia" w:ascii="宋体" w:hAnsi="宋体"/>
          <w:color w:val="auto"/>
          <w:sz w:val="24"/>
          <w:szCs w:val="32"/>
        </w:rPr>
        <w:t>管理，</w:t>
      </w:r>
      <w:r>
        <w:rPr>
          <w:rFonts w:hint="eastAsia" w:ascii="宋体" w:hAnsi="宋体"/>
          <w:color w:val="auto"/>
          <w:sz w:val="24"/>
          <w:szCs w:val="32"/>
          <w:lang w:val="en-US" w:eastAsia="zh-CN"/>
        </w:rPr>
        <w:t>机构管理</w:t>
      </w:r>
      <w:r>
        <w:rPr>
          <w:rFonts w:hint="eastAsia" w:ascii="宋体" w:hAnsi="宋体"/>
          <w:color w:val="auto"/>
          <w:sz w:val="24"/>
          <w:szCs w:val="32"/>
        </w:rPr>
        <w:t>，</w:t>
      </w:r>
      <w:r>
        <w:rPr>
          <w:rFonts w:hint="eastAsia" w:ascii="宋体" w:hAnsi="宋体"/>
          <w:color w:val="auto"/>
          <w:sz w:val="24"/>
          <w:szCs w:val="32"/>
          <w:lang w:val="en-US" w:eastAsia="zh-CN"/>
        </w:rPr>
        <w:t>权限管理</w:t>
      </w:r>
      <w:r>
        <w:rPr>
          <w:rFonts w:hint="eastAsia" w:ascii="宋体" w:hAnsi="宋体"/>
          <w:color w:val="auto"/>
          <w:sz w:val="24"/>
          <w:szCs w:val="32"/>
        </w:rPr>
        <w:t>，</w:t>
      </w:r>
      <w:r>
        <w:rPr>
          <w:rFonts w:hint="eastAsia" w:ascii="宋体" w:hAnsi="宋体"/>
          <w:color w:val="auto"/>
          <w:sz w:val="24"/>
          <w:szCs w:val="32"/>
          <w:lang w:val="en-US" w:eastAsia="zh-CN"/>
        </w:rPr>
        <w:t>工作流程等</w:t>
      </w:r>
      <w:r>
        <w:rPr>
          <w:rFonts w:hint="eastAsia" w:ascii="宋体" w:hAnsi="宋体"/>
          <w:color w:val="auto"/>
          <w:sz w:val="24"/>
          <w:szCs w:val="32"/>
        </w:rPr>
        <w:t>业务功能。</w:t>
      </w:r>
    </w:p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240" w:lineRule="auto"/>
        <w:ind w:left="567" w:hanging="567"/>
      </w:pPr>
      <w:bookmarkStart w:id="20" w:name="_Toc305"/>
      <w:r>
        <w:rPr>
          <w:rFonts w:hint="eastAsia"/>
        </w:rPr>
        <w:t>软硬件环境</w:t>
      </w:r>
      <w:bookmarkEnd w:id="18"/>
      <w:bookmarkEnd w:id="19"/>
      <w:bookmarkEnd w:id="20"/>
    </w:p>
    <w:p>
      <w:pPr>
        <w:pStyle w:val="35"/>
        <w:keepNext/>
        <w:keepLines/>
        <w:widowControl/>
        <w:numPr>
          <w:ilvl w:val="0"/>
          <w:numId w:val="8"/>
        </w:numPr>
        <w:spacing w:before="260" w:after="260"/>
        <w:ind w:left="432" w:hanging="432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  <w:bookmarkStart w:id="21" w:name="_Toc247620711"/>
    </w:p>
    <w:p>
      <w:pPr>
        <w:pStyle w:val="35"/>
        <w:keepNext/>
        <w:keepLines/>
        <w:widowControl/>
        <w:numPr>
          <w:ilvl w:val="0"/>
          <w:numId w:val="8"/>
        </w:numPr>
        <w:spacing w:before="260" w:after="260"/>
        <w:ind w:left="432" w:hanging="432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>
      <w:pPr>
        <w:pStyle w:val="35"/>
        <w:keepNext/>
        <w:keepLines/>
        <w:widowControl/>
        <w:numPr>
          <w:ilvl w:val="0"/>
          <w:numId w:val="8"/>
        </w:numPr>
        <w:spacing w:before="260" w:after="260"/>
        <w:ind w:left="432" w:hanging="432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>
      <w:pPr>
        <w:pStyle w:val="35"/>
        <w:keepNext/>
        <w:keepLines/>
        <w:widowControl/>
        <w:numPr>
          <w:ilvl w:val="1"/>
          <w:numId w:val="8"/>
        </w:numPr>
        <w:spacing w:before="260" w:after="260"/>
        <w:ind w:left="576" w:hanging="576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>
      <w:pPr>
        <w:pStyle w:val="35"/>
        <w:keepNext/>
        <w:keepLines/>
        <w:widowControl/>
        <w:numPr>
          <w:ilvl w:val="1"/>
          <w:numId w:val="8"/>
        </w:numPr>
        <w:spacing w:before="260" w:after="260"/>
        <w:ind w:left="576" w:hanging="576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>
      <w:pPr>
        <w:pStyle w:val="35"/>
        <w:keepNext/>
        <w:keepLines/>
        <w:widowControl/>
        <w:numPr>
          <w:ilvl w:val="1"/>
          <w:numId w:val="8"/>
        </w:numPr>
        <w:spacing w:before="260" w:after="260"/>
        <w:ind w:left="576" w:hanging="576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>
      <w:pPr>
        <w:pStyle w:val="4"/>
        <w:widowControl/>
        <w:numPr>
          <w:ilvl w:val="2"/>
          <w:numId w:val="7"/>
        </w:numPr>
        <w:tabs>
          <w:tab w:val="left" w:pos="576"/>
          <w:tab w:val="clear" w:pos="1430"/>
        </w:tabs>
        <w:spacing w:before="260" w:beforeAutospacing="0" w:after="260" w:afterAutospacing="0" w:line="240" w:lineRule="auto"/>
        <w:ind w:left="720" w:leftChars="0" w:hanging="720" w:firstLineChars="0"/>
        <w:rPr>
          <w:rFonts w:hint="eastAsia"/>
        </w:rPr>
      </w:pPr>
      <w:r>
        <w:rPr>
          <w:rFonts w:hint="eastAsia"/>
        </w:rPr>
        <w:t>软件环境</w:t>
      </w:r>
      <w:bookmarkEnd w:id="21"/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操作系统：</w:t>
      </w:r>
      <w:r>
        <w:rPr>
          <w:rFonts w:hint="eastAsia" w:ascii="宋体" w:hAnsi="宋体"/>
          <w:sz w:val="24"/>
          <w:szCs w:val="24"/>
        </w:rPr>
        <w:t>Windows XP、Windows7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Windows</w:t>
      </w:r>
      <w:r>
        <w:rPr>
          <w:rFonts w:hint="eastAsia" w:ascii="宋体" w:hAnsi="宋体"/>
          <w:sz w:val="24"/>
          <w:szCs w:val="24"/>
          <w:lang w:val="en-US" w:eastAsia="zh-CN"/>
        </w:rPr>
        <w:t>10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Windows</w:t>
      </w:r>
      <w:r>
        <w:rPr>
          <w:rFonts w:hint="eastAsia" w:ascii="宋体" w:hAnsi="宋体"/>
          <w:sz w:val="24"/>
          <w:szCs w:val="24"/>
          <w:lang w:val="en-US" w:eastAsia="zh-CN"/>
        </w:rPr>
        <w:t>11。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浏览器建议：谷歌、IE11以上版本。</w:t>
      </w:r>
    </w:p>
    <w:p>
      <w:pPr>
        <w:pStyle w:val="4"/>
        <w:widowControl/>
        <w:numPr>
          <w:ilvl w:val="2"/>
          <w:numId w:val="7"/>
        </w:numPr>
        <w:tabs>
          <w:tab w:val="left" w:pos="576"/>
          <w:tab w:val="clear" w:pos="1430"/>
        </w:tabs>
        <w:spacing w:before="260" w:beforeAutospacing="0" w:after="260" w:afterAutospacing="0" w:line="240" w:lineRule="auto"/>
        <w:ind w:left="720" w:leftChars="0" w:hanging="720" w:firstLineChars="0"/>
        <w:rPr>
          <w:rFonts w:hint="eastAsia"/>
        </w:rPr>
      </w:pPr>
      <w:bookmarkStart w:id="22" w:name="_Toc236733089"/>
      <w:bookmarkStart w:id="23" w:name="_Toc247620712"/>
      <w:r>
        <w:rPr>
          <w:rFonts w:hint="eastAsia"/>
        </w:rPr>
        <w:t>硬件环境</w:t>
      </w:r>
      <w:bookmarkEnd w:id="22"/>
      <w:bookmarkEnd w:id="23"/>
    </w:p>
    <w:p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X86兼容的PC机。推荐的硬件配置：</w:t>
      </w:r>
    </w:p>
    <w:p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处理器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：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Core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i5</w:t>
      </w:r>
      <w:r>
        <w:rPr>
          <w:rFonts w:hint="eastAsia" w:ascii="Arial" w:hAnsi="Arial" w:cs="Arial"/>
          <w:i w:val="0"/>
          <w:iCs/>
          <w:sz w:val="24"/>
          <w:szCs w:val="24"/>
        </w:rPr>
        <w:t xml:space="preserve"> </w:t>
      </w:r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t>2</w:t>
      </w:r>
      <w:r>
        <w:rPr>
          <w:rFonts w:hint="eastAsia" w:ascii="Arial" w:hAnsi="Arial" w:cs="Arial"/>
          <w:i w:val="0"/>
          <w:iCs/>
          <w:sz w:val="24"/>
          <w:szCs w:val="24"/>
        </w:rPr>
        <w:t>.0GHz 及以上。</w:t>
      </w:r>
    </w:p>
    <w:p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内存：</w:t>
      </w:r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t>4</w:t>
      </w:r>
      <w:bookmarkStart w:id="87" w:name="_GoBack"/>
      <w:bookmarkEnd w:id="87"/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t>G</w:t>
      </w:r>
      <w:r>
        <w:rPr>
          <w:rFonts w:hint="eastAsia" w:ascii="Arial" w:hAnsi="Arial" w:cs="Arial"/>
          <w:i w:val="0"/>
          <w:iCs/>
          <w:sz w:val="24"/>
          <w:szCs w:val="24"/>
        </w:rPr>
        <w:t>B</w:t>
      </w:r>
    </w:p>
    <w:p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彩色显示器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：</w:t>
      </w:r>
      <w:r>
        <w:rPr>
          <w:rFonts w:hint="eastAsia" w:ascii="Arial" w:hAnsi="Arial" w:cs="Arial"/>
          <w:i w:val="0"/>
          <w:iCs/>
          <w:sz w:val="24"/>
          <w:szCs w:val="24"/>
        </w:rPr>
        <w:t>分辨率1024x768。</w:t>
      </w:r>
    </w:p>
    <w:p>
      <w:pPr>
        <w:pStyle w:val="4"/>
        <w:widowControl/>
        <w:numPr>
          <w:ilvl w:val="2"/>
          <w:numId w:val="7"/>
        </w:numPr>
        <w:tabs>
          <w:tab w:val="left" w:pos="576"/>
          <w:tab w:val="clear" w:pos="1430"/>
        </w:tabs>
        <w:spacing w:before="260" w:beforeAutospacing="0" w:after="260" w:afterAutospacing="0" w:line="240" w:lineRule="auto"/>
        <w:ind w:left="720" w:leftChars="0" w:hanging="720" w:firstLineChars="0"/>
        <w:rPr>
          <w:rFonts w:hint="eastAsia"/>
        </w:rPr>
      </w:pPr>
      <w:bookmarkStart w:id="24" w:name="_Toc236733090"/>
      <w:bookmarkStart w:id="25" w:name="_Toc247620713"/>
      <w:r>
        <w:rPr>
          <w:rFonts w:hint="eastAsia"/>
        </w:rPr>
        <w:t>网络环境</w:t>
      </w:r>
      <w:bookmarkEnd w:id="24"/>
      <w:bookmarkEnd w:id="25"/>
    </w:p>
    <w:p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使用系统的过程中，需要通过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互联网</w:t>
      </w:r>
      <w:r>
        <w:rPr>
          <w:rFonts w:hint="eastAsia" w:ascii="Arial" w:hAnsi="Arial" w:cs="Arial"/>
          <w:i w:val="0"/>
          <w:iCs/>
          <w:sz w:val="24"/>
          <w:szCs w:val="24"/>
        </w:rPr>
        <w:t>网络访问集团公司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司库</w:t>
      </w:r>
      <w:r>
        <w:rPr>
          <w:rFonts w:hint="eastAsia" w:ascii="Arial" w:hAnsi="Arial" w:cs="Arial"/>
          <w:i w:val="0"/>
          <w:iCs/>
          <w:sz w:val="24"/>
          <w:szCs w:val="24"/>
        </w:rPr>
        <w:t>的服务器。因此，使用者的电脑必须能够连接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互联网</w:t>
      </w:r>
      <w:r>
        <w:rPr>
          <w:rFonts w:hint="eastAsia" w:ascii="Arial" w:hAnsi="Arial" w:cs="Arial"/>
          <w:i w:val="0"/>
          <w:iCs/>
          <w:sz w:val="24"/>
          <w:szCs w:val="24"/>
        </w:rPr>
        <w:t>。建议网络带宽</w:t>
      </w:r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t>512</w:t>
      </w:r>
      <w:r>
        <w:rPr>
          <w:rFonts w:hint="eastAsia" w:ascii="Arial" w:hAnsi="Arial" w:cs="Arial"/>
          <w:i w:val="0"/>
          <w:iCs/>
          <w:sz w:val="24"/>
          <w:szCs w:val="24"/>
        </w:rPr>
        <w:t>Kbps以上。</w:t>
      </w:r>
    </w:p>
    <w:p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hint="eastAsia" w:ascii="Arial" w:hAnsi="Arial" w:cs="Arial"/>
        </w:rPr>
      </w:pPr>
      <w:bookmarkStart w:id="26" w:name="_Toc247620714"/>
      <w:bookmarkStart w:id="27" w:name="_Toc236733091"/>
      <w:bookmarkStart w:id="28" w:name="_Toc4241"/>
      <w:bookmarkStart w:id="29" w:name="_Toc13278"/>
      <w:r>
        <w:rPr>
          <w:rFonts w:hint="eastAsia" w:ascii="Arial" w:hAnsi="Arial" w:cs="Arial"/>
        </w:rPr>
        <w:t>系统</w:t>
      </w:r>
      <w:bookmarkEnd w:id="26"/>
      <w:bookmarkEnd w:id="27"/>
      <w:r>
        <w:rPr>
          <w:rFonts w:hint="eastAsia" w:ascii="Arial" w:hAnsi="Arial" w:cs="Arial"/>
          <w:lang w:eastAsia="zh-CN"/>
        </w:rPr>
        <w:t>登录</w:t>
      </w:r>
      <w:bookmarkEnd w:id="28"/>
      <w:bookmarkEnd w:id="29"/>
    </w:p>
    <w:p>
      <w:pPr>
        <w:pStyle w:val="35"/>
        <w:keepNext/>
        <w:keepLines/>
        <w:widowControl/>
        <w:numPr>
          <w:ilvl w:val="0"/>
          <w:numId w:val="7"/>
        </w:numPr>
        <w:spacing w:before="260" w:after="260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30" w:name="_Toc309309026"/>
      <w:bookmarkEnd w:id="30"/>
      <w:bookmarkStart w:id="31" w:name="_Toc309309067"/>
      <w:bookmarkEnd w:id="31"/>
      <w:bookmarkStart w:id="32" w:name="_Toc311734362"/>
      <w:bookmarkEnd w:id="32"/>
      <w:bookmarkStart w:id="33" w:name="_Toc236733092"/>
      <w:bookmarkStart w:id="34" w:name="_Toc247620715"/>
    </w:p>
    <w:bookmarkEnd w:id="33"/>
    <w:bookmarkEnd w:id="34"/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240" w:lineRule="auto"/>
      </w:pPr>
      <w:bookmarkStart w:id="35" w:name="_Toc25003"/>
      <w:bookmarkStart w:id="36" w:name="_Toc25195"/>
      <w:r>
        <w:rPr>
          <w:rFonts w:hint="eastAsia"/>
          <w:lang w:eastAsia="zh-CN"/>
        </w:rPr>
        <w:t>登录地址</w:t>
      </w:r>
      <w:bookmarkEnd w:id="35"/>
      <w:bookmarkEnd w:id="36"/>
    </w:p>
    <w:p>
      <w:pPr>
        <w:spacing w:line="360" w:lineRule="auto"/>
        <w:ind w:firstLine="480" w:firstLineChars="200"/>
        <w:rPr>
          <w:rFonts w:hint="eastAsia"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在浏览器输入司库系统访问地址。</w:t>
      </w:r>
    </w:p>
    <w:p>
      <w:pPr>
        <w:spacing w:line="360" w:lineRule="auto"/>
        <w:ind w:firstLine="480" w:firstLineChars="200"/>
        <w:rPr>
          <w:rFonts w:hint="eastAsia" w:ascii="Arial" w:hAnsi="Arial" w:cs="Arial"/>
          <w:i w:val="0"/>
          <w:iCs/>
          <w:sz w:val="24"/>
          <w:szCs w:val="24"/>
        </w:rPr>
      </w:pPr>
      <w:bookmarkStart w:id="37" w:name="_Toc23964"/>
      <w:r>
        <w:rPr>
          <w:rFonts w:hint="eastAsia" w:ascii="Arial" w:hAnsi="Arial" w:cs="Arial"/>
          <w:i w:val="0"/>
          <w:iCs/>
          <w:sz w:val="24"/>
          <w:szCs w:val="24"/>
        </w:rPr>
        <w:t>正式环境：https://trs.avicfc.com.cn/</w:t>
      </w:r>
    </w:p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240" w:lineRule="auto"/>
        <w:ind w:left="567" w:hanging="567"/>
      </w:pPr>
      <w:bookmarkStart w:id="38" w:name="_Toc4378"/>
      <w:r>
        <w:rPr>
          <w:rFonts w:hint="eastAsia"/>
          <w:lang w:eastAsia="zh-CN"/>
        </w:rPr>
        <w:t>登录首页</w:t>
      </w:r>
      <w:bookmarkEnd w:id="37"/>
      <w:bookmarkEnd w:id="38"/>
    </w:p>
    <w:p>
      <w:pPr>
        <w:pStyle w:val="5"/>
        <w:rPr>
          <w:rFonts w:hint="eastAsia"/>
          <w:lang w:eastAsia="zh-CN"/>
        </w:rPr>
      </w:pPr>
      <w:r>
        <w:drawing>
          <wp:inline distT="0" distB="0" distL="114300" distR="114300">
            <wp:extent cx="5395595" cy="2631440"/>
            <wp:effectExtent l="0" t="0" r="1905" b="1016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rcRect l="3312" t="724" r="2871" b="-72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>输入用户名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密码</w:t>
      </w:r>
      <w:r>
        <w:rPr>
          <w:rFonts w:hint="eastAsia" w:ascii="宋体" w:hAnsi="宋体"/>
          <w:sz w:val="24"/>
          <w:szCs w:val="24"/>
          <w:lang w:eastAsia="zh-CN"/>
        </w:rPr>
        <w:t>和验证码（算式的结果）</w:t>
      </w:r>
      <w:r>
        <w:rPr>
          <w:rFonts w:hint="eastAsia" w:ascii="宋体" w:hAnsi="宋体"/>
          <w:sz w:val="24"/>
          <w:szCs w:val="24"/>
        </w:rPr>
        <w:t>后，点击【登录】按钮，进入系统</w:t>
      </w:r>
      <w:r>
        <w:rPr>
          <w:rFonts w:hint="eastAsia" w:ascii="宋体" w:hAnsi="宋体"/>
          <w:sz w:val="24"/>
          <w:szCs w:val="24"/>
          <w:lang w:eastAsia="zh-CN"/>
        </w:rPr>
        <w:t>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密码要求：初始密码为123456。第一次登录系统后修改密码。密码须以字母开头，包含字母、数字、符号，且长度不小于8位。</w:t>
      </w:r>
    </w:p>
    <w:p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hint="eastAsia" w:ascii="Arial" w:hAnsi="Arial" w:cs="Arial"/>
        </w:rPr>
      </w:pPr>
      <w:bookmarkStart w:id="39" w:name="_Toc247620718"/>
      <w:bookmarkStart w:id="40" w:name="_Toc22130"/>
      <w:bookmarkStart w:id="41" w:name="_Toc236733095"/>
      <w:bookmarkStart w:id="42" w:name="_Toc27587"/>
      <w:r>
        <w:rPr>
          <w:rFonts w:hint="eastAsia" w:ascii="Arial" w:hAnsi="Arial" w:cs="Arial"/>
        </w:rPr>
        <w:t>通用功能</w:t>
      </w:r>
      <w:bookmarkEnd w:id="39"/>
      <w:bookmarkEnd w:id="40"/>
      <w:bookmarkEnd w:id="41"/>
      <w:bookmarkEnd w:id="42"/>
    </w:p>
    <w:p>
      <w:pPr>
        <w:pStyle w:val="35"/>
        <w:keepNext/>
        <w:keepLines/>
        <w:widowControl/>
        <w:numPr>
          <w:ilvl w:val="0"/>
          <w:numId w:val="7"/>
        </w:numPr>
        <w:spacing w:before="260" w:after="260" w:line="360" w:lineRule="auto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43" w:name="_Toc311734367"/>
      <w:bookmarkEnd w:id="43"/>
      <w:bookmarkStart w:id="44" w:name="_Toc309309072"/>
      <w:bookmarkEnd w:id="44"/>
      <w:bookmarkStart w:id="45" w:name="_Toc309309031"/>
      <w:bookmarkEnd w:id="45"/>
      <w:bookmarkStart w:id="46" w:name="_Toc247620719"/>
      <w:bookmarkStart w:id="47" w:name="_Toc236733096"/>
    </w:p>
    <w:bookmarkEnd w:id="46"/>
    <w:bookmarkEnd w:id="47"/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360" w:lineRule="auto"/>
        <w:rPr>
          <w:rFonts w:hint="eastAsia"/>
          <w:b w:val="0"/>
          <w:bCs/>
          <w:lang w:val="en-US" w:eastAsia="zh-CN"/>
        </w:rPr>
      </w:pPr>
      <w:bookmarkStart w:id="48" w:name="_Toc28557"/>
      <w:bookmarkStart w:id="49" w:name="_Toc28643"/>
      <w:bookmarkStart w:id="50" w:name="_Toc27992"/>
      <w:r>
        <w:rPr>
          <w:rFonts w:hint="eastAsia"/>
          <w:b w:val="0"/>
          <w:bCs/>
          <w:lang w:val="en-US" w:eastAsia="zh-CN"/>
        </w:rPr>
        <w:t>页面风格</w:t>
      </w:r>
      <w:bookmarkEnd w:id="48"/>
      <w:bookmarkEnd w:id="49"/>
      <w:bookmarkEnd w:id="5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537200" cy="2413000"/>
            <wp:effectExtent l="0" t="0" r="0" b="0"/>
            <wp:docPr id="6" name="图片 6" descr="1670812956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708129561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jc w:val="both"/>
        <w:textAlignment w:val="auto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左侧是“菜单导航栏”。导航栏中显示当前登录用户所具备操作权限的功能菜单。点击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152400" cy="139700"/>
            <wp:effectExtent l="0" t="0" r="0" b="0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按钮可实现菜单栏的展开/收起。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右上方显示当前登录用户及相关操作按钮。</w:t>
      </w:r>
    </w:p>
    <w:tbl>
      <w:tblPr>
        <w:tblStyle w:val="23"/>
        <w:tblW w:w="8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68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shd w:val="clear" w:color="auto" w:fill="DBEEF3"/>
            <w:noWrap w:val="0"/>
            <w:vAlign w:val="top"/>
          </w:tcPr>
          <w:p>
            <w:pPr>
              <w:widowControl w:val="0"/>
              <w:spacing w:line="312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  <w:t>按钮</w:t>
            </w:r>
          </w:p>
        </w:tc>
        <w:tc>
          <w:tcPr>
            <w:tcW w:w="6817" w:type="dxa"/>
            <w:shd w:val="clear" w:color="auto" w:fill="DBEEF3"/>
            <w:noWrap w:val="0"/>
            <w:vAlign w:val="top"/>
          </w:tcPr>
          <w:p>
            <w:pPr>
              <w:widowControl w:val="0"/>
              <w:spacing w:line="312" w:lineRule="auto"/>
              <w:ind w:firstLine="402" w:firstLineChars="20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drawing>
                <wp:inline distT="0" distB="0" distL="114300" distR="114300">
                  <wp:extent cx="285750" cy="222250"/>
                  <wp:effectExtent l="0" t="0" r="6350" b="6350"/>
                  <wp:docPr id="4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按钮右上角红色字体提示未读消息数量。点击该按钮，可查阅本人相关的消息通知。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drawing>
                <wp:inline distT="0" distB="0" distL="114300" distR="114300">
                  <wp:extent cx="3941445" cy="969645"/>
                  <wp:effectExtent l="0" t="0" r="8255" b="8255"/>
                  <wp:docPr id="7" name="图片 7" descr="1670812780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67081278070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445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切换岗位（多岗时）、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修改账号密码、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退出登录</w:t>
            </w:r>
          </w:p>
        </w:tc>
        <w:tc>
          <w:tcPr>
            <w:tcW w:w="681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点击用户头像，可展开下拉菜单，实现：切换岗位（多岗时）、修改账号密码、退出登录。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drawing>
                <wp:inline distT="0" distB="0" distL="114300" distR="114300">
                  <wp:extent cx="1936750" cy="1809750"/>
                  <wp:effectExtent l="0" t="0" r="6350" b="6350"/>
                  <wp:docPr id="44" name="图片 44" descr="1670311822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167031182296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首页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上方区域展现集团所属各公司收入预算、支出预算，包括：年收入预算、月收入计划、收入预算排名。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下方区域展现待办流程，默认显示所以业务类型的待办任务，可通过【全部】、【预算编制】、【预算汇总】、【预算调整】按钮进行切换。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【流程管理】页面展现所有流程的详细信息，可进行精准定位查询。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页签区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同时打开多个功能菜单时，可在页签区同时显示多个页签。点击页签右上角的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209550" cy="152400"/>
            <wp:effectExtent l="0" t="0" r="6350" b="0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按钮，可关闭页签。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默认显示首页页签，且首页页签不允许关闭。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业务操作区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在该区域展示当前功能页签相应的业务操作内容。</w:t>
      </w:r>
    </w:p>
    <w:p>
      <w:pPr>
        <w:spacing w:line="360" w:lineRule="auto"/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  <w:drawing>
          <wp:inline distT="0" distB="0" distL="114300" distR="114300">
            <wp:extent cx="5272405" cy="2266950"/>
            <wp:effectExtent l="0" t="0" r="4445" b="0"/>
            <wp:docPr id="7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每个操作性功能页面基本布局，上方为查询条件，下方为该用户或者该用户所在单位操作的记录。</w:t>
      </w:r>
    </w:p>
    <w:p>
      <w:pPr>
        <w:spacing w:line="360" w:lineRule="auto"/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  <w:drawing>
          <wp:inline distT="0" distB="0" distL="114300" distR="114300">
            <wp:extent cx="5265420" cy="1497330"/>
            <wp:effectExtent l="0" t="0" r="11430" b="7620"/>
            <wp:docPr id="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 w:cs="Microsoft JhengHei Light"/>
          <w:color w:val="auto"/>
          <w:kern w:val="0"/>
          <w:sz w:val="24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 w:val="24"/>
          <w:szCs w:val="24"/>
          <w:lang w:val="en-US" w:eastAsia="zh-CN" w:bidi="en-US"/>
        </w:rPr>
        <w:t>如果查询条件较多，首次进入该功能菜单时，自动隐藏下面的查询条件，点击【展开】后，展示全部查询条件。</w:t>
      </w:r>
    </w:p>
    <w:p>
      <w:pPr>
        <w:spacing w:line="360" w:lineRule="auto"/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  <w:drawing>
          <wp:inline distT="0" distB="0" distL="114300" distR="114300">
            <wp:extent cx="5264785" cy="1845310"/>
            <wp:effectExtent l="0" t="0" r="12065" b="254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widowControl/>
        <w:numPr>
          <w:ilvl w:val="1"/>
          <w:numId w:val="7"/>
        </w:numPr>
        <w:spacing w:before="260" w:beforeAutospacing="0" w:after="260" w:afterAutospacing="0" w:line="360" w:lineRule="auto"/>
        <w:rPr>
          <w:rFonts w:hint="eastAsia"/>
          <w:lang w:val="en-US" w:eastAsia="zh-CN"/>
        </w:rPr>
      </w:pPr>
      <w:bookmarkStart w:id="51" w:name="_Toc8925"/>
      <w:bookmarkStart w:id="52" w:name="_Toc19907"/>
      <w:bookmarkStart w:id="53" w:name="_Toc31207"/>
      <w:r>
        <w:rPr>
          <w:rFonts w:hint="eastAsia"/>
          <w:lang w:val="en-US" w:eastAsia="zh-CN"/>
        </w:rPr>
        <w:t>通用按钮约定</w:t>
      </w:r>
      <w:bookmarkEnd w:id="51"/>
      <w:bookmarkEnd w:id="52"/>
      <w:bookmarkEnd w:id="53"/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【查询】、【搜索】：据查询条件筛选符合条件的业务数据，输入框不特殊说明均为模糊搜索。如果查询条件为空，默认查询所有记录。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【重置】：将查询条件恢复为默认。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【新增】：点击新增按钮，弹出窗口或打开新增页面。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【编辑】：点击编辑按钮，弹出窗口或打开编辑页面，同新增页面，反显原数据信息。除自动生成的编码和新增时即不可编辑的元素外，均可编辑。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【详情】：点击详情按钮，弹出窗口或打开详情页面，同新增页面，反显原数据信息，不能修改。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删除】、【作废】、【停用】：选中单条或多条记录的复选框，可删除、作废或停用已选记录。点击按钮，提示“确定删除/作废/停用所选记录？”。点击确定，删除/作废/停用成功，点击取消，提示“删除/作废/停用失败”。</w:t>
      </w:r>
    </w:p>
    <w:p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【上传】：上传附件功能，为保证系统安全，上传的附件只支持pdf、csv、jpg、png文件格式。</w:t>
      </w:r>
    </w:p>
    <w:p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hint="eastAsia" w:ascii="Arial" w:hAnsi="Arial" w:cs="Arial"/>
        </w:rPr>
      </w:pPr>
      <w:bookmarkStart w:id="54" w:name="_Toc18101"/>
      <w:r>
        <w:rPr>
          <w:rFonts w:hint="eastAsia" w:ascii="Arial" w:hAnsi="Arial" w:cs="Arial"/>
          <w:lang w:val="en-US" w:eastAsia="zh-CN"/>
        </w:rPr>
        <w:t>常见业务场景及操作步骤</w:t>
      </w:r>
      <w:bookmarkEnd w:id="54"/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bookmarkStart w:id="55" w:name="_Toc15448"/>
      <w:bookmarkStart w:id="56" w:name="_Toc29799"/>
      <w:bookmarkStart w:id="57" w:name="_如何编制融资计划"/>
      <w:r>
        <w:rPr>
          <w:rFonts w:hint="eastAsia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  <w:t>如何</w:t>
      </w:r>
      <w:bookmarkEnd w:id="55"/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配置机构管理</w:t>
      </w:r>
      <w:bookmarkEnd w:id="56"/>
    </w:p>
    <w:bookmarkEnd w:id="57"/>
    <w:p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58" w:name="_Toc11342"/>
      <w:bookmarkStart w:id="59" w:name="_Toc6312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  <w:bookmarkEnd w:id="58"/>
      <w:bookmarkEnd w:id="59"/>
    </w:p>
    <w:p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</w:pPr>
      <w:bookmarkStart w:id="60" w:name="_Toc23467"/>
      <w:r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  <w:t>仅系统管理员拥有配置权限。</w:t>
      </w:r>
    </w:p>
    <w:p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  <w:t>机构管理功能主要完成集团组织机构层级信息设置。</w:t>
      </w:r>
    </w:p>
    <w:p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61" w:name="_Toc23440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60"/>
      <w:bookmarkEnd w:id="61"/>
    </w:p>
    <w:p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系统管理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机构管理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62" w:name="_Toc14926"/>
      <w:bookmarkStart w:id="63" w:name="_Toc15125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62"/>
      <w:bookmarkEnd w:id="63"/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机构管理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10175" cy="1716405"/>
            <wp:effectExtent l="0" t="0" r="9525" b="10795"/>
            <wp:docPr id="9" name="图片 9" descr="1671072010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67107201066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第二步，左侧选择要增加下级的组织机构，点击【新增】功能按钮，输入机构名称、机构简称、机构级别、编码、状态、机构分类等信息后。点击【保存】，提示保存成功。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408295" cy="2021205"/>
            <wp:effectExtent l="0" t="0" r="1905" b="10795"/>
            <wp:docPr id="10" name="图片 10" descr="1671072152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7107215214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三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步，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如需修改组织机构信息，点击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左侧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的一个机构，在右侧区域修改对应的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机构名称、机构简称、机构级别、编码、状态、机构分类等信息后。点击【保存】，提示保存成功。</w:t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第四步，如需将整个机构移动到某一个机构下，可选中要移动的机构，点击【机构迁移】按钮，在机构管理-上级机构页面，选中需移动机构的上级机构，点击【确定】按钮，返回初始页面，机构迁移成功。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436235" cy="3119755"/>
            <wp:effectExtent l="0" t="0" r="12065" b="4445"/>
            <wp:docPr id="12" name="图片 12" descr="1671074009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67107400999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新增机构时，可选择该机构级别是属于公司或部门。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机构级别选择“公司”，对应显示“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统一社会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信用代码”字段，可创建该机构的下级机构信息；如在机构下新建部门，点击新增后，机构级别选择“部门”，对应显示“编码”字段，可创建该机构下的部门信息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【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保存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】：保存数据，配置内容即刻生效。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bookmarkStart w:id="64" w:name="_Toc11954"/>
      <w:bookmarkStart w:id="65" w:name="_Toc15892"/>
      <w:bookmarkStart w:id="66" w:name="_如何汇总融资计划"/>
      <w:r>
        <w:rPr>
          <w:rFonts w:hint="eastAsia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  <w:t>如何</w:t>
      </w:r>
      <w:bookmarkEnd w:id="64"/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配置权限管理-角色管理</w:t>
      </w:r>
      <w:bookmarkEnd w:id="65"/>
    </w:p>
    <w:bookmarkEnd w:id="66"/>
    <w:p>
      <w:pPr>
        <w:widowControl w:val="0"/>
        <w:numPr>
          <w:ilvl w:val="2"/>
          <w:numId w:val="14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67" w:name="_Toc21536"/>
      <w:bookmarkStart w:id="68" w:name="_Toc21713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  <w:bookmarkEnd w:id="67"/>
      <w:bookmarkEnd w:id="68"/>
    </w:p>
    <w:p>
      <w:pPr>
        <w:widowControl w:val="0"/>
        <w:spacing w:line="312" w:lineRule="auto"/>
        <w:ind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仅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系统管理员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拥有配置权限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角色管理功能主要完成角色新增、修改、删除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功能，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角色对应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的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资源配置，用以设置不同角色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拥有对应的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菜单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权限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widowControl w:val="0"/>
        <w:numPr>
          <w:ilvl w:val="2"/>
          <w:numId w:val="14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69" w:name="_Toc27090"/>
      <w:bookmarkStart w:id="70" w:name="_Toc6585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69"/>
      <w:bookmarkEnd w:id="70"/>
    </w:p>
    <w:p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系统管理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权限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管理】-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【角色管理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1" w:name="_Toc17000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71"/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角色管理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22240" cy="2094865"/>
            <wp:effectExtent l="0" t="0" r="10160" b="635"/>
            <wp:docPr id="13" name="图片 13" descr="1671074444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67107444497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第二步，点击【新增】，进入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角色管理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新增界面，选择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所属模块：资金预算，填写角色名称，备注，在设置资源权限勾选该角色对应的菜单权限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。点击【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确定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】，提示保存成功。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458460" cy="3245485"/>
            <wp:effectExtent l="0" t="0" r="2540" b="5715"/>
            <wp:docPr id="16" name="图片 16" descr="1671074645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67107464534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根据设置角色的所属模块，树形展示该模块下所有的菜单资源，将需要赋予该角色的菜单资源进行勾选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所属模块：角色设置时，选择所属模块下的菜单权限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【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确定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】：保存数据，配置内容即刻生效，返回配置列表界面。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bookmarkStart w:id="72" w:name="_Toc18451"/>
      <w:r>
        <w:rPr>
          <w:rFonts w:hint="eastAsia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  <w:t>如何</w:t>
      </w:r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配置权限管理-岗位管理</w:t>
      </w:r>
      <w:bookmarkEnd w:id="72"/>
    </w:p>
    <w:p>
      <w:pPr>
        <w:widowControl w:val="0"/>
        <w:numPr>
          <w:ilvl w:val="2"/>
          <w:numId w:val="16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3" w:name="_Toc13184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  <w:bookmarkEnd w:id="73"/>
    </w:p>
    <w:p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  <w:t>仅系统管理员拥有配置权限。</w:t>
      </w:r>
    </w:p>
    <w:p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  <w:t>岗位管理用于设置各机构下不同业务流程对应的岗位信息。</w:t>
      </w:r>
    </w:p>
    <w:p>
      <w:pPr>
        <w:widowControl w:val="0"/>
        <w:numPr>
          <w:ilvl w:val="2"/>
          <w:numId w:val="16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4" w:name="_Toc15324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74"/>
    </w:p>
    <w:p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系统管理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权限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管理】-【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岗位管理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>
      <w:pPr>
        <w:widowControl w:val="0"/>
        <w:numPr>
          <w:ilvl w:val="2"/>
          <w:numId w:val="16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5" w:name="_Toc17169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75"/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岗位管理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97805" cy="2246630"/>
            <wp:effectExtent l="0" t="0" r="10795" b="1270"/>
            <wp:docPr id="17" name="图片 17" descr="167108422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67108422003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第二步，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选择左侧机构树中的一个机构，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点击【新增】，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进入岗位管理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新增界面，选择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“所属模块”为资金预算，填写岗位名称、岗位简称、状态、岗位类型、岗位描述。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确定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，提示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保存成功。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578475" cy="2635885"/>
            <wp:effectExtent l="0" t="0" r="9525" b="5715"/>
            <wp:docPr id="26" name="图片 26" descr="1671084500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67108450054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新增岗位时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需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在机构树中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选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中机构下的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部门，在部门中设置岗位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信息。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首页结果列表：【查看用户】操作，在用户管理配置了岗位信息后，可从此处查看该岗位下的人员信息。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【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确定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】：保存数据，配置内容即刻生效，返回配置列表界面。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【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取消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】：返回配置列表界面。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eastAsia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bookmarkStart w:id="76" w:name="_Toc3078"/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如何配置权限管理-用户管理</w:t>
      </w:r>
      <w:bookmarkEnd w:id="76"/>
    </w:p>
    <w:p>
      <w:pPr>
        <w:widowControl w:val="0"/>
        <w:numPr>
          <w:ilvl w:val="2"/>
          <w:numId w:val="18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7" w:name="_Toc5914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  <w:bookmarkEnd w:id="77"/>
    </w:p>
    <w:p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  <w:t>仅系统管理员拥有配置权限。</w:t>
      </w:r>
    </w:p>
    <w:p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  <w:t>用户管理是用于设置各机构业务操作用户的角色、岗位、数据权限。</w:t>
      </w:r>
    </w:p>
    <w:p>
      <w:pPr>
        <w:widowControl w:val="0"/>
        <w:numPr>
          <w:ilvl w:val="2"/>
          <w:numId w:val="18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8" w:name="_Toc32503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78"/>
    </w:p>
    <w:p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系统管理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权限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管理】-【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用户管理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>
      <w:pPr>
        <w:widowControl w:val="0"/>
        <w:numPr>
          <w:ilvl w:val="2"/>
          <w:numId w:val="18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9" w:name="_Toc15171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79"/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用户管理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349240" cy="1933575"/>
            <wp:effectExtent l="0" t="0" r="10160" b="9525"/>
            <wp:docPr id="27" name="图片 27" descr="1671086034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67108603475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第二步，点击【新增】，在弹出的用户管理新增界面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-基础信息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，填写用户名（此名称为登陆系统时输入的名字）、姓名、员工编号、状态、邮箱、手机号。在右侧新增管辖部门的列表中，勾选该用户需管辖的部门，在左侧已管辖部门中会显示勾选的信息。如果该用户同时管辖多个机构或部门，可通过【是否默认】按钮进行切换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，</w:t>
      </w:r>
      <w:r>
        <w:rPr>
          <w:rFonts w:hint="eastAsia" w:ascii="宋体" w:cs="宋体"/>
          <w:color w:val="FF0000"/>
          <w:kern w:val="0"/>
          <w:sz w:val="24"/>
          <w:szCs w:val="21"/>
          <w:lang w:val="en-US" w:eastAsia="zh-CN" w:bidi="ar-SA"/>
        </w:rPr>
        <w:t>且只能默认到部门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。默认部门，用户登陆时显示该部门对应的业务权限。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drawing>
          <wp:inline distT="0" distB="0" distL="114300" distR="114300">
            <wp:extent cx="5539105" cy="2637790"/>
            <wp:effectExtent l="0" t="0" r="10795" b="3810"/>
            <wp:docPr id="29" name="图片 29" descr="1671087231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6710872314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第三步，在角色设置页面，从下拉列表中选择“资金预算”模块，勾选对应的角色。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Times New Roman" w:eastAsia="宋体" w:cs="宋体"/>
          <w:color w:val="FF0000"/>
          <w:kern w:val="0"/>
          <w:sz w:val="24"/>
          <w:szCs w:val="21"/>
          <w:lang w:val="en-US" w:eastAsia="zh-CN" w:bidi="ar-SA"/>
        </w:rPr>
      </w:pP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此处显示的角色信息取值，是在“角色管理”中设置的相关信息。</w:t>
      </w:r>
      <w:r>
        <w:rPr>
          <w:rFonts w:hint="eastAsia" w:ascii="宋体" w:cs="宋体"/>
          <w:color w:val="FF0000"/>
          <w:kern w:val="0"/>
          <w:sz w:val="24"/>
          <w:szCs w:val="21"/>
          <w:lang w:val="en-US" w:eastAsia="zh-CN" w:bidi="ar-SA"/>
        </w:rPr>
        <w:t>注意：角色配置只能配置到部门才会生效，因为用户切换只能切换不同部门。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default" w:ascii="宋体" w:hAnsi="Times New Roman" w:eastAsia="宋体" w:cs="宋体"/>
          <w:kern w:val="0"/>
          <w:sz w:val="24"/>
          <w:szCs w:val="21"/>
          <w:lang w:val="en-US" w:eastAsia="zh-CN" w:bidi="ar-SA"/>
        </w:rPr>
        <w:drawing>
          <wp:inline distT="0" distB="0" distL="114300" distR="114300">
            <wp:extent cx="5694680" cy="2139950"/>
            <wp:effectExtent l="0" t="0" r="7620" b="6350"/>
            <wp:docPr id="32" name="图片 32" descr="1671087458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67108745837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第三步，在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岗位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设置页面，从下拉列表中选择“资金预算”模块，勾选对应的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岗位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此处显示的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岗位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信息取值，是在“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岗位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管理”中设置的相关信息。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default" w:ascii="宋体" w:hAnsi="Times New Roman" w:eastAsia="宋体" w:cs="宋体"/>
          <w:kern w:val="0"/>
          <w:sz w:val="24"/>
          <w:szCs w:val="21"/>
          <w:lang w:val="en-US" w:eastAsia="zh-CN" w:bidi="ar-SA"/>
        </w:rPr>
        <w:drawing>
          <wp:inline distT="0" distB="0" distL="114300" distR="114300">
            <wp:extent cx="5552440" cy="1633855"/>
            <wp:effectExtent l="0" t="0" r="10160" b="4445"/>
            <wp:docPr id="39" name="图片 39" descr="1671087968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67108796895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四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步，在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数据权限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页面，从下拉列表中选择“资金预算”模块，勾选对应的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数据权限，包括：本企业及下属企业、本企业、本部门、本人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default" w:ascii="宋体" w:hAnsi="Times New Roman" w:eastAsia="宋体" w:cs="宋体"/>
          <w:kern w:val="0"/>
          <w:sz w:val="24"/>
          <w:szCs w:val="21"/>
          <w:lang w:val="en-US" w:eastAsia="zh-CN" w:bidi="ar-SA"/>
        </w:rPr>
        <w:drawing>
          <wp:inline distT="0" distB="0" distL="114300" distR="114300">
            <wp:extent cx="5755005" cy="1882140"/>
            <wp:effectExtent l="0" t="0" r="10795" b="10160"/>
            <wp:docPr id="42" name="图片 42" descr="1671088118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6710881181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重置密码：如用户忘记登陆密码，可通过此功能将密码重置，并将新密码告知登陆用户。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同步：可从门户系统将机构的用户，同步至资金预算系统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调整部门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可将用户调整至其他机构或部门下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【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确定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】：保存数据，配置内容即刻生效，返回配置列表界面。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【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取消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】：返回配置列表界面。</w:t>
      </w:r>
    </w:p>
    <w:bookmarkEnd w:id="6"/>
    <w:p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eastAsia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bookmarkStart w:id="80" w:name="_Toc18282"/>
      <w:bookmarkStart w:id="81" w:name="_Toc15656"/>
      <w:bookmarkStart w:id="82" w:name="_Toc24615"/>
      <w:bookmarkStart w:id="83" w:name="_如何查询业务数据"/>
      <w:r>
        <w:rPr>
          <w:rFonts w:hint="eastAsia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  <w:t>如何</w:t>
      </w:r>
      <w:bookmarkEnd w:id="80"/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配置岗位流程配置</w:t>
      </w:r>
      <w:bookmarkEnd w:id="81"/>
    </w:p>
    <w:p>
      <w:pPr>
        <w:widowControl w:val="0"/>
        <w:numPr>
          <w:ilvl w:val="2"/>
          <w:numId w:val="20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84" w:name="_Toc7114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  <w:bookmarkEnd w:id="84"/>
    </w:p>
    <w:p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  <w:t>仅系统管理员拥有配置权限。</w:t>
      </w:r>
    </w:p>
    <w:p>
      <w:pPr>
        <w:spacing w:line="360" w:lineRule="auto"/>
        <w:ind w:firstLine="480" w:firstLineChars="200"/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32"/>
          <w:highlight w:val="none"/>
          <w:lang w:val="en-US" w:eastAsia="zh-CN"/>
        </w:rPr>
        <w:t>岗位流程配置是系统管理员根据岗位信息自动形成流程模板，将各机构和部门岗位配置到业务流程中。</w:t>
      </w:r>
    </w:p>
    <w:p>
      <w:pPr>
        <w:widowControl w:val="0"/>
        <w:numPr>
          <w:ilvl w:val="2"/>
          <w:numId w:val="20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85" w:name="_Toc30947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85"/>
    </w:p>
    <w:p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系统管理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工作流程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岗位流程配置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>
      <w:pPr>
        <w:widowControl w:val="0"/>
        <w:numPr>
          <w:ilvl w:val="2"/>
          <w:numId w:val="20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86" w:name="_Toc17615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86"/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岗位流程配置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404485" cy="2063750"/>
            <wp:effectExtent l="0" t="0" r="5715" b="6350"/>
            <wp:docPr id="43" name="图片 43" descr="1671089236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6710892362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第二步，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先在组织机构树选中一个机构，在右侧流程根目录中选择需要配置的业务流程，例如选择：预算编制，点击【选择岗位】按钮。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520055" cy="2105025"/>
            <wp:effectExtent l="0" t="0" r="4445" b="3175"/>
            <wp:docPr id="45" name="图片 45" descr="1671089307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167108930718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第三步，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在岗位流程配置页面，在左侧机构树中选中要配置流程的机构或部门，在“全部数据”区域会显示该机构下的岗位信息，勾选需要配置的岗位后，在“已选数据”区域会显示出来。点击【确定】按钮，返回至步骤二的页面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drawing>
          <wp:inline distT="0" distB="0" distL="114300" distR="114300">
            <wp:extent cx="5689600" cy="1945640"/>
            <wp:effectExtent l="0" t="0" r="0" b="10160"/>
            <wp:docPr id="46" name="图片 46" descr="1671089921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67108992147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四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步，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配置岗位的审批页面，例如：资金预算编制岗，通过下拉列表选择该岗位对应的页面为经办人页面。通过上移、下移调整各岗位的顺序，流程从上往下依次执行审批。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drawing>
          <wp:inline distT="0" distB="0" distL="114300" distR="114300">
            <wp:extent cx="5758815" cy="1758950"/>
            <wp:effectExtent l="0" t="0" r="6985" b="6350"/>
            <wp:docPr id="47" name="图片 47" descr="1671090249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67109024927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default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第五步，流程发布，点击【保存并发布】，发布成功后流程生效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。配置的业务流程将按照岗位顺序依次进行流转。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748020" cy="1899285"/>
            <wp:effectExtent l="0" t="0" r="5080" b="5715"/>
            <wp:docPr id="48" name="图片 48" descr="1671090564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67109056475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82"/>
    <w:bookmarkEnd w:id="83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default" w:ascii="宋体" w:hAnsi="Times New Roman" w:eastAsia="宋体" w:cs="宋体"/>
          <w:color w:val="FF0000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color w:val="FF0000"/>
          <w:kern w:val="0"/>
          <w:sz w:val="24"/>
          <w:szCs w:val="21"/>
          <w:lang w:val="en-US" w:eastAsia="zh-CN" w:bidi="ar-SA"/>
        </w:rPr>
        <w:t>第</w:t>
      </w:r>
      <w:r>
        <w:rPr>
          <w:rFonts w:hint="eastAsia" w:ascii="宋体" w:cs="宋体"/>
          <w:color w:val="FF0000"/>
          <w:kern w:val="0"/>
          <w:sz w:val="24"/>
          <w:szCs w:val="21"/>
          <w:lang w:val="en-US" w:eastAsia="zh-CN" w:bidi="ar-SA"/>
        </w:rPr>
        <w:t>六</w:t>
      </w:r>
      <w:r>
        <w:rPr>
          <w:rFonts w:hint="eastAsia" w:ascii="宋体" w:hAnsi="Times New Roman" w:eastAsia="宋体" w:cs="宋体"/>
          <w:color w:val="FF0000"/>
          <w:kern w:val="0"/>
          <w:sz w:val="24"/>
          <w:szCs w:val="21"/>
          <w:lang w:val="en-US" w:eastAsia="zh-CN" w:bidi="ar-SA"/>
        </w:rPr>
        <w:t>步，</w:t>
      </w:r>
      <w:r>
        <w:rPr>
          <w:rFonts w:hint="eastAsia" w:ascii="宋体" w:cs="宋体"/>
          <w:color w:val="FF0000"/>
          <w:kern w:val="0"/>
          <w:sz w:val="24"/>
          <w:szCs w:val="21"/>
          <w:lang w:val="en-US" w:eastAsia="zh-CN" w:bidi="ar-SA"/>
        </w:rPr>
        <w:t>授权规则设置</w:t>
      </w:r>
      <w:r>
        <w:rPr>
          <w:rFonts w:hint="eastAsia" w:ascii="宋体" w:hAnsi="Times New Roman" w:eastAsia="宋体" w:cs="宋体"/>
          <w:color w:val="FF0000"/>
          <w:kern w:val="0"/>
          <w:sz w:val="24"/>
          <w:szCs w:val="21"/>
          <w:lang w:val="en-US" w:eastAsia="zh-CN" w:bidi="ar-SA"/>
        </w:rPr>
        <w:t>，</w:t>
      </w:r>
      <w:r>
        <w:rPr>
          <w:rFonts w:hint="eastAsia" w:ascii="宋体" w:cs="宋体"/>
          <w:color w:val="FF0000"/>
          <w:kern w:val="0"/>
          <w:sz w:val="24"/>
          <w:szCs w:val="21"/>
          <w:lang w:val="en-US" w:eastAsia="zh-CN" w:bidi="ar-SA"/>
        </w:rPr>
        <w:t>可针对预算调整流程设置分级授权规则，满足条件则流程结束或者跳转到其他节点，</w:t>
      </w:r>
      <w:r>
        <w:rPr>
          <w:rFonts w:hint="eastAsia" w:ascii="宋体" w:hAnsi="Times New Roman" w:eastAsia="宋体" w:cs="宋体"/>
          <w:color w:val="FF0000"/>
          <w:kern w:val="0"/>
          <w:sz w:val="24"/>
          <w:szCs w:val="21"/>
          <w:lang w:val="en-US" w:eastAsia="zh-CN" w:bidi="ar-SA"/>
        </w:rPr>
        <w:t>点击【</w:t>
      </w:r>
      <w:r>
        <w:rPr>
          <w:rFonts w:hint="eastAsia" w:ascii="宋体" w:cs="宋体"/>
          <w:color w:val="FF0000"/>
          <w:kern w:val="0"/>
          <w:sz w:val="24"/>
          <w:szCs w:val="21"/>
          <w:lang w:val="en-US" w:eastAsia="zh-CN" w:bidi="ar-SA"/>
        </w:rPr>
        <w:t>授权规则</w:t>
      </w:r>
      <w:r>
        <w:rPr>
          <w:rFonts w:hint="eastAsia" w:ascii="宋体" w:hAnsi="Times New Roman" w:eastAsia="宋体" w:cs="宋体"/>
          <w:color w:val="FF0000"/>
          <w:kern w:val="0"/>
          <w:sz w:val="24"/>
          <w:szCs w:val="21"/>
          <w:lang w:val="en-US" w:eastAsia="zh-CN" w:bidi="ar-SA"/>
        </w:rPr>
        <w:t>】，</w:t>
      </w:r>
      <w:r>
        <w:rPr>
          <w:rFonts w:hint="eastAsia" w:ascii="宋体" w:cs="宋体"/>
          <w:color w:val="FF0000"/>
          <w:kern w:val="0"/>
          <w:sz w:val="24"/>
          <w:szCs w:val="21"/>
          <w:lang w:val="en-US" w:eastAsia="zh-CN" w:bidi="ar-SA"/>
        </w:rPr>
        <w:t>打开授权规则设置界面。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Times New Roman" w:eastAsia="宋体" w:cs="宋体"/>
          <w:color w:val="FF0000"/>
          <w:kern w:val="0"/>
          <w:sz w:val="24"/>
          <w:szCs w:val="21"/>
          <w:lang w:val="en-US" w:eastAsia="zh-CN" w:bidi="ar-SA"/>
        </w:rPr>
      </w:pPr>
      <w:r>
        <w:drawing>
          <wp:inline distT="0" distB="0" distL="114300" distR="114300">
            <wp:extent cx="5753100" cy="3677285"/>
            <wp:effectExtent l="0" t="0" r="0" b="184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在授权规则设置界面点击【新增】。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751830" cy="1576070"/>
            <wp:effectExtent l="0" t="0" r="1270" b="508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在弹出的编辑授权规则界面进行设置。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755005" cy="2246630"/>
            <wp:effectExtent l="0" t="0" r="17145" b="127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设置完成后点击【确定】。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spacing w:before="60" w:after="60"/>
        <w:ind w:left="402" w:leftChars="0"/>
        <w:jc w:val="both"/>
        <w:outlineLvl w:val="3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</w:p>
    <w:sectPr>
      <w:headerReference r:id="rId8" w:type="default"/>
      <w:footerReference r:id="rId9" w:type="default"/>
      <w:pgSz w:w="11906" w:h="16838"/>
      <w:pgMar w:top="1440" w:right="1418" w:bottom="1440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HYQi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 Light">
    <w:panose1 w:val="020B0304030504040204"/>
    <w:charset w:val="88"/>
    <w:family w:val="swiss"/>
    <w:pitch w:val="default"/>
    <w:sig w:usb0="800002A7" w:usb1="28CF4400" w:usb2="00000016" w:usb3="00000000" w:csb0="00100009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tabs>
        <w:tab w:val="center" w:pos="4876"/>
        <w:tab w:val="right" w:pos="9752"/>
        <w:tab w:val="clear" w:pos="4153"/>
        <w:tab w:val="clear" w:pos="8306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xhYO8zAgAAYwQAAA4AAABkcnMvZTJvRG9jLnhtbK1UzY7TMBC+I/EO&#10;lu80aYFVVTVdla2KkCp2pQVxdh2nseQ/2W6T8gDwBpy4cN/n6nPwOWm6aOGwBy7O2DP+Zr5vxplf&#10;t1qRg/BBWlPQ8SinRBhuS2l2Bf38af1qSkmIzJRMWSMKehSBXi9evpg3biYmtraqFJ4AxIRZ4wpa&#10;x+hmWRZ4LTQLI+uEgbOyXrOIrd9lpWcN0LXKJnl+lTXWl85bLkLA6ap30jOifw6grSrJxcryvRYm&#10;9qheKBZBKdTSBbroqq0qweNtVQURiSoomMZuRRLY27Rmizmb7TxzteTnEthzSnjCSTNpkPQCtWKR&#10;kb2Xf0Fpyb0NtoojbnXWE+kUAYtx/kSb+5o50XGB1MFdRA//D5Z/PNx5IsuCvhlTYphGx08/vp9+&#10;Ppx+fSM4g0CNCzPE3TtExvadbTE2w3nAYeLdVl6nLxgR+CHv8SKvaCPh6dJ0Mp3mcHH4hg3ws8fr&#10;zof4XlhNklFQj/51srLDJsQ+dAhJ2YxdS6W6HipDmoJevX6bdxcuHoArgxyJRF9ssmK7bc/MtrY8&#10;gpi3/WwEx9cSyTcsxDvmMQwoGM8l3mKplEUSe7Yoqa3/+q/zFI8ewUtJg+EqqMFbokR9MOgdAONg&#10;+MHYDobZ6xuLaUU7UEtn4oKPajArb/UXvKFlygEXMxyZChoH8yb2A443yMVy2QXtnZe7ur+AyXMs&#10;bsy94ylNEjK45T5CzE7jJFCvylk3zF7XpfM7ScP9576Levw3L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xhYO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0" name="文本框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p+ypgwAgAAYwQAAA4AAABkcnMvZTJvRG9jLnhtbK1US44TMRDdI3EH&#10;y3vSSRCjKEpnFCYKQoqYkQbE2nG705b8k+2kOxwAbsCKDXvOlXPMc38yMLCYBZtO2VV+Ve9VVRbX&#10;jVbkKHyQ1uR0MhpTIgy3hTT7nH76uHk1oyREZgqmrBE5PYlAr5cvXyxqNxdTW1lVCE8AYsK8djmt&#10;YnTzLAu8EpqFkXXCwFlar1nE0e+zwrMa6Fpl0/H4KqutL5y3XISA23XnpD2ifw6gLUvJxdrygxYm&#10;dqheKBZBKVTSBbpsqy1LweNtWQYRicopmMb2iySwd+mbLRdsvvfMVZL3JbDnlPCEk2bSIOkFas0i&#10;Iwcv/4LSknsbbBlH3OqsI9IqAhaT8RNt7ivmRMsFUgd3ET38P1j+4XjniSxy+gaSGKbR8fP3b+cf&#10;v84/vxLcQaDahTni7h0iY/PWNhib4T7gMvFuSq/TLxgR+IF1usgrmkh4ejSbzmZjuDh8wwH42eNz&#10;50N8J6wmycipR/9aWdlxG2IXOoSkbMZupFJtD5UhdU6vXqPkPzwAVwY5Eomu2GTFZtf0zHa2OIGY&#10;t91sBMc3Esm3LMQ75jEMKBjrEm/xKZVFEttblFTWf/nXfYpHj+ClpMZw5dRglyhR7w16B8A4GH4w&#10;doNhDvrGYlonWEPHWxMPfFSDWXqrP2OHVikHXMxwZMppHMyb2A04dpCL1aoNOjgv91X3AJPnWNya&#10;e8dTmiRXcKtDhJitxkmgTpVeN8xe26V+T9Jw/35uox7/G5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Dp+ypg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tabs>
        <w:tab w:val="center" w:pos="4536"/>
        <w:tab w:val="clear" w:pos="4153"/>
      </w:tabs>
      <w:jc w:val="center"/>
      <w:rPr>
        <w:b/>
        <w:bCs/>
        <w:sz w:val="24"/>
        <w:szCs w:val="24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jWXXczAgAAYwQAAA4AAABkcnMvZTJvRG9jLnhtbK1UzY7TMBC+I/EO&#10;lu80bdGuqqrpqmxVhFSxKy2Is+s4TST/yXablAeAN+DEhTvP1efYz07SRQuHPXBxxp7xN/N9M87i&#10;plWSHIXztdE5nYzGlAjNTVHrfU4/f9q8mVHiA9MFk0aLnJ6EpzfL168WjZ2LqamMLIQjANF+3tic&#10;ViHYeZZ5XgnF/MhYoeEsjVMsYOv2WeFYA3Qls+l4fJ01xhXWGS68x+m6c9Ie0b0E0JRlzcXa8IMS&#10;OnSoTkgWQMlXtfV0maotS8HDXVl6EYjMKZiGtCIJ7F1cs+WCzfeO2armfQnsJSU846RYrZH0ArVm&#10;gZGDq/+CUjV3xpsyjLhRWUckKQIWk/EzbR4qZkXiAqm9vYju/x8s/3i8d6Qucno1oUQzhY6ff3w/&#10;//x9/vWN4AwCNdbPEfdgERnad6bF2AznHoeRd1s6Fb9gROCHvKeLvKINhMdLs+lsNoaLwzdsgJ89&#10;XbfOh/fCKBKNnDr0L8nKjlsfutAhJGbTZlNLmXooNWlyev32apwuXDwAlxo5Iomu2GiFdtf2zHam&#10;OIGYM91seMs3NZJvmQ/3zGEYUDCeS7jDUkqDJKa3KKmM+/qv8xiPHsFLSYPhyqnGW6JEftDoHQDD&#10;YLjB2A2GPqhbg2lFO1BLMnHBBTmYpTPqC97QKuaAi2mOTDkNg3kbugHHG+RitUpBB+vqfdVdwORZ&#10;Frb6wfKYJgrp7eoQIGbSOArUqdLrhtlLXerfSRzuP/cp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jWXX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pBdr>
        <w:bottom w:val="single" w:color="auto" w:sz="4" w:space="0"/>
      </w:pBdr>
      <w:jc w:val="center"/>
      <w:rPr>
        <w:szCs w:val="21"/>
        <w:u w:val="single"/>
      </w:rPr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资金收支预算管理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</w:p>
  <w:p>
    <w:r>
      <w:rPr>
        <w:rFonts w:hint="eastAsia"/>
        <w:sz w:val="18"/>
        <w:szCs w:val="18"/>
      </w:rPr>
      <w:t xml:space="preserve">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pBdr>
        <w:bottom w:val="single" w:color="auto" w:sz="4" w:space="0"/>
      </w:pBdr>
      <w:jc w:val="center"/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cs="HYShuSongErKW"/>
        <w:color w:val="000000"/>
        <w:kern w:val="0"/>
        <w:sz w:val="20"/>
        <w:szCs w:val="20"/>
        <w:lang w:val="en-US" w:eastAsia="zh-CN" w:bidi="ar"/>
      </w:rPr>
      <w:t>资金收支预算管理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pBdr>
        <w:bottom w:val="single" w:color="auto" w:sz="4" w:space="0"/>
      </w:pBdr>
      <w:jc w:val="center"/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资金收支预算管理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1A8AC"/>
    <w:multiLevelType w:val="singleLevel"/>
    <w:tmpl w:val="91F1A8AC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746BED4"/>
    <w:multiLevelType w:val="multilevel"/>
    <w:tmpl w:val="9746BED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b w:val="0"/>
        <w:sz w:val="21"/>
        <w:szCs w:val="21"/>
      </w:rPr>
    </w:lvl>
    <w:lvl w:ilvl="1" w:tentative="0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AB219589"/>
    <w:multiLevelType w:val="multilevel"/>
    <w:tmpl w:val="AB219589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3">
    <w:nsid w:val="CB97DA28"/>
    <w:multiLevelType w:val="multilevel"/>
    <w:tmpl w:val="CB97DA28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4">
    <w:nsid w:val="DC0CAF3A"/>
    <w:multiLevelType w:val="multilevel"/>
    <w:tmpl w:val="DC0CAF3A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5">
    <w:nsid w:val="EA4D70AF"/>
    <w:multiLevelType w:val="singleLevel"/>
    <w:tmpl w:val="EA4D70A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00000007"/>
    <w:multiLevelType w:val="multilevel"/>
    <w:tmpl w:val="00000007"/>
    <w:lvl w:ilvl="0" w:tentative="0">
      <w:start w:val="1"/>
      <w:numFmt w:val="japaneseCounting"/>
      <w:pStyle w:val="43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0000002E"/>
    <w:multiLevelType w:val="multilevel"/>
    <w:tmpl w:val="0000002E"/>
    <w:lvl w:ilvl="0" w:tentative="0">
      <w:start w:val="1"/>
      <w:numFmt w:val="chineseCountingThousand"/>
      <w:lvlText w:val="第%1章"/>
      <w:lvlJc w:val="left"/>
      <w:pPr>
        <w:tabs>
          <w:tab w:val="left" w:pos="1673"/>
        </w:tabs>
        <w:ind w:left="426" w:firstLine="0"/>
      </w:pPr>
      <w:rPr>
        <w:rFonts w:hint="eastAsia"/>
        <w:lang w:val="en-US"/>
      </w:rPr>
    </w:lvl>
    <w:lvl w:ilvl="1" w:tentative="0">
      <w:start w:val="1"/>
      <w:numFmt w:val="decimal"/>
      <w:pStyle w:val="49"/>
      <w:isLgl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46"/>
      <w:isLgl/>
      <w:lvlText w:val="%1.%2.%3"/>
      <w:lvlJc w:val="left"/>
      <w:pPr>
        <w:tabs>
          <w:tab w:val="left" w:pos="709"/>
        </w:tabs>
        <w:ind w:left="0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936"/>
        </w:tabs>
        <w:ind w:left="0" w:firstLine="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162"/>
        </w:tabs>
        <w:ind w:left="0" w:firstLine="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389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8">
    <w:nsid w:val="08B009D6"/>
    <w:multiLevelType w:val="multilevel"/>
    <w:tmpl w:val="08B009D6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30"/>
        </w:tabs>
        <w:ind w:left="1430" w:hanging="72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857"/>
        </w:tabs>
        <w:ind w:left="1857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9">
    <w:nsid w:val="09755C3E"/>
    <w:multiLevelType w:val="singleLevel"/>
    <w:tmpl w:val="09755C3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1BD98C2F"/>
    <w:multiLevelType w:val="singleLevel"/>
    <w:tmpl w:val="1BD98C2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33332025"/>
    <w:multiLevelType w:val="singleLevel"/>
    <w:tmpl w:val="3333202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3DF23FE5"/>
    <w:multiLevelType w:val="singleLevel"/>
    <w:tmpl w:val="3DF23FE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441FBE9B"/>
    <w:multiLevelType w:val="multilevel"/>
    <w:tmpl w:val="441FBE9B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4">
    <w:nsid w:val="63E64672"/>
    <w:multiLevelType w:val="multilevel"/>
    <w:tmpl w:val="63E64672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5">
    <w:nsid w:val="6B98488A"/>
    <w:multiLevelType w:val="multilevel"/>
    <w:tmpl w:val="6B98488A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6">
    <w:nsid w:val="6CB11212"/>
    <w:multiLevelType w:val="multilevel"/>
    <w:tmpl w:val="6CB11212"/>
    <w:lvl w:ilvl="0" w:tentative="0">
      <w:start w:val="1"/>
      <w:numFmt w:val="bullet"/>
      <w:pStyle w:val="7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7">
    <w:nsid w:val="78BD8ED9"/>
    <w:multiLevelType w:val="singleLevel"/>
    <w:tmpl w:val="78BD8ED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8">
    <w:nsid w:val="7DB71245"/>
    <w:multiLevelType w:val="singleLevel"/>
    <w:tmpl w:val="7DB712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>
    <w:nsid w:val="7E500ACD"/>
    <w:multiLevelType w:val="multilevel"/>
    <w:tmpl w:val="7E500AC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b w:val="0"/>
        <w:sz w:val="21"/>
        <w:szCs w:val="21"/>
      </w:rPr>
    </w:lvl>
    <w:lvl w:ilvl="1" w:tentative="0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8"/>
  </w:num>
  <w:num w:numId="2">
    <w:abstractNumId w:val="16"/>
  </w:num>
  <w:num w:numId="3">
    <w:abstractNumId w:val="6"/>
  </w:num>
  <w:num w:numId="4">
    <w:abstractNumId w:val="7"/>
  </w:num>
  <w:num w:numId="5">
    <w:abstractNumId w:val="5"/>
  </w:num>
  <w:num w:numId="6">
    <w:abstractNumId w:val="19"/>
  </w:num>
  <w:num w:numId="7">
    <w:abstractNumId w:val="1"/>
  </w:num>
  <w:num w:numId="8">
    <w:abstractNumId w:val="14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decimal"/>
        <w:lvlText w:val=""/>
        <w:lvlJc w:val="left"/>
      </w:lvl>
    </w:lvlOverride>
    <w:lvlOverride w:ilvl="2">
      <w:lvl w:ilvl="2" w:tentative="1">
        <w:start w:val="1"/>
        <w:numFmt w:val="decimal"/>
        <w:lvlText w:val="%1.%2.%3"/>
        <w:lvlJc w:val="left"/>
        <w:pPr>
          <w:tabs>
            <w:tab w:val="left" w:pos="851"/>
          </w:tabs>
          <w:ind w:left="851" w:hanging="709"/>
        </w:pPr>
        <w:rPr>
          <w:rFonts w:hint="eastAsia"/>
        </w:rPr>
      </w:lvl>
    </w:lvlOverride>
  </w:num>
  <w:num w:numId="9">
    <w:abstractNumId w:val="12"/>
  </w:num>
  <w:num w:numId="10">
    <w:abstractNumId w:val="17"/>
  </w:num>
  <w:num w:numId="11">
    <w:abstractNumId w:val="15"/>
  </w:num>
  <w:num w:numId="12">
    <w:abstractNumId w:val="0"/>
  </w:num>
  <w:num w:numId="13">
    <w:abstractNumId w:val="18"/>
  </w:num>
  <w:num w:numId="14">
    <w:abstractNumId w:val="3"/>
  </w:num>
  <w:num w:numId="15">
    <w:abstractNumId w:val="11"/>
  </w:num>
  <w:num w:numId="16">
    <w:abstractNumId w:val="2"/>
  </w:num>
  <w:num w:numId="17">
    <w:abstractNumId w:val="9"/>
  </w:num>
  <w:num w:numId="18">
    <w:abstractNumId w:val="13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NkNDFjMmFiZDJlMWY3NDE2NzgyMDE1NDYwODE2NmYifQ=="/>
  </w:docVars>
  <w:rsids>
    <w:rsidRoot w:val="275A7A4D"/>
    <w:rsid w:val="0000753F"/>
    <w:rsid w:val="00007A23"/>
    <w:rsid w:val="00013842"/>
    <w:rsid w:val="0001521D"/>
    <w:rsid w:val="00016EFD"/>
    <w:rsid w:val="00017273"/>
    <w:rsid w:val="000360AB"/>
    <w:rsid w:val="00037697"/>
    <w:rsid w:val="00040952"/>
    <w:rsid w:val="0004289B"/>
    <w:rsid w:val="00050956"/>
    <w:rsid w:val="0005165A"/>
    <w:rsid w:val="0005393A"/>
    <w:rsid w:val="00060396"/>
    <w:rsid w:val="0006195B"/>
    <w:rsid w:val="0006629B"/>
    <w:rsid w:val="00076E15"/>
    <w:rsid w:val="00076E49"/>
    <w:rsid w:val="00077787"/>
    <w:rsid w:val="000809F9"/>
    <w:rsid w:val="0008222A"/>
    <w:rsid w:val="00082786"/>
    <w:rsid w:val="00083FAA"/>
    <w:rsid w:val="00084B1A"/>
    <w:rsid w:val="000A3752"/>
    <w:rsid w:val="000A5C4E"/>
    <w:rsid w:val="000A76C4"/>
    <w:rsid w:val="000B3207"/>
    <w:rsid w:val="000B460C"/>
    <w:rsid w:val="000B7596"/>
    <w:rsid w:val="000C0240"/>
    <w:rsid w:val="000C0AB3"/>
    <w:rsid w:val="000C0D9A"/>
    <w:rsid w:val="000C4DA3"/>
    <w:rsid w:val="000C5488"/>
    <w:rsid w:val="000D3D22"/>
    <w:rsid w:val="000D400F"/>
    <w:rsid w:val="000D6DF0"/>
    <w:rsid w:val="000E0295"/>
    <w:rsid w:val="000E6F26"/>
    <w:rsid w:val="000F3255"/>
    <w:rsid w:val="00101F45"/>
    <w:rsid w:val="00103977"/>
    <w:rsid w:val="00107E67"/>
    <w:rsid w:val="001146CE"/>
    <w:rsid w:val="0011559B"/>
    <w:rsid w:val="00117300"/>
    <w:rsid w:val="00125A3E"/>
    <w:rsid w:val="00130109"/>
    <w:rsid w:val="00132CCE"/>
    <w:rsid w:val="00135B0F"/>
    <w:rsid w:val="001424F0"/>
    <w:rsid w:val="00156023"/>
    <w:rsid w:val="001620C8"/>
    <w:rsid w:val="001628B7"/>
    <w:rsid w:val="0016387F"/>
    <w:rsid w:val="00163990"/>
    <w:rsid w:val="001651DA"/>
    <w:rsid w:val="0016572D"/>
    <w:rsid w:val="00170161"/>
    <w:rsid w:val="001752DE"/>
    <w:rsid w:val="001818F4"/>
    <w:rsid w:val="00184801"/>
    <w:rsid w:val="00184F8E"/>
    <w:rsid w:val="001955C1"/>
    <w:rsid w:val="001A26D2"/>
    <w:rsid w:val="001A53D5"/>
    <w:rsid w:val="001A691E"/>
    <w:rsid w:val="001B1491"/>
    <w:rsid w:val="001B1D5D"/>
    <w:rsid w:val="001B2A7F"/>
    <w:rsid w:val="001B3CE6"/>
    <w:rsid w:val="001B5341"/>
    <w:rsid w:val="001C7D7E"/>
    <w:rsid w:val="001D0CB3"/>
    <w:rsid w:val="001D5044"/>
    <w:rsid w:val="001E4BCA"/>
    <w:rsid w:val="001E68E1"/>
    <w:rsid w:val="001F1436"/>
    <w:rsid w:val="001F2F76"/>
    <w:rsid w:val="00203735"/>
    <w:rsid w:val="002054A6"/>
    <w:rsid w:val="00207267"/>
    <w:rsid w:val="002108E0"/>
    <w:rsid w:val="00213212"/>
    <w:rsid w:val="00220C34"/>
    <w:rsid w:val="00222014"/>
    <w:rsid w:val="002227B2"/>
    <w:rsid w:val="00226D0E"/>
    <w:rsid w:val="00235D2C"/>
    <w:rsid w:val="00246E44"/>
    <w:rsid w:val="002526FD"/>
    <w:rsid w:val="00253636"/>
    <w:rsid w:val="00255BBB"/>
    <w:rsid w:val="00261AB5"/>
    <w:rsid w:val="00263D80"/>
    <w:rsid w:val="00266826"/>
    <w:rsid w:val="002670BF"/>
    <w:rsid w:val="00271A31"/>
    <w:rsid w:val="00277519"/>
    <w:rsid w:val="00281D43"/>
    <w:rsid w:val="002837CE"/>
    <w:rsid w:val="0028685F"/>
    <w:rsid w:val="00287A5C"/>
    <w:rsid w:val="0029536F"/>
    <w:rsid w:val="002A00C9"/>
    <w:rsid w:val="002A3885"/>
    <w:rsid w:val="002B0F6A"/>
    <w:rsid w:val="002B53FA"/>
    <w:rsid w:val="002B721A"/>
    <w:rsid w:val="002C7039"/>
    <w:rsid w:val="002D18BC"/>
    <w:rsid w:val="002D2C03"/>
    <w:rsid w:val="002D34E1"/>
    <w:rsid w:val="002D67CA"/>
    <w:rsid w:val="002E09BC"/>
    <w:rsid w:val="002E5548"/>
    <w:rsid w:val="002E7A7F"/>
    <w:rsid w:val="002E7E95"/>
    <w:rsid w:val="002F4B37"/>
    <w:rsid w:val="00301907"/>
    <w:rsid w:val="00302A68"/>
    <w:rsid w:val="00307FEC"/>
    <w:rsid w:val="00310DE2"/>
    <w:rsid w:val="00310F02"/>
    <w:rsid w:val="0032047A"/>
    <w:rsid w:val="00320760"/>
    <w:rsid w:val="003223B4"/>
    <w:rsid w:val="00322F50"/>
    <w:rsid w:val="00322F5A"/>
    <w:rsid w:val="00330014"/>
    <w:rsid w:val="00340019"/>
    <w:rsid w:val="00340AB2"/>
    <w:rsid w:val="00342004"/>
    <w:rsid w:val="0034256E"/>
    <w:rsid w:val="00352DBB"/>
    <w:rsid w:val="00356692"/>
    <w:rsid w:val="0036468C"/>
    <w:rsid w:val="00364C7C"/>
    <w:rsid w:val="0037054C"/>
    <w:rsid w:val="00373F12"/>
    <w:rsid w:val="003746BB"/>
    <w:rsid w:val="003839FD"/>
    <w:rsid w:val="003855FD"/>
    <w:rsid w:val="003865EF"/>
    <w:rsid w:val="00387D9B"/>
    <w:rsid w:val="00391438"/>
    <w:rsid w:val="003914C8"/>
    <w:rsid w:val="003929CB"/>
    <w:rsid w:val="003A2311"/>
    <w:rsid w:val="003A6E37"/>
    <w:rsid w:val="003A7728"/>
    <w:rsid w:val="003B139B"/>
    <w:rsid w:val="003B7374"/>
    <w:rsid w:val="003C0B02"/>
    <w:rsid w:val="003C3C3E"/>
    <w:rsid w:val="003C7E2B"/>
    <w:rsid w:val="003D1F52"/>
    <w:rsid w:val="003D1FAD"/>
    <w:rsid w:val="003D24F8"/>
    <w:rsid w:val="003D2706"/>
    <w:rsid w:val="003E04F9"/>
    <w:rsid w:val="003E18BD"/>
    <w:rsid w:val="003E3718"/>
    <w:rsid w:val="003E7130"/>
    <w:rsid w:val="003F0256"/>
    <w:rsid w:val="003F40BF"/>
    <w:rsid w:val="003F40E5"/>
    <w:rsid w:val="003F45B0"/>
    <w:rsid w:val="003F7C0B"/>
    <w:rsid w:val="00401F87"/>
    <w:rsid w:val="004020B6"/>
    <w:rsid w:val="00402E98"/>
    <w:rsid w:val="00403866"/>
    <w:rsid w:val="00403D06"/>
    <w:rsid w:val="00410FFC"/>
    <w:rsid w:val="00412B93"/>
    <w:rsid w:val="00415D74"/>
    <w:rsid w:val="00421FB2"/>
    <w:rsid w:val="00422A46"/>
    <w:rsid w:val="004252B6"/>
    <w:rsid w:val="004270C4"/>
    <w:rsid w:val="00427B11"/>
    <w:rsid w:val="00435E93"/>
    <w:rsid w:val="00442F50"/>
    <w:rsid w:val="00446328"/>
    <w:rsid w:val="00457E6C"/>
    <w:rsid w:val="00460347"/>
    <w:rsid w:val="004633AD"/>
    <w:rsid w:val="00463411"/>
    <w:rsid w:val="00467551"/>
    <w:rsid w:val="004721AB"/>
    <w:rsid w:val="004762F0"/>
    <w:rsid w:val="0048045F"/>
    <w:rsid w:val="00490B33"/>
    <w:rsid w:val="00490E29"/>
    <w:rsid w:val="0049483A"/>
    <w:rsid w:val="00496DDA"/>
    <w:rsid w:val="004978FC"/>
    <w:rsid w:val="00497AE7"/>
    <w:rsid w:val="004A05E5"/>
    <w:rsid w:val="004A129A"/>
    <w:rsid w:val="004A1E37"/>
    <w:rsid w:val="004A2569"/>
    <w:rsid w:val="004A5344"/>
    <w:rsid w:val="004B5A7B"/>
    <w:rsid w:val="004B62A8"/>
    <w:rsid w:val="004B687F"/>
    <w:rsid w:val="004B7F0A"/>
    <w:rsid w:val="004C6111"/>
    <w:rsid w:val="004C7A39"/>
    <w:rsid w:val="004D01B8"/>
    <w:rsid w:val="004D1236"/>
    <w:rsid w:val="004D1C6F"/>
    <w:rsid w:val="004D2FDE"/>
    <w:rsid w:val="004E3796"/>
    <w:rsid w:val="004E3E5E"/>
    <w:rsid w:val="004E56D9"/>
    <w:rsid w:val="004F1DBA"/>
    <w:rsid w:val="005033EE"/>
    <w:rsid w:val="00503B73"/>
    <w:rsid w:val="00513A44"/>
    <w:rsid w:val="00514D2F"/>
    <w:rsid w:val="005150AE"/>
    <w:rsid w:val="00520607"/>
    <w:rsid w:val="00524311"/>
    <w:rsid w:val="00525B01"/>
    <w:rsid w:val="00533562"/>
    <w:rsid w:val="00533B0A"/>
    <w:rsid w:val="00535D45"/>
    <w:rsid w:val="005372C2"/>
    <w:rsid w:val="00542FB4"/>
    <w:rsid w:val="00543C47"/>
    <w:rsid w:val="005452D9"/>
    <w:rsid w:val="00551B48"/>
    <w:rsid w:val="005520B8"/>
    <w:rsid w:val="00554911"/>
    <w:rsid w:val="0056742F"/>
    <w:rsid w:val="00574C42"/>
    <w:rsid w:val="00585B22"/>
    <w:rsid w:val="005933FD"/>
    <w:rsid w:val="00593A2F"/>
    <w:rsid w:val="00594827"/>
    <w:rsid w:val="00595069"/>
    <w:rsid w:val="00596991"/>
    <w:rsid w:val="005A02E3"/>
    <w:rsid w:val="005A3C08"/>
    <w:rsid w:val="005B104C"/>
    <w:rsid w:val="005B390D"/>
    <w:rsid w:val="005B4C16"/>
    <w:rsid w:val="005C45F8"/>
    <w:rsid w:val="005C5ACA"/>
    <w:rsid w:val="005D05A9"/>
    <w:rsid w:val="005E2130"/>
    <w:rsid w:val="005E3686"/>
    <w:rsid w:val="005E7835"/>
    <w:rsid w:val="005F0740"/>
    <w:rsid w:val="005F19E3"/>
    <w:rsid w:val="005F3576"/>
    <w:rsid w:val="005F53E2"/>
    <w:rsid w:val="005F5C5A"/>
    <w:rsid w:val="00604E4C"/>
    <w:rsid w:val="00606D24"/>
    <w:rsid w:val="00606F42"/>
    <w:rsid w:val="00611184"/>
    <w:rsid w:val="006116C2"/>
    <w:rsid w:val="00613F30"/>
    <w:rsid w:val="006168B0"/>
    <w:rsid w:val="0062233B"/>
    <w:rsid w:val="00622957"/>
    <w:rsid w:val="00623B82"/>
    <w:rsid w:val="00623E7A"/>
    <w:rsid w:val="00624E4F"/>
    <w:rsid w:val="00625883"/>
    <w:rsid w:val="00627F74"/>
    <w:rsid w:val="006304EE"/>
    <w:rsid w:val="0063126E"/>
    <w:rsid w:val="0063492B"/>
    <w:rsid w:val="00635A17"/>
    <w:rsid w:val="00637452"/>
    <w:rsid w:val="00641B30"/>
    <w:rsid w:val="006477AD"/>
    <w:rsid w:val="00651F00"/>
    <w:rsid w:val="00652395"/>
    <w:rsid w:val="00652616"/>
    <w:rsid w:val="00652A94"/>
    <w:rsid w:val="00653280"/>
    <w:rsid w:val="006557AC"/>
    <w:rsid w:val="0065624B"/>
    <w:rsid w:val="00657739"/>
    <w:rsid w:val="00661B41"/>
    <w:rsid w:val="00662E84"/>
    <w:rsid w:val="00670112"/>
    <w:rsid w:val="00670ADC"/>
    <w:rsid w:val="006710E3"/>
    <w:rsid w:val="006713CD"/>
    <w:rsid w:val="006806D3"/>
    <w:rsid w:val="0068089A"/>
    <w:rsid w:val="00682EB6"/>
    <w:rsid w:val="00682F60"/>
    <w:rsid w:val="0068454C"/>
    <w:rsid w:val="006847E6"/>
    <w:rsid w:val="006863DB"/>
    <w:rsid w:val="0069583C"/>
    <w:rsid w:val="0069662B"/>
    <w:rsid w:val="006A1DE5"/>
    <w:rsid w:val="006A22D3"/>
    <w:rsid w:val="006A2A0C"/>
    <w:rsid w:val="006A2C14"/>
    <w:rsid w:val="006A30A9"/>
    <w:rsid w:val="006B2DD2"/>
    <w:rsid w:val="006B3595"/>
    <w:rsid w:val="006B5598"/>
    <w:rsid w:val="006C08D3"/>
    <w:rsid w:val="006C1E04"/>
    <w:rsid w:val="006C2CDE"/>
    <w:rsid w:val="006E2134"/>
    <w:rsid w:val="006E57D6"/>
    <w:rsid w:val="006E685D"/>
    <w:rsid w:val="006F1DA8"/>
    <w:rsid w:val="006F3F78"/>
    <w:rsid w:val="006F66D3"/>
    <w:rsid w:val="006F71F7"/>
    <w:rsid w:val="00703817"/>
    <w:rsid w:val="00705C98"/>
    <w:rsid w:val="00707285"/>
    <w:rsid w:val="007109D9"/>
    <w:rsid w:val="00713E6A"/>
    <w:rsid w:val="0071766A"/>
    <w:rsid w:val="007205A3"/>
    <w:rsid w:val="007207C0"/>
    <w:rsid w:val="00722A39"/>
    <w:rsid w:val="00723848"/>
    <w:rsid w:val="007273D3"/>
    <w:rsid w:val="00732AB7"/>
    <w:rsid w:val="007354B2"/>
    <w:rsid w:val="00736414"/>
    <w:rsid w:val="0074360F"/>
    <w:rsid w:val="007464A2"/>
    <w:rsid w:val="00746DC7"/>
    <w:rsid w:val="00747ABC"/>
    <w:rsid w:val="00750A21"/>
    <w:rsid w:val="00751DA1"/>
    <w:rsid w:val="0075302C"/>
    <w:rsid w:val="00756F99"/>
    <w:rsid w:val="00762B4E"/>
    <w:rsid w:val="00766475"/>
    <w:rsid w:val="00770B3D"/>
    <w:rsid w:val="00773C2F"/>
    <w:rsid w:val="007754CC"/>
    <w:rsid w:val="007954F4"/>
    <w:rsid w:val="007A0FC6"/>
    <w:rsid w:val="007A25DF"/>
    <w:rsid w:val="007A6C8E"/>
    <w:rsid w:val="007B0DE2"/>
    <w:rsid w:val="007B24A3"/>
    <w:rsid w:val="007B2647"/>
    <w:rsid w:val="007B3865"/>
    <w:rsid w:val="007B546D"/>
    <w:rsid w:val="007C0D35"/>
    <w:rsid w:val="007C10A4"/>
    <w:rsid w:val="007D229F"/>
    <w:rsid w:val="007D487F"/>
    <w:rsid w:val="007D648F"/>
    <w:rsid w:val="007E1C02"/>
    <w:rsid w:val="007E6190"/>
    <w:rsid w:val="007E67AD"/>
    <w:rsid w:val="007E7352"/>
    <w:rsid w:val="00801841"/>
    <w:rsid w:val="00804130"/>
    <w:rsid w:val="008060CB"/>
    <w:rsid w:val="008061FB"/>
    <w:rsid w:val="0081417D"/>
    <w:rsid w:val="00816346"/>
    <w:rsid w:val="0081774E"/>
    <w:rsid w:val="008213DD"/>
    <w:rsid w:val="0082386C"/>
    <w:rsid w:val="008278A4"/>
    <w:rsid w:val="00831E78"/>
    <w:rsid w:val="008352BB"/>
    <w:rsid w:val="0083652E"/>
    <w:rsid w:val="00836D12"/>
    <w:rsid w:val="008408BE"/>
    <w:rsid w:val="00841C0D"/>
    <w:rsid w:val="008462D6"/>
    <w:rsid w:val="00846B13"/>
    <w:rsid w:val="00854EA0"/>
    <w:rsid w:val="008576E0"/>
    <w:rsid w:val="00862E5A"/>
    <w:rsid w:val="00863AC9"/>
    <w:rsid w:val="008673A3"/>
    <w:rsid w:val="0087297F"/>
    <w:rsid w:val="00886904"/>
    <w:rsid w:val="00891BA4"/>
    <w:rsid w:val="008A04A1"/>
    <w:rsid w:val="008A7EDE"/>
    <w:rsid w:val="008B1457"/>
    <w:rsid w:val="008B5320"/>
    <w:rsid w:val="008B57CD"/>
    <w:rsid w:val="008C69AC"/>
    <w:rsid w:val="008C79D2"/>
    <w:rsid w:val="008D059F"/>
    <w:rsid w:val="008D19FF"/>
    <w:rsid w:val="008E39C0"/>
    <w:rsid w:val="008E64FA"/>
    <w:rsid w:val="008E6EDE"/>
    <w:rsid w:val="008F06CA"/>
    <w:rsid w:val="008F43B1"/>
    <w:rsid w:val="008F4E09"/>
    <w:rsid w:val="008F574F"/>
    <w:rsid w:val="00901CB4"/>
    <w:rsid w:val="00901DBF"/>
    <w:rsid w:val="00901E8C"/>
    <w:rsid w:val="009025E6"/>
    <w:rsid w:val="00906C34"/>
    <w:rsid w:val="00913AA5"/>
    <w:rsid w:val="00913BD0"/>
    <w:rsid w:val="0091644E"/>
    <w:rsid w:val="00916D1A"/>
    <w:rsid w:val="00917807"/>
    <w:rsid w:val="00930FB0"/>
    <w:rsid w:val="0093182C"/>
    <w:rsid w:val="00943D4E"/>
    <w:rsid w:val="0094682B"/>
    <w:rsid w:val="00950EED"/>
    <w:rsid w:val="00953A0B"/>
    <w:rsid w:val="00953EA4"/>
    <w:rsid w:val="00956556"/>
    <w:rsid w:val="00971D02"/>
    <w:rsid w:val="00980602"/>
    <w:rsid w:val="00980C75"/>
    <w:rsid w:val="0098161C"/>
    <w:rsid w:val="009861ED"/>
    <w:rsid w:val="009869A2"/>
    <w:rsid w:val="0099036B"/>
    <w:rsid w:val="009916C4"/>
    <w:rsid w:val="009A0BDA"/>
    <w:rsid w:val="009A16EC"/>
    <w:rsid w:val="009B3E93"/>
    <w:rsid w:val="009C09F6"/>
    <w:rsid w:val="009C2DC9"/>
    <w:rsid w:val="009C6C00"/>
    <w:rsid w:val="009C6E30"/>
    <w:rsid w:val="009C7442"/>
    <w:rsid w:val="009D24B2"/>
    <w:rsid w:val="009D7822"/>
    <w:rsid w:val="009E088B"/>
    <w:rsid w:val="009E284A"/>
    <w:rsid w:val="009E3A9F"/>
    <w:rsid w:val="009E3DB6"/>
    <w:rsid w:val="009E3DD2"/>
    <w:rsid w:val="009E7155"/>
    <w:rsid w:val="009F313F"/>
    <w:rsid w:val="00A00C68"/>
    <w:rsid w:val="00A00F87"/>
    <w:rsid w:val="00A03E1D"/>
    <w:rsid w:val="00A103AE"/>
    <w:rsid w:val="00A11327"/>
    <w:rsid w:val="00A13FDB"/>
    <w:rsid w:val="00A1511B"/>
    <w:rsid w:val="00A15E6E"/>
    <w:rsid w:val="00A226AD"/>
    <w:rsid w:val="00A24E31"/>
    <w:rsid w:val="00A274C3"/>
    <w:rsid w:val="00A31093"/>
    <w:rsid w:val="00A31169"/>
    <w:rsid w:val="00A33386"/>
    <w:rsid w:val="00A44976"/>
    <w:rsid w:val="00A45784"/>
    <w:rsid w:val="00A458FB"/>
    <w:rsid w:val="00A50C6B"/>
    <w:rsid w:val="00A5455F"/>
    <w:rsid w:val="00A55AA2"/>
    <w:rsid w:val="00A61A20"/>
    <w:rsid w:val="00A6242D"/>
    <w:rsid w:val="00A63FA2"/>
    <w:rsid w:val="00A642D2"/>
    <w:rsid w:val="00A644CC"/>
    <w:rsid w:val="00A703AC"/>
    <w:rsid w:val="00A72418"/>
    <w:rsid w:val="00A73AD5"/>
    <w:rsid w:val="00A757CF"/>
    <w:rsid w:val="00A75CDD"/>
    <w:rsid w:val="00A833BF"/>
    <w:rsid w:val="00A870F0"/>
    <w:rsid w:val="00A9447D"/>
    <w:rsid w:val="00A95A14"/>
    <w:rsid w:val="00AA1FCC"/>
    <w:rsid w:val="00AB0888"/>
    <w:rsid w:val="00AB1398"/>
    <w:rsid w:val="00AB1DA0"/>
    <w:rsid w:val="00AB2B00"/>
    <w:rsid w:val="00AB7274"/>
    <w:rsid w:val="00AB7865"/>
    <w:rsid w:val="00AC1856"/>
    <w:rsid w:val="00AC295B"/>
    <w:rsid w:val="00AC3003"/>
    <w:rsid w:val="00AC469F"/>
    <w:rsid w:val="00AD1450"/>
    <w:rsid w:val="00AE0161"/>
    <w:rsid w:val="00AE070B"/>
    <w:rsid w:val="00AE13EF"/>
    <w:rsid w:val="00AE491E"/>
    <w:rsid w:val="00AF233F"/>
    <w:rsid w:val="00AF2377"/>
    <w:rsid w:val="00AF2AA4"/>
    <w:rsid w:val="00AF7AE9"/>
    <w:rsid w:val="00B04304"/>
    <w:rsid w:val="00B04E92"/>
    <w:rsid w:val="00B05538"/>
    <w:rsid w:val="00B05B05"/>
    <w:rsid w:val="00B05DDD"/>
    <w:rsid w:val="00B065BA"/>
    <w:rsid w:val="00B1155D"/>
    <w:rsid w:val="00B11716"/>
    <w:rsid w:val="00B11C25"/>
    <w:rsid w:val="00B136D0"/>
    <w:rsid w:val="00B148EC"/>
    <w:rsid w:val="00B23D0D"/>
    <w:rsid w:val="00B2584B"/>
    <w:rsid w:val="00B3064F"/>
    <w:rsid w:val="00B317B2"/>
    <w:rsid w:val="00B34C1E"/>
    <w:rsid w:val="00B367B4"/>
    <w:rsid w:val="00B40FF8"/>
    <w:rsid w:val="00B42DFC"/>
    <w:rsid w:val="00B455B7"/>
    <w:rsid w:val="00B461E4"/>
    <w:rsid w:val="00B518F8"/>
    <w:rsid w:val="00B51CC6"/>
    <w:rsid w:val="00B53F60"/>
    <w:rsid w:val="00B56F06"/>
    <w:rsid w:val="00B6160A"/>
    <w:rsid w:val="00B6655F"/>
    <w:rsid w:val="00B721E2"/>
    <w:rsid w:val="00B7299A"/>
    <w:rsid w:val="00B72D9A"/>
    <w:rsid w:val="00B73899"/>
    <w:rsid w:val="00B7514F"/>
    <w:rsid w:val="00B8332B"/>
    <w:rsid w:val="00B93304"/>
    <w:rsid w:val="00B943B9"/>
    <w:rsid w:val="00B95444"/>
    <w:rsid w:val="00BA12F4"/>
    <w:rsid w:val="00BA239A"/>
    <w:rsid w:val="00BA2693"/>
    <w:rsid w:val="00BA3D3F"/>
    <w:rsid w:val="00BB0095"/>
    <w:rsid w:val="00BB0215"/>
    <w:rsid w:val="00BB5228"/>
    <w:rsid w:val="00BB5A7F"/>
    <w:rsid w:val="00BB64F4"/>
    <w:rsid w:val="00BB74DD"/>
    <w:rsid w:val="00BC232E"/>
    <w:rsid w:val="00BC7FC1"/>
    <w:rsid w:val="00BD6195"/>
    <w:rsid w:val="00BD6C83"/>
    <w:rsid w:val="00BE01E6"/>
    <w:rsid w:val="00BE03E6"/>
    <w:rsid w:val="00BE047F"/>
    <w:rsid w:val="00BF0095"/>
    <w:rsid w:val="00BF0238"/>
    <w:rsid w:val="00BF0DB8"/>
    <w:rsid w:val="00BF671B"/>
    <w:rsid w:val="00C01BB9"/>
    <w:rsid w:val="00C076D5"/>
    <w:rsid w:val="00C07D0D"/>
    <w:rsid w:val="00C134E2"/>
    <w:rsid w:val="00C142E7"/>
    <w:rsid w:val="00C17F18"/>
    <w:rsid w:val="00C23BD5"/>
    <w:rsid w:val="00C27394"/>
    <w:rsid w:val="00C27A0C"/>
    <w:rsid w:val="00C453A6"/>
    <w:rsid w:val="00C45CA0"/>
    <w:rsid w:val="00C45FEA"/>
    <w:rsid w:val="00C50DAF"/>
    <w:rsid w:val="00C5225E"/>
    <w:rsid w:val="00C55DE3"/>
    <w:rsid w:val="00C57A76"/>
    <w:rsid w:val="00C61365"/>
    <w:rsid w:val="00C62AB5"/>
    <w:rsid w:val="00C62E16"/>
    <w:rsid w:val="00C64EC3"/>
    <w:rsid w:val="00C74269"/>
    <w:rsid w:val="00C75A92"/>
    <w:rsid w:val="00C76E43"/>
    <w:rsid w:val="00C936EB"/>
    <w:rsid w:val="00C96A9A"/>
    <w:rsid w:val="00CA064A"/>
    <w:rsid w:val="00CA3CBE"/>
    <w:rsid w:val="00CA3ED2"/>
    <w:rsid w:val="00CA7E90"/>
    <w:rsid w:val="00CB1F47"/>
    <w:rsid w:val="00CB25E4"/>
    <w:rsid w:val="00CB2771"/>
    <w:rsid w:val="00CB5952"/>
    <w:rsid w:val="00CB6436"/>
    <w:rsid w:val="00CC7D03"/>
    <w:rsid w:val="00CD18FD"/>
    <w:rsid w:val="00CD1CDD"/>
    <w:rsid w:val="00CD3432"/>
    <w:rsid w:val="00CE0841"/>
    <w:rsid w:val="00CE4E11"/>
    <w:rsid w:val="00CE5C55"/>
    <w:rsid w:val="00CF18B7"/>
    <w:rsid w:val="00CF26A7"/>
    <w:rsid w:val="00CF2EB3"/>
    <w:rsid w:val="00CF306B"/>
    <w:rsid w:val="00CF4102"/>
    <w:rsid w:val="00CF4266"/>
    <w:rsid w:val="00CF5E67"/>
    <w:rsid w:val="00CF7C51"/>
    <w:rsid w:val="00D109EA"/>
    <w:rsid w:val="00D12496"/>
    <w:rsid w:val="00D20900"/>
    <w:rsid w:val="00D2356B"/>
    <w:rsid w:val="00D262CB"/>
    <w:rsid w:val="00D279EE"/>
    <w:rsid w:val="00D3664D"/>
    <w:rsid w:val="00D4349C"/>
    <w:rsid w:val="00D43A27"/>
    <w:rsid w:val="00D43E20"/>
    <w:rsid w:val="00D52BFC"/>
    <w:rsid w:val="00D5407F"/>
    <w:rsid w:val="00D55168"/>
    <w:rsid w:val="00D552FB"/>
    <w:rsid w:val="00D65434"/>
    <w:rsid w:val="00D72C73"/>
    <w:rsid w:val="00D73C61"/>
    <w:rsid w:val="00D75431"/>
    <w:rsid w:val="00D83898"/>
    <w:rsid w:val="00D872CD"/>
    <w:rsid w:val="00D90C17"/>
    <w:rsid w:val="00D91B78"/>
    <w:rsid w:val="00DA117A"/>
    <w:rsid w:val="00DA1D9C"/>
    <w:rsid w:val="00DA4F68"/>
    <w:rsid w:val="00DB3A3C"/>
    <w:rsid w:val="00DB3E47"/>
    <w:rsid w:val="00DB4030"/>
    <w:rsid w:val="00DB6DAB"/>
    <w:rsid w:val="00DB76FF"/>
    <w:rsid w:val="00DC052D"/>
    <w:rsid w:val="00DC75A8"/>
    <w:rsid w:val="00DD00C2"/>
    <w:rsid w:val="00DD3DCD"/>
    <w:rsid w:val="00DE0286"/>
    <w:rsid w:val="00DE10B7"/>
    <w:rsid w:val="00DE54D2"/>
    <w:rsid w:val="00DF2B11"/>
    <w:rsid w:val="00E017FC"/>
    <w:rsid w:val="00E02B5E"/>
    <w:rsid w:val="00E053CA"/>
    <w:rsid w:val="00E05739"/>
    <w:rsid w:val="00E0589F"/>
    <w:rsid w:val="00E11D6D"/>
    <w:rsid w:val="00E16A8B"/>
    <w:rsid w:val="00E20C71"/>
    <w:rsid w:val="00E219D7"/>
    <w:rsid w:val="00E26F20"/>
    <w:rsid w:val="00E31A23"/>
    <w:rsid w:val="00E32CA2"/>
    <w:rsid w:val="00E37536"/>
    <w:rsid w:val="00E40517"/>
    <w:rsid w:val="00E4068E"/>
    <w:rsid w:val="00E4209D"/>
    <w:rsid w:val="00E4460F"/>
    <w:rsid w:val="00E4512F"/>
    <w:rsid w:val="00E462DF"/>
    <w:rsid w:val="00E46C54"/>
    <w:rsid w:val="00E47F12"/>
    <w:rsid w:val="00E513FD"/>
    <w:rsid w:val="00E51662"/>
    <w:rsid w:val="00E516DE"/>
    <w:rsid w:val="00E53F5D"/>
    <w:rsid w:val="00E57312"/>
    <w:rsid w:val="00E61852"/>
    <w:rsid w:val="00E70EEA"/>
    <w:rsid w:val="00E71C7D"/>
    <w:rsid w:val="00E73994"/>
    <w:rsid w:val="00E75412"/>
    <w:rsid w:val="00E773F1"/>
    <w:rsid w:val="00E81A0A"/>
    <w:rsid w:val="00E81F39"/>
    <w:rsid w:val="00E879C9"/>
    <w:rsid w:val="00E87EBF"/>
    <w:rsid w:val="00E9218C"/>
    <w:rsid w:val="00E922A6"/>
    <w:rsid w:val="00E92E3D"/>
    <w:rsid w:val="00EA059B"/>
    <w:rsid w:val="00EA192B"/>
    <w:rsid w:val="00EA2255"/>
    <w:rsid w:val="00EA58AB"/>
    <w:rsid w:val="00EA71DC"/>
    <w:rsid w:val="00EB156E"/>
    <w:rsid w:val="00EB3200"/>
    <w:rsid w:val="00EB3C60"/>
    <w:rsid w:val="00EB49A6"/>
    <w:rsid w:val="00EC36A0"/>
    <w:rsid w:val="00EC3D4A"/>
    <w:rsid w:val="00ED1575"/>
    <w:rsid w:val="00ED1903"/>
    <w:rsid w:val="00ED2A18"/>
    <w:rsid w:val="00EE42F5"/>
    <w:rsid w:val="00EE50CE"/>
    <w:rsid w:val="00EE57C3"/>
    <w:rsid w:val="00EE5970"/>
    <w:rsid w:val="00EE6879"/>
    <w:rsid w:val="00EF1DFB"/>
    <w:rsid w:val="00EF1F5C"/>
    <w:rsid w:val="00EF2B35"/>
    <w:rsid w:val="00EF3BE1"/>
    <w:rsid w:val="00F0045D"/>
    <w:rsid w:val="00F06218"/>
    <w:rsid w:val="00F1340A"/>
    <w:rsid w:val="00F16E0B"/>
    <w:rsid w:val="00F228FB"/>
    <w:rsid w:val="00F2366C"/>
    <w:rsid w:val="00F24B09"/>
    <w:rsid w:val="00F3057D"/>
    <w:rsid w:val="00F3468E"/>
    <w:rsid w:val="00F354DF"/>
    <w:rsid w:val="00F41C67"/>
    <w:rsid w:val="00F50D3D"/>
    <w:rsid w:val="00F53DFE"/>
    <w:rsid w:val="00F57D5C"/>
    <w:rsid w:val="00F623C4"/>
    <w:rsid w:val="00F6402D"/>
    <w:rsid w:val="00F640D2"/>
    <w:rsid w:val="00F65E83"/>
    <w:rsid w:val="00F730FE"/>
    <w:rsid w:val="00F82B22"/>
    <w:rsid w:val="00F82D57"/>
    <w:rsid w:val="00F8354F"/>
    <w:rsid w:val="00F8414F"/>
    <w:rsid w:val="00F852A7"/>
    <w:rsid w:val="00F879D1"/>
    <w:rsid w:val="00F957F4"/>
    <w:rsid w:val="00FA0BBB"/>
    <w:rsid w:val="00FA0C14"/>
    <w:rsid w:val="00FA3E1D"/>
    <w:rsid w:val="00FA6D20"/>
    <w:rsid w:val="00FA6F51"/>
    <w:rsid w:val="00FB2073"/>
    <w:rsid w:val="00FB469F"/>
    <w:rsid w:val="00FB795D"/>
    <w:rsid w:val="00FC1EF6"/>
    <w:rsid w:val="00FC6617"/>
    <w:rsid w:val="00FC7B5B"/>
    <w:rsid w:val="00FC7C8A"/>
    <w:rsid w:val="00FD35C4"/>
    <w:rsid w:val="00FD3EFC"/>
    <w:rsid w:val="00FD5343"/>
    <w:rsid w:val="00FE31ED"/>
    <w:rsid w:val="00FE3C89"/>
    <w:rsid w:val="01F41726"/>
    <w:rsid w:val="033E7420"/>
    <w:rsid w:val="040E1BD0"/>
    <w:rsid w:val="048A70E5"/>
    <w:rsid w:val="04C74740"/>
    <w:rsid w:val="05F15F19"/>
    <w:rsid w:val="06BD5DFB"/>
    <w:rsid w:val="06E0780A"/>
    <w:rsid w:val="071958B7"/>
    <w:rsid w:val="07A82607"/>
    <w:rsid w:val="07A8669E"/>
    <w:rsid w:val="0AAA0DF0"/>
    <w:rsid w:val="0AF671E5"/>
    <w:rsid w:val="0C1D14C9"/>
    <w:rsid w:val="0F4C3AD5"/>
    <w:rsid w:val="0F5773CD"/>
    <w:rsid w:val="0FDC6461"/>
    <w:rsid w:val="10BB2461"/>
    <w:rsid w:val="10C405D5"/>
    <w:rsid w:val="10F83408"/>
    <w:rsid w:val="11333133"/>
    <w:rsid w:val="11A3221E"/>
    <w:rsid w:val="11B44234"/>
    <w:rsid w:val="1223041B"/>
    <w:rsid w:val="122D02D9"/>
    <w:rsid w:val="129E5C9F"/>
    <w:rsid w:val="12EE521E"/>
    <w:rsid w:val="1404150D"/>
    <w:rsid w:val="14B80E3B"/>
    <w:rsid w:val="167E7B54"/>
    <w:rsid w:val="17476310"/>
    <w:rsid w:val="17E551B8"/>
    <w:rsid w:val="17F43601"/>
    <w:rsid w:val="18B83BF1"/>
    <w:rsid w:val="18E90642"/>
    <w:rsid w:val="19B07661"/>
    <w:rsid w:val="1AB31597"/>
    <w:rsid w:val="1AB45141"/>
    <w:rsid w:val="1B205E1E"/>
    <w:rsid w:val="1B7517E6"/>
    <w:rsid w:val="1BD550E6"/>
    <w:rsid w:val="1C575999"/>
    <w:rsid w:val="1DFF4A9C"/>
    <w:rsid w:val="1E5D10AA"/>
    <w:rsid w:val="1E774AF2"/>
    <w:rsid w:val="1E877480"/>
    <w:rsid w:val="1EF35C8C"/>
    <w:rsid w:val="1F1A0417"/>
    <w:rsid w:val="1F815CCA"/>
    <w:rsid w:val="1FBE3EDB"/>
    <w:rsid w:val="1FE46489"/>
    <w:rsid w:val="201F3743"/>
    <w:rsid w:val="20B60B17"/>
    <w:rsid w:val="20C77B4A"/>
    <w:rsid w:val="215D4F00"/>
    <w:rsid w:val="22195C90"/>
    <w:rsid w:val="22A243CB"/>
    <w:rsid w:val="22DD798B"/>
    <w:rsid w:val="231A5B6D"/>
    <w:rsid w:val="23482FA1"/>
    <w:rsid w:val="241D03D6"/>
    <w:rsid w:val="248C5333"/>
    <w:rsid w:val="248D1D34"/>
    <w:rsid w:val="24ED4662"/>
    <w:rsid w:val="2548441F"/>
    <w:rsid w:val="275A7A4D"/>
    <w:rsid w:val="277826A1"/>
    <w:rsid w:val="27EA11BF"/>
    <w:rsid w:val="285A7939"/>
    <w:rsid w:val="285F4B0C"/>
    <w:rsid w:val="292C2DEA"/>
    <w:rsid w:val="295C629E"/>
    <w:rsid w:val="29DF7CB3"/>
    <w:rsid w:val="2A963A79"/>
    <w:rsid w:val="2AB23F50"/>
    <w:rsid w:val="2B147FF5"/>
    <w:rsid w:val="2B1B6BD8"/>
    <w:rsid w:val="2C4D59D3"/>
    <w:rsid w:val="2D1A6ABE"/>
    <w:rsid w:val="2D3F5547"/>
    <w:rsid w:val="2D621DCA"/>
    <w:rsid w:val="2EEE4599"/>
    <w:rsid w:val="2F175FAE"/>
    <w:rsid w:val="2F2122C1"/>
    <w:rsid w:val="2F6B46DC"/>
    <w:rsid w:val="2F6E2F5F"/>
    <w:rsid w:val="2FA17343"/>
    <w:rsid w:val="2FBC567F"/>
    <w:rsid w:val="303705B5"/>
    <w:rsid w:val="303B7C22"/>
    <w:rsid w:val="30F8483A"/>
    <w:rsid w:val="34433534"/>
    <w:rsid w:val="34922BBA"/>
    <w:rsid w:val="34EB1585"/>
    <w:rsid w:val="354005B5"/>
    <w:rsid w:val="35C12962"/>
    <w:rsid w:val="36A41CFF"/>
    <w:rsid w:val="37135D64"/>
    <w:rsid w:val="3719062C"/>
    <w:rsid w:val="37A122B4"/>
    <w:rsid w:val="37A249F8"/>
    <w:rsid w:val="382014AF"/>
    <w:rsid w:val="38CA1951"/>
    <w:rsid w:val="3983700C"/>
    <w:rsid w:val="3A574B7E"/>
    <w:rsid w:val="3B770292"/>
    <w:rsid w:val="3C287E91"/>
    <w:rsid w:val="3C7821FC"/>
    <w:rsid w:val="3C7D799A"/>
    <w:rsid w:val="3CD60BE3"/>
    <w:rsid w:val="3D1545F4"/>
    <w:rsid w:val="3D542B55"/>
    <w:rsid w:val="3D8C3286"/>
    <w:rsid w:val="3D956D20"/>
    <w:rsid w:val="3E223086"/>
    <w:rsid w:val="3E8E2A2C"/>
    <w:rsid w:val="40037A42"/>
    <w:rsid w:val="423E141F"/>
    <w:rsid w:val="429B0B90"/>
    <w:rsid w:val="446906D7"/>
    <w:rsid w:val="45E14FBA"/>
    <w:rsid w:val="46194A54"/>
    <w:rsid w:val="46595606"/>
    <w:rsid w:val="46A13DD5"/>
    <w:rsid w:val="470B7B0C"/>
    <w:rsid w:val="4718013F"/>
    <w:rsid w:val="471C4D54"/>
    <w:rsid w:val="477C646E"/>
    <w:rsid w:val="47D14C87"/>
    <w:rsid w:val="47DF04EE"/>
    <w:rsid w:val="47E63168"/>
    <w:rsid w:val="480F66C6"/>
    <w:rsid w:val="483D68B3"/>
    <w:rsid w:val="48C055EE"/>
    <w:rsid w:val="492E74E4"/>
    <w:rsid w:val="49805C47"/>
    <w:rsid w:val="4AD57A63"/>
    <w:rsid w:val="4BD73B3D"/>
    <w:rsid w:val="4C957957"/>
    <w:rsid w:val="4D69684A"/>
    <w:rsid w:val="4E10389B"/>
    <w:rsid w:val="4E301ADB"/>
    <w:rsid w:val="4E686953"/>
    <w:rsid w:val="4F0B3A4E"/>
    <w:rsid w:val="503011D5"/>
    <w:rsid w:val="513C08C8"/>
    <w:rsid w:val="52075E4F"/>
    <w:rsid w:val="53E84859"/>
    <w:rsid w:val="5401323C"/>
    <w:rsid w:val="54446925"/>
    <w:rsid w:val="54640332"/>
    <w:rsid w:val="548310D4"/>
    <w:rsid w:val="553025BD"/>
    <w:rsid w:val="556904C8"/>
    <w:rsid w:val="55855303"/>
    <w:rsid w:val="559D39DA"/>
    <w:rsid w:val="55B51D33"/>
    <w:rsid w:val="55DC231C"/>
    <w:rsid w:val="568A3117"/>
    <w:rsid w:val="58BE587B"/>
    <w:rsid w:val="58FB6F24"/>
    <w:rsid w:val="590B1595"/>
    <w:rsid w:val="59156F96"/>
    <w:rsid w:val="5962576C"/>
    <w:rsid w:val="59AD338F"/>
    <w:rsid w:val="59B70A84"/>
    <w:rsid w:val="5A0975EB"/>
    <w:rsid w:val="5BE33F13"/>
    <w:rsid w:val="5BF52F92"/>
    <w:rsid w:val="5BFA4759"/>
    <w:rsid w:val="5C2D1520"/>
    <w:rsid w:val="5CFD0954"/>
    <w:rsid w:val="5DBD0424"/>
    <w:rsid w:val="5DC0220C"/>
    <w:rsid w:val="5E0648A7"/>
    <w:rsid w:val="5E0E6B87"/>
    <w:rsid w:val="5E211412"/>
    <w:rsid w:val="5E7D40CB"/>
    <w:rsid w:val="5E964C3F"/>
    <w:rsid w:val="5FC5200C"/>
    <w:rsid w:val="60EC1A4F"/>
    <w:rsid w:val="614E17A2"/>
    <w:rsid w:val="61CE6DDC"/>
    <w:rsid w:val="62AA3973"/>
    <w:rsid w:val="63312B48"/>
    <w:rsid w:val="63351D88"/>
    <w:rsid w:val="6371519C"/>
    <w:rsid w:val="63F339FD"/>
    <w:rsid w:val="64816732"/>
    <w:rsid w:val="64A120B8"/>
    <w:rsid w:val="65C642C5"/>
    <w:rsid w:val="65FF005E"/>
    <w:rsid w:val="671E7365"/>
    <w:rsid w:val="6798792F"/>
    <w:rsid w:val="68D93544"/>
    <w:rsid w:val="68E00120"/>
    <w:rsid w:val="69140A20"/>
    <w:rsid w:val="697F6D73"/>
    <w:rsid w:val="69901EB2"/>
    <w:rsid w:val="69BC26FB"/>
    <w:rsid w:val="6A054BF2"/>
    <w:rsid w:val="6A6B561E"/>
    <w:rsid w:val="6AD77278"/>
    <w:rsid w:val="6B4F54DB"/>
    <w:rsid w:val="6BE62759"/>
    <w:rsid w:val="6C737D38"/>
    <w:rsid w:val="6D8C399B"/>
    <w:rsid w:val="6DDF0898"/>
    <w:rsid w:val="6E7C3A35"/>
    <w:rsid w:val="6EC15527"/>
    <w:rsid w:val="6F862F2F"/>
    <w:rsid w:val="6FEA24DA"/>
    <w:rsid w:val="706C7ABD"/>
    <w:rsid w:val="71AB3F7F"/>
    <w:rsid w:val="71E55E13"/>
    <w:rsid w:val="725A0E4B"/>
    <w:rsid w:val="726643C5"/>
    <w:rsid w:val="72C963D7"/>
    <w:rsid w:val="72DF6CFD"/>
    <w:rsid w:val="733F0D8F"/>
    <w:rsid w:val="735D2A28"/>
    <w:rsid w:val="738246BE"/>
    <w:rsid w:val="73AE059F"/>
    <w:rsid w:val="73F95C9D"/>
    <w:rsid w:val="74727ACE"/>
    <w:rsid w:val="74B76484"/>
    <w:rsid w:val="74CE774E"/>
    <w:rsid w:val="74EC4BFB"/>
    <w:rsid w:val="75A77168"/>
    <w:rsid w:val="76B5561E"/>
    <w:rsid w:val="77607828"/>
    <w:rsid w:val="77CB7A92"/>
    <w:rsid w:val="786D1EFA"/>
    <w:rsid w:val="787E0E67"/>
    <w:rsid w:val="78E45CB4"/>
    <w:rsid w:val="79587CE2"/>
    <w:rsid w:val="79A437E2"/>
    <w:rsid w:val="7A5A2085"/>
    <w:rsid w:val="7A5B573E"/>
    <w:rsid w:val="7A732EA5"/>
    <w:rsid w:val="7A7B30CE"/>
    <w:rsid w:val="7A8D43C0"/>
    <w:rsid w:val="7B384148"/>
    <w:rsid w:val="7B5D2ADC"/>
    <w:rsid w:val="7C3D23E1"/>
    <w:rsid w:val="7D040140"/>
    <w:rsid w:val="7E227931"/>
    <w:rsid w:val="7E7C23F6"/>
    <w:rsid w:val="7E892BD1"/>
    <w:rsid w:val="7E9C5106"/>
    <w:rsid w:val="7F426367"/>
    <w:rsid w:val="7FD722DB"/>
    <w:rsid w:val="7FE8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widowControl/>
      <w:numPr>
        <w:ilvl w:val="0"/>
        <w:numId w:val="1"/>
      </w:numPr>
      <w:spacing w:before="340" w:after="330"/>
      <w:jc w:val="left"/>
      <w:outlineLvl w:val="0"/>
    </w:pPr>
    <w:rPr>
      <w:rFonts w:ascii="黑体" w:eastAsia="黑体"/>
      <w:b/>
      <w:kern w:val="44"/>
      <w:sz w:val="32"/>
      <w:szCs w:val="44"/>
      <w:lang w:val="zh-CN"/>
    </w:rPr>
  </w:style>
  <w:style w:type="paragraph" w:styleId="3">
    <w:name w:val="heading 2"/>
    <w:basedOn w:val="1"/>
    <w:next w:val="1"/>
    <w:link w:val="34"/>
    <w:qFormat/>
    <w:uiPriority w:val="0"/>
    <w:pPr>
      <w:keepNext/>
      <w:keepLines/>
      <w:numPr>
        <w:ilvl w:val="1"/>
        <w:numId w:val="1"/>
      </w:numPr>
      <w:spacing w:before="100" w:beforeAutospacing="1" w:after="100" w:afterAutospacing="1" w:line="360" w:lineRule="auto"/>
      <w:jc w:val="left"/>
      <w:outlineLvl w:val="1"/>
    </w:pPr>
    <w:rPr>
      <w:rFonts w:ascii="黑体" w:hAnsi="Arial" w:eastAsia="黑体"/>
      <w:b/>
      <w:kern w:val="0"/>
      <w:sz w:val="30"/>
      <w:lang w:val="zh-CN"/>
    </w:rPr>
  </w:style>
  <w:style w:type="paragraph" w:styleId="4">
    <w:name w:val="heading 3"/>
    <w:basedOn w:val="1"/>
    <w:next w:val="5"/>
    <w:link w:val="44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sz w:val="32"/>
    </w:rPr>
  </w:style>
  <w:style w:type="paragraph" w:styleId="6">
    <w:name w:val="heading 4"/>
    <w:basedOn w:val="1"/>
    <w:next w:val="1"/>
    <w:link w:val="37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 w:firstLineChars="200"/>
    </w:pPr>
  </w:style>
  <w:style w:type="paragraph" w:styleId="7">
    <w:name w:val="List Number 2"/>
    <w:basedOn w:val="1"/>
    <w:qFormat/>
    <w:uiPriority w:val="0"/>
    <w:pPr>
      <w:numPr>
        <w:ilvl w:val="0"/>
        <w:numId w:val="2"/>
      </w:numPr>
      <w:tabs>
        <w:tab w:val="left" w:pos="567"/>
      </w:tabs>
    </w:pPr>
    <w:rPr>
      <w:sz w:val="28"/>
    </w:rPr>
  </w:style>
  <w:style w:type="paragraph" w:styleId="8">
    <w:name w:val="caption"/>
    <w:basedOn w:val="1"/>
    <w:next w:val="1"/>
    <w:qFormat/>
    <w:uiPriority w:val="0"/>
    <w:pPr>
      <w:spacing w:line="360" w:lineRule="auto"/>
      <w:jc w:val="center"/>
    </w:pPr>
    <w:rPr>
      <w:rFonts w:ascii="Arial" w:hAnsi="Arial" w:eastAsia="黑体"/>
    </w:rPr>
  </w:style>
  <w:style w:type="paragraph" w:styleId="9">
    <w:name w:val="Document Map"/>
    <w:basedOn w:val="1"/>
    <w:link w:val="41"/>
    <w:qFormat/>
    <w:uiPriority w:val="0"/>
    <w:rPr>
      <w:rFonts w:ascii="宋体"/>
      <w:sz w:val="18"/>
      <w:szCs w:val="18"/>
    </w:rPr>
  </w:style>
  <w:style w:type="paragraph" w:styleId="10">
    <w:name w:val="annotation text"/>
    <w:basedOn w:val="1"/>
    <w:link w:val="30"/>
    <w:qFormat/>
    <w:uiPriority w:val="0"/>
    <w:pPr>
      <w:jc w:val="left"/>
    </w:pPr>
    <w:rPr>
      <w:lang w:val="zh-CN"/>
    </w:rPr>
  </w:style>
  <w:style w:type="paragraph" w:styleId="11">
    <w:name w:val="Body Text"/>
    <w:basedOn w:val="1"/>
    <w:link w:val="42"/>
    <w:qFormat/>
    <w:uiPriority w:val="0"/>
    <w:pPr>
      <w:spacing w:after="120"/>
    </w:pPr>
  </w:style>
  <w:style w:type="paragraph" w:styleId="12">
    <w:name w:val="Body Text Indent"/>
    <w:basedOn w:val="1"/>
    <w:qFormat/>
    <w:uiPriority w:val="0"/>
    <w:pPr>
      <w:ind w:firstLine="420"/>
    </w:pPr>
  </w:style>
  <w:style w:type="paragraph" w:styleId="13">
    <w:name w:val="toc 3"/>
    <w:basedOn w:val="1"/>
    <w:next w:val="1"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link w:val="32"/>
    <w:qFormat/>
    <w:uiPriority w:val="0"/>
    <w:rPr>
      <w:sz w:val="18"/>
      <w:szCs w:val="18"/>
      <w:lang w:val="zh-CN"/>
    </w:rPr>
  </w:style>
  <w:style w:type="paragraph" w:styleId="16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17">
    <w:name w:val="header"/>
    <w:basedOn w:val="1"/>
    <w:link w:val="2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8">
    <w:name w:val="toc 1"/>
    <w:basedOn w:val="1"/>
    <w:next w:val="1"/>
    <w:qFormat/>
    <w:uiPriority w:val="39"/>
  </w:style>
  <w:style w:type="paragraph" w:styleId="19">
    <w:name w:val="toc 2"/>
    <w:basedOn w:val="1"/>
    <w:next w:val="1"/>
    <w:qFormat/>
    <w:uiPriority w:val="39"/>
    <w:pPr>
      <w:ind w:left="420" w:leftChars="200"/>
    </w:pPr>
  </w:style>
  <w:style w:type="paragraph" w:styleId="20">
    <w:name w:val="annotation subject"/>
    <w:basedOn w:val="10"/>
    <w:next w:val="10"/>
    <w:link w:val="31"/>
    <w:qFormat/>
    <w:uiPriority w:val="0"/>
    <w:rPr>
      <w:b/>
      <w:bCs/>
    </w:rPr>
  </w:style>
  <w:style w:type="paragraph" w:styleId="21">
    <w:name w:val="Body Text First Indent 2"/>
    <w:qFormat/>
    <w:uiPriority w:val="0"/>
    <w:pPr>
      <w:widowControl w:val="0"/>
      <w:spacing w:after="120" w:afterLines="0"/>
      <w:ind w:left="420" w:leftChars="200"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styleId="23">
    <w:name w:val="Table Grid"/>
    <w:basedOn w:val="2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unhideWhenUsed/>
    <w:qFormat/>
    <w:uiPriority w:val="99"/>
    <w:rPr>
      <w:color w:val="0000FF"/>
      <w:u w:val="single"/>
    </w:rPr>
  </w:style>
  <w:style w:type="character" w:styleId="26">
    <w:name w:val="annotation reference"/>
    <w:qFormat/>
    <w:uiPriority w:val="0"/>
    <w:rPr>
      <w:sz w:val="21"/>
      <w:szCs w:val="21"/>
    </w:rPr>
  </w:style>
  <w:style w:type="paragraph" w:customStyle="1" w:styleId="27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character" w:customStyle="1" w:styleId="28">
    <w:name w:val="页眉 字符"/>
    <w:link w:val="17"/>
    <w:qFormat/>
    <w:uiPriority w:val="0"/>
    <w:rPr>
      <w:kern w:val="2"/>
      <w:sz w:val="18"/>
      <w:szCs w:val="18"/>
    </w:rPr>
  </w:style>
  <w:style w:type="character" w:customStyle="1" w:styleId="29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30">
    <w:name w:val="批注文字 字符"/>
    <w:link w:val="10"/>
    <w:qFormat/>
    <w:uiPriority w:val="0"/>
    <w:rPr>
      <w:kern w:val="2"/>
      <w:sz w:val="21"/>
    </w:rPr>
  </w:style>
  <w:style w:type="character" w:customStyle="1" w:styleId="31">
    <w:name w:val="批注主题 字符"/>
    <w:link w:val="20"/>
    <w:qFormat/>
    <w:uiPriority w:val="0"/>
    <w:rPr>
      <w:b/>
      <w:bCs/>
      <w:kern w:val="2"/>
      <w:sz w:val="21"/>
    </w:rPr>
  </w:style>
  <w:style w:type="character" w:customStyle="1" w:styleId="32">
    <w:name w:val="批注框文本 字符"/>
    <w:link w:val="15"/>
    <w:qFormat/>
    <w:uiPriority w:val="0"/>
    <w:rPr>
      <w:kern w:val="2"/>
      <w:sz w:val="18"/>
      <w:szCs w:val="18"/>
    </w:rPr>
  </w:style>
  <w:style w:type="character" w:customStyle="1" w:styleId="33">
    <w:name w:val="标题 1 字符"/>
    <w:link w:val="2"/>
    <w:qFormat/>
    <w:uiPriority w:val="0"/>
    <w:rPr>
      <w:rFonts w:ascii="黑体" w:eastAsia="黑体"/>
      <w:b/>
      <w:kern w:val="44"/>
      <w:sz w:val="32"/>
      <w:szCs w:val="44"/>
      <w:lang w:val="zh-CN" w:eastAsia="zh-CN"/>
    </w:rPr>
  </w:style>
  <w:style w:type="character" w:customStyle="1" w:styleId="34">
    <w:name w:val="标题 2 字符"/>
    <w:link w:val="3"/>
    <w:qFormat/>
    <w:uiPriority w:val="0"/>
    <w:rPr>
      <w:rFonts w:ascii="黑体" w:hAnsi="Arial" w:eastAsia="黑体"/>
      <w:b/>
      <w:sz w:val="30"/>
      <w:lang w:val="zh-CN" w:eastAsia="zh-CN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paragraph" w:customStyle="1" w:styleId="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37">
    <w:name w:val="标题 4 字符"/>
    <w:basedOn w:val="24"/>
    <w:link w:val="6"/>
    <w:qFormat/>
    <w:uiPriority w:val="0"/>
    <w:rPr>
      <w:rFonts w:ascii="Cambria" w:hAnsi="Cambria"/>
      <w:b/>
      <w:bCs/>
      <w:kern w:val="2"/>
      <w:sz w:val="28"/>
      <w:szCs w:val="28"/>
    </w:rPr>
  </w:style>
  <w:style w:type="paragraph" w:customStyle="1" w:styleId="38">
    <w:name w:val="并列"/>
    <w:basedOn w:val="1"/>
    <w:qFormat/>
    <w:uiPriority w:val="0"/>
    <w:pPr>
      <w:spacing w:line="360" w:lineRule="auto"/>
      <w:ind w:firstLine="200" w:firstLineChars="200"/>
      <w:jc w:val="left"/>
    </w:pPr>
    <w:rPr>
      <w:szCs w:val="24"/>
    </w:rPr>
  </w:style>
  <w:style w:type="paragraph" w:customStyle="1" w:styleId="39">
    <w:name w:val="第1层正文"/>
    <w:basedOn w:val="1"/>
    <w:qFormat/>
    <w:uiPriority w:val="0"/>
    <w:pPr>
      <w:tabs>
        <w:tab w:val="left" w:pos="105"/>
      </w:tabs>
      <w:spacing w:before="120" w:after="120" w:line="360" w:lineRule="auto"/>
      <w:ind w:firstLine="480" w:firstLineChars="200"/>
      <w:jc w:val="left"/>
    </w:pPr>
    <w:rPr>
      <w:sz w:val="24"/>
      <w:szCs w:val="24"/>
    </w:rPr>
  </w:style>
  <w:style w:type="paragraph" w:customStyle="1" w:styleId="40">
    <w:name w:val="说明"/>
    <w:basedOn w:val="39"/>
    <w:next w:val="39"/>
    <w:qFormat/>
    <w:uiPriority w:val="0"/>
    <w:pPr>
      <w:spacing w:before="0" w:line="240" w:lineRule="auto"/>
      <w:ind w:left="450" w:firstLine="0" w:firstLineChars="0"/>
    </w:pPr>
    <w:rPr>
      <w:i/>
      <w:color w:val="000080"/>
      <w:sz w:val="21"/>
    </w:rPr>
  </w:style>
  <w:style w:type="character" w:customStyle="1" w:styleId="41">
    <w:name w:val="文档结构图 字符"/>
    <w:basedOn w:val="24"/>
    <w:link w:val="9"/>
    <w:qFormat/>
    <w:uiPriority w:val="0"/>
    <w:rPr>
      <w:rFonts w:ascii="宋体"/>
      <w:kern w:val="2"/>
      <w:sz w:val="18"/>
      <w:szCs w:val="18"/>
    </w:rPr>
  </w:style>
  <w:style w:type="character" w:customStyle="1" w:styleId="42">
    <w:name w:val="正文文本 字符"/>
    <w:basedOn w:val="24"/>
    <w:link w:val="11"/>
    <w:qFormat/>
    <w:uiPriority w:val="0"/>
    <w:rPr>
      <w:kern w:val="2"/>
      <w:sz w:val="21"/>
    </w:rPr>
  </w:style>
  <w:style w:type="paragraph" w:customStyle="1" w:styleId="43">
    <w:name w:val="样式2"/>
    <w:basedOn w:val="3"/>
    <w:next w:val="1"/>
    <w:qFormat/>
    <w:uiPriority w:val="0"/>
    <w:pPr>
      <w:numPr>
        <w:ilvl w:val="0"/>
        <w:numId w:val="3"/>
      </w:numPr>
    </w:pPr>
    <w:rPr>
      <w:rFonts w:ascii="Arial"/>
      <w:b w:val="0"/>
      <w:bCs/>
      <w:color w:val="000000"/>
      <w:kern w:val="2"/>
      <w:sz w:val="24"/>
      <w:szCs w:val="24"/>
      <w:lang w:val="en-US"/>
    </w:rPr>
  </w:style>
  <w:style w:type="character" w:customStyle="1" w:styleId="44">
    <w:name w:val="标题 3 字符"/>
    <w:basedOn w:val="24"/>
    <w:link w:val="4"/>
    <w:qFormat/>
    <w:uiPriority w:val="0"/>
    <w:rPr>
      <w:b/>
      <w:kern w:val="2"/>
      <w:sz w:val="32"/>
    </w:rPr>
  </w:style>
  <w:style w:type="paragraph" w:customStyle="1" w:styleId="45">
    <w:name w:val="正式正文"/>
    <w:basedOn w:val="1"/>
    <w:qFormat/>
    <w:uiPriority w:val="0"/>
    <w:pPr>
      <w:spacing w:line="312" w:lineRule="auto"/>
      <w:ind w:firstLine="200" w:firstLineChars="200"/>
    </w:pPr>
    <w:rPr>
      <w:sz w:val="24"/>
    </w:rPr>
  </w:style>
  <w:style w:type="paragraph" w:customStyle="1" w:styleId="46">
    <w:name w:val="三级标题"/>
    <w:next w:val="45"/>
    <w:qFormat/>
    <w:uiPriority w:val="0"/>
    <w:pPr>
      <w:widowControl w:val="0"/>
      <w:numPr>
        <w:ilvl w:val="2"/>
        <w:numId w:val="4"/>
      </w:numPr>
      <w:spacing w:before="60" w:after="60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4"/>
      <w:lang w:val="en-US" w:eastAsia="zh-CN" w:bidi="ar-SA"/>
    </w:rPr>
  </w:style>
  <w:style w:type="paragraph" w:customStyle="1" w:styleId="47">
    <w:name w:val="TABLE_HEAD"/>
    <w:qFormat/>
    <w:uiPriority w:val="99"/>
    <w:pPr>
      <w:widowControl w:val="0"/>
      <w:autoSpaceDE w:val="0"/>
      <w:autoSpaceDN w:val="0"/>
      <w:jc w:val="center"/>
    </w:pPr>
    <w:rPr>
      <w:rFonts w:ascii="Cambria" w:hAnsi="Cambria" w:eastAsia="宋体" w:cs="Cambria"/>
      <w:kern w:val="0"/>
      <w:sz w:val="16"/>
      <w:szCs w:val="16"/>
      <w:lang w:val="zh-CN" w:eastAsia="zh-CN" w:bidi="ar-SA"/>
    </w:rPr>
  </w:style>
  <w:style w:type="paragraph" w:customStyle="1" w:styleId="48">
    <w:name w:val="HEAD_FOOT"/>
    <w:qFormat/>
    <w:uiPriority w:val="99"/>
    <w:pPr>
      <w:widowControl w:val="0"/>
      <w:autoSpaceDE w:val="0"/>
      <w:autoSpaceDN w:val="0"/>
      <w:jc w:val="both"/>
    </w:pPr>
    <w:rPr>
      <w:rFonts w:ascii="Cambria" w:hAnsi="Cambria" w:eastAsia="宋体" w:cs="Cambria"/>
      <w:kern w:val="0"/>
      <w:sz w:val="18"/>
      <w:szCs w:val="18"/>
      <w:lang w:val="zh-CN" w:eastAsia="zh-CN" w:bidi="ar-SA"/>
    </w:rPr>
  </w:style>
  <w:style w:type="paragraph" w:customStyle="1" w:styleId="49">
    <w:name w:val="二级标题"/>
    <w:next w:val="45"/>
    <w:qFormat/>
    <w:uiPriority w:val="0"/>
    <w:pPr>
      <w:widowControl w:val="0"/>
      <w:numPr>
        <w:ilvl w:val="1"/>
        <w:numId w:val="4"/>
      </w:numPr>
      <w:spacing w:before="60" w:after="60"/>
      <w:jc w:val="both"/>
      <w:outlineLvl w:val="1"/>
    </w:pPr>
    <w:rPr>
      <w:rFonts w:ascii="Times New Roman" w:hAnsi="Times New Roman" w:eastAsia="宋体" w:cs="Times New Roman"/>
      <w:b/>
      <w:kern w:val="2"/>
      <w:sz w:val="2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4" Type="http://schemas.openxmlformats.org/officeDocument/2006/relationships/fontTable" Target="fontTable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0.png"/><Relationship Id="rId4" Type="http://schemas.openxmlformats.org/officeDocument/2006/relationships/header" Target="header2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02&#20854;&#20182;&#24037;&#20316;&#36164;&#26009;\&#36136;&#37327;&#31649;&#29702;&#20307;&#31995;&#20462;&#35746;-2020\&#35768;&#24013;\&#31532;9&#20998;&#20876;&#65306;&#34920;&#26684;&#27169;&#26495;&#65288;&#24320;&#21457;&#31867;&#65289;&#27719;&#32534;\08.&#31995;&#32479;&#19978;&#32447;&#36807;&#31243;\&#39033;&#30446;&#21517;&#31216;-&#29992;&#25143;&#25163;&#20876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B8D8BE-EDA4-4A1C-AAF1-EFE028FC38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项目名称-用户手册</Template>
  <Pages>18</Pages>
  <Words>4129</Words>
  <Characters>4255</Characters>
  <Lines>19</Lines>
  <Paragraphs>5</Paragraphs>
  <TotalTime>4</TotalTime>
  <ScaleCrop>false</ScaleCrop>
  <LinksUpToDate>false</LinksUpToDate>
  <CharactersWithSpaces>4323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2020-12-15T01:10:00Z</dcterms:created>
  <dc:creator>胖公子</dc:creator>
  <cp:lastModifiedBy>l'x'j</cp:lastModifiedBy>
  <dcterms:modified xsi:type="dcterms:W3CDTF">2023-05-09T00:52:44Z</dcterms:modified>
  <dc:title>管理评审控制程序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  <property fmtid="{D5CDD505-2E9C-101B-9397-08002B2CF9AE}" pid="3" name="ICV">
    <vt:lpwstr>4012C97FBAC64B8DAB6A1C173394C408</vt:lpwstr>
  </property>
</Properties>
</file>