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sz w:val="40"/>
          <w:u w:val="none"/>
        </w:rPr>
        <w:t>YUHAN WANG</w:t>
      </w:r>
    </w:p>
    <w:p>
      <w:pPr>
        <w:keepNext/>
        <w:spacing w:before="110" w:after="40"/>
        <w:pBdr>
          <w:bottom w:val="single" w:sz="6" w:space="1" w:color="000000"/>
        </w:pBdr>
      </w:pPr>
      <w:r>
        <w:rPr>
          <w:rFonts w:ascii="Times New Roman" w:hAnsi="Times New Roman" w:eastAsia="Times New Roman"/>
          <w:b/>
          <w:i w:val="0"/>
          <w:smallCaps/>
          <w:sz w:val="26"/>
          <w:u w:val="none"/>
        </w:rPr>
        <w:t>CONTACT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768"/>
        <w:gridCol w:w="2880"/>
      </w:tblGrid>
      <w:tr>
        <w:tc>
          <w:tcPr>
            <w:tcW w:type="dxa" w:w="6768"/>
            <w:vAlign w:val="top"/>
            <w:tcMar>
              <w:top w:w="0" w:type="dxa"/>
              <w:start w:w="0" w:type="dxa"/>
              <w:bottom w:w="0" w:type="dxa"/>
              <w:end w:w="0" w:type="dxa"/>
            </w:tcMar>
          </w:tcPr>
          <w:p>
            <w:pPr>
              <w:spacing w:before="0" w:after="0" w:line="240" w:lineRule="auto"/>
            </w:pPr>
            <w:r>
              <w:rPr>
                <w:rFonts w:ascii="Times New Roman" w:hAnsi="Times New Roman" w:eastAsia="Times New Roman"/>
                <w:b w:val="0"/>
                <w:i w:val="0"/>
                <w:sz w:val="21"/>
                <w:u w:val="none"/>
              </w:rPr>
              <w:t>Department of Agricultural and Applied Economics</w:t>
            </w:r>
          </w:p>
        </w:tc>
        <w:tc>
          <w:tcPr>
            <w:tcW w:type="dxa" w:w="2880"/>
            <w:vAlign w:val="top"/>
            <w:tcMar>
              <w:top w:w="0" w:type="dxa"/>
              <w:start w:w="0" w:type="dxa"/>
              <w:bottom w:w="0" w:type="dxa"/>
              <w:end w:w="0" w:type="dxa"/>
            </w:tcMar>
          </w:tcPr>
          <w:p>
            <w:pPr>
              <w:spacing w:before="0" w:after="0" w:line="240" w:lineRule="auto"/>
              <w:jc w:val="right"/>
            </w:pPr>
            <w:r>
              <w:rPr>
                <w:rFonts w:ascii="Times New Roman" w:hAnsi="Times New Roman" w:eastAsia="Times New Roman"/>
                <w:b/>
                <w:i w:val="0"/>
                <w:sz w:val="21"/>
                <w:u w:val="none"/>
              </w:rPr>
              <w:t>Email:</w:t>
            </w:r>
            <w:r>
              <w:rPr>
                <w:rFonts w:ascii="Times New Roman" w:hAnsi="Times New Roman" w:eastAsia="Times New Roman"/>
                <w:b w:val="0"/>
                <w:i w:val="0"/>
                <w:sz w:val="21"/>
                <w:u w:val="none"/>
              </w:rPr>
              <w:t xml:space="preserve"> ywang2558@wisc.edu</w:t>
            </w:r>
          </w:p>
        </w:tc>
      </w:tr>
      <w:tr>
        <w:tc>
          <w:tcPr>
            <w:tcW w:type="dxa" w:w="6768"/>
            <w:vAlign w:val="top"/>
            <w:tcMar>
              <w:top w:w="0" w:type="dxa"/>
              <w:start w:w="0" w:type="dxa"/>
              <w:bottom w:w="0" w:type="dxa"/>
              <w:end w:w="0" w:type="dxa"/>
            </w:tcMar>
          </w:tcPr>
          <w:p>
            <w:pPr>
              <w:spacing w:before="0" w:after="0" w:line="240" w:lineRule="auto"/>
            </w:pPr>
            <w:r>
              <w:rPr>
                <w:rFonts w:ascii="Times New Roman" w:hAnsi="Times New Roman" w:eastAsia="Times New Roman"/>
                <w:b w:val="0"/>
                <w:i w:val="0"/>
                <w:sz w:val="21"/>
                <w:u w:val="none"/>
              </w:rPr>
              <w:t>University of Wisconsin - Madison</w:t>
            </w:r>
          </w:p>
        </w:tc>
        <w:tc>
          <w:tcPr>
            <w:tcW w:type="dxa" w:w="2880"/>
            <w:vAlign w:val="top"/>
            <w:tcMar>
              <w:top w:w="0" w:type="dxa"/>
              <w:start w:w="0" w:type="dxa"/>
              <w:bottom w:w="0" w:type="dxa"/>
              <w:end w:w="0" w:type="dxa"/>
            </w:tcMar>
          </w:tcPr>
          <w:p>
            <w:pPr>
              <w:spacing w:before="0" w:after="0" w:line="240" w:lineRule="auto"/>
              <w:jc w:val="right"/>
            </w:pPr>
            <w:r>
              <w:rPr>
                <w:rFonts w:ascii="Times New Roman" w:hAnsi="Times New Roman" w:eastAsia="Times New Roman"/>
                <w:b/>
                <w:i w:val="0"/>
                <w:sz w:val="21"/>
                <w:u w:val="none"/>
              </w:rPr>
              <w:t>Phone:</w:t>
            </w:r>
            <w:r>
              <w:rPr>
                <w:rFonts w:ascii="Times New Roman" w:hAnsi="Times New Roman" w:eastAsia="Times New Roman"/>
                <w:b w:val="0"/>
                <w:i w:val="0"/>
                <w:sz w:val="21"/>
                <w:u w:val="none"/>
              </w:rPr>
              <w:t xml:space="preserve"> 608-772-0502</w:t>
            </w:r>
          </w:p>
        </w:tc>
      </w:tr>
      <w:tr>
        <w:tc>
          <w:tcPr>
            <w:tcW w:type="dxa" w:w="6768"/>
            <w:vAlign w:val="top"/>
            <w:tcMar>
              <w:top w:w="0" w:type="dxa"/>
              <w:start w:w="0" w:type="dxa"/>
              <w:bottom w:w="0" w:type="dxa"/>
              <w:end w:w="0" w:type="dxa"/>
            </w:tcMar>
          </w:tcPr>
          <w:p>
            <w:pPr>
              <w:spacing w:before="0" w:after="0" w:line="240" w:lineRule="auto"/>
            </w:pPr>
            <w:r>
              <w:rPr>
                <w:rFonts w:ascii="Times New Roman" w:hAnsi="Times New Roman" w:eastAsia="Times New Roman"/>
                <w:b w:val="0"/>
                <w:i w:val="0"/>
                <w:sz w:val="21"/>
                <w:u w:val="none"/>
              </w:rPr>
              <w:t>Madison, WI, United States</w:t>
            </w:r>
          </w:p>
        </w:tc>
        <w:tc>
          <w:tcPr>
            <w:tcW w:type="dxa" w:w="2880"/>
            <w:vAlign w:val="top"/>
            <w:tcMar>
              <w:top w:w="0" w:type="dxa"/>
              <w:start w:w="0" w:type="dxa"/>
              <w:bottom w:w="0" w:type="dxa"/>
              <w:end w:w="0" w:type="dxa"/>
            </w:tcMar>
          </w:tcPr>
          <w:p>
            <w:pPr>
              <w:spacing w:before="0" w:after="0" w:line="240" w:lineRule="auto"/>
            </w:pPr>
          </w:p>
        </w:tc>
      </w:tr>
    </w:tbl>
    <w:p>
      <w:pPr>
        <w:keepNext/>
        <w:spacing w:before="110" w:after="40"/>
        <w:pBdr>
          <w:bottom w:val="single" w:sz="6" w:space="1" w:color="000000"/>
        </w:pBdr>
      </w:pPr>
      <w:r>
        <w:rPr>
          <w:rFonts w:ascii="Times New Roman" w:hAnsi="Times New Roman" w:eastAsia="Times New Roman"/>
          <w:b/>
          <w:i w:val="0"/>
          <w:smallCaps/>
          <w:sz w:val="26"/>
          <w:u w:val="none"/>
        </w:rPr>
        <w:t>EDUCATION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i w:val="0"/>
                <w:sz w:val="21"/>
                <w:u w:val="none"/>
              </w:rPr>
              <w:t>University of Wisconsin - Madison</w:t>
            </w:r>
          </w:p>
        </w:tc>
        <w:tc>
          <w:tcPr>
            <w:tcW w:type="dxa" w:w="1699"/>
            <w:vAlign w:val="top"/>
            <w:tcMar>
              <w:top w:w="0" w:type="dxa"/>
              <w:start w:w="0" w:type="dxa"/>
              <w:bottom w:w="0" w:type="dxa"/>
              <w:end w:w="0" w:type="dxa"/>
            </w:tcMar>
          </w:tcPr>
          <w:p>
            <w:pPr>
              <w:spacing w:before="0" w:after="0" w:line="240" w:lineRule="auto"/>
              <w:jc w:val="right"/>
            </w:pP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461"/>
            </w:pPr>
            <w:r>
              <w:rPr>
                <w:rFonts w:ascii="Times New Roman" w:hAnsi="Times New Roman" w:eastAsia="Times New Roman"/>
                <w:b w:val="0"/>
                <w:i w:val="0"/>
                <w:sz w:val="21"/>
                <w:u w:val="none"/>
              </w:rPr>
              <w:t>M.S., Applied Economics (completed); GPA: 4.0/4.0</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2019 - 2021</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461"/>
            </w:pPr>
            <w:r>
              <w:rPr>
                <w:rFonts w:ascii="Times New Roman" w:hAnsi="Times New Roman" w:eastAsia="Times New Roman"/>
                <w:b w:val="0"/>
                <w:i w:val="0"/>
                <w:sz w:val="21"/>
                <w:u w:val="none"/>
              </w:rPr>
              <w:t>M.S., Computer Science (completed)</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2021 - 2023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461"/>
            </w:pPr>
            <w:r>
              <w:rPr>
                <w:rFonts w:ascii="Times New Roman" w:hAnsi="Times New Roman" w:eastAsia="Times New Roman"/>
                <w:b w:val="0"/>
                <w:i w:val="0"/>
                <w:sz w:val="21"/>
                <w:u w:val="none"/>
              </w:rPr>
              <w:t>M.S., Applied Economics (in progress)</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2021 - Present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i w:val="0"/>
                <w:sz w:val="21"/>
                <w:u w:val="none"/>
              </w:rPr>
              <w:t>Peking University</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2015 - 2019</w:t>
            </w:r>
          </w:p>
        </w:tc>
      </w:tr>
    </w:tbl>
    <w:p>
      <w:pPr>
        <w:spacing w:before="0" w:after="0" w:line="240" w:lineRule="auto"/>
        <w:ind w:left="461"/>
      </w:pPr>
      <w:r>
        <w:rPr>
          <w:rFonts w:ascii="Times New Roman" w:hAnsi="Times New Roman" w:eastAsia="Times New Roman"/>
          <w:b w:val="0"/>
          <w:i w:val="0"/>
          <w:sz w:val="21"/>
          <w:u w:val="none"/>
        </w:rPr>
        <w:t>B.S., Life Sciences (Bioinformatics track)</w:t>
      </w:r>
    </w:p>
    <w:p>
      <w:pPr>
        <w:spacing w:before="0" w:after="0" w:line="240" w:lineRule="auto"/>
        <w:ind w:left="461"/>
      </w:pPr>
      <w:r>
        <w:rPr>
          <w:rFonts w:ascii="Times New Roman" w:hAnsi="Times New Roman" w:eastAsia="Times New Roman"/>
          <w:b w:val="0"/>
          <w:i w:val="0"/>
          <w:sz w:val="21"/>
          <w:u w:val="none"/>
        </w:rPr>
        <w:t>B.A., Economics</w:t>
      </w:r>
    </w:p>
    <w:p>
      <w:pPr>
        <w:spacing w:before="0" w:after="0" w:line="240" w:lineRule="auto"/>
        <w:ind w:left="461"/>
      </w:pPr>
      <w:r>
        <w:rPr>
          <w:rFonts w:ascii="Times New Roman" w:hAnsi="Times New Roman" w:eastAsia="Times New Roman"/>
          <w:b w:val="0"/>
          <w:i w:val="0"/>
          <w:sz w:val="21"/>
          <w:u w:val="none"/>
        </w:rPr>
        <w:t>GPA: 3.59/4.0</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i w:val="0"/>
                <w:sz w:val="21"/>
                <w:u w:val="none"/>
              </w:rPr>
              <w:t>Uppsala University</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Summer 2017</w:t>
            </w:r>
          </w:p>
        </w:tc>
      </w:tr>
    </w:tbl>
    <w:p>
      <w:pPr>
        <w:spacing w:before="0" w:after="0" w:line="240" w:lineRule="auto"/>
        <w:ind w:left="461"/>
      </w:pPr>
      <w:r>
        <w:rPr>
          <w:rFonts w:ascii="Times New Roman" w:hAnsi="Times New Roman" w:eastAsia="Times New Roman"/>
          <w:b w:val="0"/>
          <w:i w:val="0"/>
          <w:sz w:val="21"/>
          <w:u w:val="none"/>
        </w:rPr>
        <w:t>Summer Session, Sweden Nature</w:t>
      </w:r>
    </w:p>
    <w:p>
      <w:pPr>
        <w:keepNext/>
        <w:spacing w:before="110" w:after="40"/>
        <w:pBdr>
          <w:bottom w:val="single" w:sz="6" w:space="1" w:color="000000"/>
        </w:pBdr>
      </w:pPr>
      <w:r>
        <w:rPr>
          <w:rFonts w:ascii="Times New Roman" w:hAnsi="Times New Roman" w:eastAsia="Times New Roman"/>
          <w:b/>
          <w:i w:val="0"/>
          <w:smallCaps/>
          <w:sz w:val="26"/>
          <w:u w:val="none"/>
        </w:rPr>
        <w:t>RESEARCH INTERESTS</w:t>
      </w:r>
    </w:p>
    <w:p>
      <w:pPr>
        <w:spacing w:before="0" w:after="0" w:line="240" w:lineRule="auto"/>
        <w:ind w:left="317"/>
      </w:pPr>
      <w:r>
        <w:rPr>
          <w:rFonts w:ascii="Times New Roman" w:hAnsi="Times New Roman" w:eastAsia="Times New Roman"/>
          <w:b w:val="0"/>
          <w:i w:val="0"/>
          <w:sz w:val="21"/>
          <w:u w:val="none"/>
        </w:rPr>
        <w:t>Agricultural Economics, Environmental and Resource Economics, Agricultural Finance, Empirical Industrial Organization, Applied Econometrics, Climate Adaptation</w:t>
      </w:r>
    </w:p>
    <w:p>
      <w:pPr>
        <w:keepNext/>
        <w:spacing w:before="110" w:after="40"/>
        <w:pBdr>
          <w:bottom w:val="single" w:sz="6" w:space="1" w:color="000000"/>
        </w:pBdr>
      </w:pPr>
      <w:r>
        <w:rPr>
          <w:rFonts w:ascii="Times New Roman" w:hAnsi="Times New Roman" w:eastAsia="Times New Roman"/>
          <w:b/>
          <w:i w:val="0"/>
          <w:smallCaps/>
          <w:sz w:val="26"/>
          <w:u w:val="none"/>
        </w:rPr>
        <w:t>RESEARCH PROJECTS</w:t>
      </w:r>
    </w:p>
    <w:p>
      <w:pPr>
        <w:spacing w:before="0" w:after="20" w:line="240" w:lineRule="auto"/>
        <w:ind w:left="317"/>
      </w:pPr>
      <w:r>
        <w:rPr>
          <w:rFonts w:ascii="Times New Roman" w:hAnsi="Times New Roman" w:eastAsia="Times New Roman"/>
          <w:b/>
          <w:i w:val="0"/>
          <w:sz w:val="23"/>
          <w:u w:val="none"/>
        </w:rPr>
        <w:t>Working Papers</w:t>
      </w:r>
    </w:p>
    <w:p>
      <w:pPr>
        <w:spacing w:before="0" w:after="20" w:line="240" w:lineRule="auto"/>
        <w:ind w:left="490" w:hanging="230"/>
      </w:pPr>
      <w:r>
        <w:rPr>
          <w:rFonts w:ascii="Times New Roman" w:hAnsi="Times New Roman" w:eastAsia="Times New Roman"/>
          <w:b w:val="0"/>
          <w:i w:val="0"/>
          <w:sz w:val="21"/>
          <w:u w:val="none"/>
        </w:rPr>
        <w:t xml:space="preserve">• </w:t>
      </w:r>
      <w:r>
        <w:rPr>
          <w:rFonts w:ascii="Times New Roman" w:hAnsi="Times New Roman" w:eastAsia="Times New Roman"/>
          <w:b w:val="0"/>
          <w:i/>
          <w:sz w:val="21"/>
          <w:u w:val="none"/>
        </w:rPr>
        <w:t>A Text-Based Measure of Farm Bill Uncertainty and Its Effects on Agricultural Credit</w:t>
      </w:r>
      <w:r>
        <w:rPr>
          <w:rFonts w:ascii="Times New Roman" w:hAnsi="Times New Roman" w:eastAsia="Times New Roman"/>
          <w:b w:val="0"/>
          <w:i w:val="0"/>
          <w:sz w:val="21"/>
          <w:u w:val="none"/>
        </w:rPr>
        <w:t xml:space="preserve"> (with Xiaodong Du)</w:t>
      </w:r>
    </w:p>
    <w:p>
      <w:pPr>
        <w:spacing w:before="0" w:after="20" w:line="240" w:lineRule="auto"/>
        <w:ind w:left="490" w:hanging="230"/>
      </w:pPr>
      <w:r>
        <w:rPr>
          <w:rFonts w:ascii="Times New Roman" w:hAnsi="Times New Roman" w:eastAsia="Times New Roman"/>
          <w:b w:val="0"/>
          <w:i w:val="0"/>
          <w:sz w:val="21"/>
          <w:u w:val="none"/>
        </w:rPr>
        <w:t xml:space="preserve">• </w:t>
      </w:r>
      <w:r>
        <w:rPr>
          <w:rFonts w:ascii="Times New Roman" w:hAnsi="Times New Roman" w:eastAsia="Times New Roman"/>
          <w:b w:val="0"/>
          <w:i/>
          <w:sz w:val="21"/>
          <w:u w:val="none"/>
        </w:rPr>
        <w:t>Technology, Risk, and Climate Adaptation: Corn Specialization in the U.S. Corn Belt</w:t>
      </w:r>
      <w:r>
        <w:rPr>
          <w:rFonts w:ascii="Times New Roman" w:hAnsi="Times New Roman" w:eastAsia="Times New Roman"/>
          <w:b w:val="0"/>
          <w:i w:val="0"/>
          <w:sz w:val="21"/>
          <w:u w:val="none"/>
        </w:rPr>
        <w:t xml:space="preserve"> (with Xiaodong Du, Xueying Sun)</w:t>
      </w:r>
    </w:p>
    <w:p>
      <w:pPr>
        <w:spacing w:before="0" w:after="20" w:line="240" w:lineRule="auto"/>
        <w:ind w:left="490" w:hanging="230"/>
      </w:pPr>
      <w:r>
        <w:rPr>
          <w:rFonts w:ascii="Times New Roman" w:hAnsi="Times New Roman" w:eastAsia="Times New Roman"/>
          <w:b w:val="0"/>
          <w:i w:val="0"/>
          <w:sz w:val="21"/>
          <w:u w:val="none"/>
        </w:rPr>
        <w:t xml:space="preserve">• </w:t>
      </w:r>
      <w:r>
        <w:rPr>
          <w:rFonts w:ascii="Times New Roman" w:hAnsi="Times New Roman" w:eastAsia="Times New Roman"/>
          <w:b w:val="0"/>
          <w:i/>
          <w:sz w:val="21"/>
          <w:u w:val="none"/>
        </w:rPr>
        <w:t>Demand, Markups, and Counterfactuals in U.S. Poultry Shipments: Evidence from Linked Commodity Flow and Manufacturing Microdata</w:t>
      </w:r>
    </w:p>
    <w:p>
      <w:pPr>
        <w:spacing w:before="80" w:after="20" w:line="240" w:lineRule="auto"/>
        <w:ind w:left="317"/>
      </w:pPr>
      <w:r>
        <w:rPr>
          <w:rFonts w:ascii="Times New Roman" w:hAnsi="Times New Roman" w:eastAsia="Times New Roman"/>
          <w:b/>
          <w:i w:val="0"/>
          <w:sz w:val="23"/>
          <w:u w:val="none"/>
        </w:rPr>
        <w:t>Selected Work in Progress</w:t>
      </w:r>
    </w:p>
    <w:p>
      <w:pPr>
        <w:spacing w:before="0" w:after="20" w:line="240" w:lineRule="auto"/>
        <w:ind w:left="490" w:hanging="230"/>
      </w:pPr>
      <w:r>
        <w:rPr>
          <w:rFonts w:ascii="Times New Roman" w:hAnsi="Times New Roman" w:eastAsia="Times New Roman"/>
          <w:b w:val="0"/>
          <w:i w:val="0"/>
          <w:sz w:val="21"/>
          <w:u w:val="none"/>
        </w:rPr>
        <w:t xml:space="preserve">• </w:t>
      </w:r>
      <w:r>
        <w:rPr>
          <w:rFonts w:ascii="Times New Roman" w:hAnsi="Times New Roman" w:eastAsia="Times New Roman"/>
          <w:b w:val="0"/>
          <w:i w:val="0"/>
          <w:sz w:val="21"/>
          <w:u w:val="none"/>
        </w:rPr>
        <w:t>How Does Climate Change Affect the Farmland Allocation and Trade Flow in the U.S.?</w:t>
      </w:r>
    </w:p>
    <w:p>
      <w:pPr>
        <w:spacing w:before="0" w:after="20" w:line="240" w:lineRule="auto"/>
        <w:ind w:left="490" w:hanging="230"/>
      </w:pPr>
      <w:r>
        <w:rPr>
          <w:rFonts w:ascii="Times New Roman" w:hAnsi="Times New Roman" w:eastAsia="Times New Roman"/>
          <w:b w:val="0"/>
          <w:i w:val="0"/>
          <w:sz w:val="21"/>
          <w:u w:val="none"/>
        </w:rPr>
        <w:t xml:space="preserve">• </w:t>
      </w:r>
      <w:r>
        <w:rPr>
          <w:rFonts w:ascii="Times New Roman" w:hAnsi="Times New Roman" w:eastAsia="Times New Roman"/>
          <w:b w:val="0"/>
          <w:i w:val="0"/>
          <w:sz w:val="21"/>
          <w:u w:val="none"/>
        </w:rPr>
        <w:t>U.S. Meat Market Demand Analysis using Nielsen Data</w:t>
      </w:r>
    </w:p>
    <w:p>
      <w:pPr>
        <w:keepNext/>
        <w:spacing w:before="110" w:after="40"/>
        <w:pBdr>
          <w:bottom w:val="single" w:sz="6" w:space="1" w:color="000000"/>
        </w:pBdr>
      </w:pPr>
      <w:r>
        <w:rPr>
          <w:rFonts w:ascii="Times New Roman" w:hAnsi="Times New Roman" w:eastAsia="Times New Roman"/>
          <w:b/>
          <w:i w:val="0"/>
          <w:smallCaps/>
          <w:sz w:val="26"/>
          <w:u w:val="none"/>
        </w:rPr>
        <w:t>RESEARCH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Graduate Researcher, U.S. Meat Market Demand Analysis, UW-Madison AAE</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2020 - Present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Individual Researcher, VIX Trading Strategies, City University of Hong Kong</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2018</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Researcher, Dimensionality Reduction Algorithms in Julia, Peking University</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2018 - 2019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Summer Visiting Researcher, Uppsala University</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2017</w:t>
            </w:r>
          </w:p>
        </w:tc>
      </w:tr>
    </w:tbl>
    <w:p>
      <w:pPr>
        <w:keepNext/>
        <w:spacing w:before="110" w:after="40"/>
        <w:pBdr>
          <w:bottom w:val="single" w:sz="6" w:space="1" w:color="000000"/>
        </w:pBdr>
      </w:pPr>
      <w:r>
        <w:rPr>
          <w:rFonts w:ascii="Times New Roman" w:hAnsi="Times New Roman" w:eastAsia="Times New Roman"/>
          <w:b/>
          <w:i w:val="0"/>
          <w:smallCaps/>
          <w:sz w:val="26"/>
          <w:u w:val="none"/>
        </w:rPr>
        <w:t>PROFESSIONAL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Quantitative Strategy Researcher, Alphafund Investment Company, Beijing</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2018 - 2019</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Audit Intern, HSYH Accounting Firm, Beijing</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2018</w:t>
            </w:r>
          </w:p>
        </w:tc>
      </w:tr>
    </w:tbl>
    <w:p>
      <w:pPr>
        <w:keepNext/>
        <w:spacing w:before="110" w:after="40"/>
        <w:pBdr>
          <w:bottom w:val="single" w:sz="6" w:space="1" w:color="000000"/>
        </w:pBdr>
      </w:pPr>
      <w:r>
        <w:rPr>
          <w:rFonts w:ascii="Times New Roman" w:hAnsi="Times New Roman" w:eastAsia="Times New Roman"/>
          <w:b/>
          <w:i w:val="0"/>
          <w:smallCaps/>
          <w:sz w:val="26"/>
          <w:u w:val="none"/>
        </w:rPr>
        <w:t>TEACHING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AAE421: Economic Decision Analysis (001), FA22</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Principal Instructor</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AAE722: Machine Learning in Applied Economic Analysis (001), GFF SU21</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TA</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AAE722: Machine Learning in Applied Economic Analysis (001), FA22</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TA</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Mathematics and Chemistry Teacher, TAL Education Group, Beijing</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2017 - 2018</w:t>
            </w:r>
          </w:p>
        </w:tc>
      </w:tr>
    </w:tbl>
    <w:p>
      <w:pPr>
        <w:keepNext/>
        <w:spacing w:before="110" w:after="40"/>
        <w:pBdr>
          <w:bottom w:val="single" w:sz="6" w:space="1" w:color="000000"/>
        </w:pBdr>
      </w:pPr>
      <w:r>
        <w:rPr>
          <w:rFonts w:ascii="Times New Roman" w:hAnsi="Times New Roman" w:eastAsia="Times New Roman"/>
          <w:b/>
          <w:i w:val="0"/>
          <w:smallCaps/>
          <w:sz w:val="26"/>
          <w:u w:val="none"/>
        </w:rPr>
        <w:t>HONORS, SCHOLARSHIPS, AND FELLOWSHIPS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Deborah and David Penn Ag and Applied Economics Graduate Student Fund</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2025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Barbara Forrest Student Award</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2024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Deborah and David Penn Ag and Applied Economics Graduate Student Fund</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2023</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UW-Madison Graduate School Conference Presentation Award</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2022</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First Prize, National Mathematics Competition</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2015</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First Prize, National Chemistry Competition</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2015</w:t>
            </w:r>
          </w:p>
        </w:tc>
      </w:tr>
    </w:tbl>
    <w:p>
      <w:pPr>
        <w:keepNext/>
        <w:spacing w:before="110" w:after="40"/>
        <w:pBdr>
          <w:bottom w:val="single" w:sz="6" w:space="1" w:color="000000"/>
        </w:pBdr>
      </w:pPr>
      <w:r>
        <w:rPr>
          <w:rFonts w:ascii="Times New Roman" w:hAnsi="Times New Roman" w:eastAsia="Times New Roman"/>
          <w:b/>
          <w:i w:val="0"/>
          <w:smallCaps/>
          <w:sz w:val="26"/>
          <w:u w:val="none"/>
        </w:rPr>
        <w:t>CONFERENCES &amp; SEMINAR PRESENTATIONS</w:t>
      </w:r>
    </w:p>
    <w:p>
      <w:pPr>
        <w:spacing w:after="0" w:line="240" w:lineRule="auto"/>
        <w:ind w:left="317"/>
      </w:pPr>
      <w:r>
        <w:rPr>
          <w:rFonts w:ascii="Times New Roman" w:hAnsi="Times New Roman" w:eastAsia="Times New Roman"/>
          <w:b/>
          <w:i w:val="0"/>
          <w:sz w:val="21"/>
          <w:u w:val="none"/>
        </w:rPr>
        <w:t xml:space="preserve">2025: </w:t>
      </w:r>
      <w:r>
        <w:rPr>
          <w:rFonts w:ascii="Times New Roman" w:hAnsi="Times New Roman" w:eastAsia="Times New Roman"/>
          <w:b w:val="0"/>
          <w:i w:val="0"/>
          <w:sz w:val="21"/>
          <w:u w:val="none"/>
        </w:rPr>
        <w:t xml:space="preserve">AAEA &amp; WAEA Joint Annual Meeting, Denver, CO, July 27-29; Poster Presentation: </w:t>
      </w:r>
      <w:r>
        <w:rPr>
          <w:rFonts w:ascii="Times New Roman" w:hAnsi="Times New Roman" w:eastAsia="Times New Roman"/>
          <w:b w:val="0"/>
          <w:i/>
          <w:sz w:val="21"/>
          <w:u w:val="none"/>
        </w:rPr>
        <w:t>Agricultural Lending Under Policy Uncertainty</w:t>
      </w:r>
      <w:r>
        <w:rPr>
          <w:rFonts w:ascii="Times New Roman" w:hAnsi="Times New Roman" w:eastAsia="Times New Roman"/>
          <w:b w:val="0"/>
          <w:i w:val="0"/>
          <w:sz w:val="21"/>
          <w:u w:val="none"/>
        </w:rPr>
        <w:t xml:space="preserve"> (with Sheldon Du)</w:t>
      </w:r>
    </w:p>
    <w:p>
      <w:pPr>
        <w:spacing w:after="0" w:line="240" w:lineRule="auto"/>
        <w:ind w:left="317"/>
      </w:pPr>
      <w:r>
        <w:rPr>
          <w:rFonts w:ascii="Times New Roman" w:hAnsi="Times New Roman" w:eastAsia="Times New Roman"/>
          <w:b/>
          <w:i w:val="0"/>
          <w:sz w:val="21"/>
          <w:u w:val="none"/>
        </w:rPr>
        <w:t xml:space="preserve">2024: </w:t>
      </w:r>
      <w:r>
        <w:rPr>
          <w:rFonts w:ascii="Times New Roman" w:hAnsi="Times New Roman" w:eastAsia="Times New Roman"/>
          <w:b w:val="0"/>
          <w:i w:val="0"/>
          <w:sz w:val="21"/>
          <w:u w:val="none"/>
        </w:rPr>
        <w:t xml:space="preserve">AAEA Annual Meeting, New Orleans, LA, July 28-30; Poster Presentation: </w:t>
      </w:r>
      <w:r>
        <w:rPr>
          <w:rFonts w:ascii="Times New Roman" w:hAnsi="Times New Roman" w:eastAsia="Times New Roman"/>
          <w:b w:val="0"/>
          <w:i/>
          <w:sz w:val="21"/>
          <w:u w:val="none"/>
        </w:rPr>
        <w:t>How Does Climate Change Affect the Farmland Allocation and Trade Flow in the U.S.?</w:t>
      </w:r>
    </w:p>
    <w:p>
      <w:pPr>
        <w:keepNext/>
        <w:spacing w:before="110" w:after="40"/>
        <w:pBdr>
          <w:bottom w:val="single" w:sz="6" w:space="1" w:color="000000"/>
        </w:pBdr>
      </w:pPr>
      <w:r>
        <w:rPr>
          <w:rFonts w:ascii="Times New Roman" w:hAnsi="Times New Roman" w:eastAsia="Times New Roman"/>
          <w:b/>
          <w:i w:val="0"/>
          <w:smallCaps/>
          <w:sz w:val="26"/>
          <w:u w:val="none"/>
        </w:rPr>
        <w:t>SERVICES &amp; OTHER ACTIVITIES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UW Madison AAE Seminar Organizer</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2023 - 2024</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Core Member, Peking University Life Science Industry Association</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2015 - 2017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Leader, Peking University School of Life Sciences Student Union</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2015 - 2017</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992"/>
        <w:gridCol w:w="1699"/>
      </w:tblGrid>
      <w:tr>
        <w:tc>
          <w:tcPr>
            <w:tcW w:type="dxa" w:w="7992"/>
            <w:vAlign w:val="top"/>
            <w:tcMar>
              <w:top w:w="0" w:type="dxa"/>
              <w:start w:w="0" w:type="dxa"/>
              <w:bottom w:w="0" w:type="dxa"/>
              <w:end w:w="0" w:type="dxa"/>
            </w:tcMar>
          </w:tcPr>
          <w:p>
            <w:pPr>
              <w:spacing w:before="0" w:after="0" w:line="240" w:lineRule="auto"/>
              <w:ind w:left="317"/>
            </w:pPr>
            <w:r>
              <w:rPr>
                <w:rFonts w:ascii="Times New Roman" w:hAnsi="Times New Roman" w:eastAsia="Times New Roman"/>
                <w:b w:val="0"/>
                <w:i w:val="0"/>
                <w:sz w:val="21"/>
                <w:u w:val="none"/>
              </w:rPr>
              <w:t>Team Member, Peking University Yuanhuo Chess and Card Club</w:t>
            </w:r>
          </w:p>
        </w:tc>
        <w:tc>
          <w:tcPr>
            <w:tcW w:type="dxa" w:w="1699"/>
            <w:vAlign w:val="top"/>
            <w:tcMar>
              <w:top w:w="0" w:type="dxa"/>
              <w:start w:w="0" w:type="dxa"/>
              <w:bottom w:w="0" w:type="dxa"/>
              <w:end w:w="0" w:type="dxa"/>
            </w:tcMar>
          </w:tcPr>
          <w:p>
            <w:pPr>
              <w:spacing w:before="0" w:after="0" w:line="240" w:lineRule="auto"/>
              <w:jc w:val="right"/>
            </w:pPr>
            <w:r>
              <w:rPr>
                <w:rFonts w:ascii="Times New Roman" w:hAnsi="Times New Roman" w:eastAsia="Times New Roman"/>
                <w:b w:val="0"/>
                <w:i/>
                <w:sz w:val="21"/>
                <w:u w:val="none"/>
              </w:rPr>
              <w:t>2019</w:t>
            </w:r>
          </w:p>
        </w:tc>
      </w:tr>
    </w:tbl>
    <w:p>
      <w:pPr>
        <w:keepNext/>
        <w:spacing w:before="110" w:after="40"/>
        <w:pBdr>
          <w:bottom w:val="single" w:sz="6" w:space="1" w:color="000000"/>
        </w:pBdr>
      </w:pPr>
      <w:r>
        <w:rPr>
          <w:rFonts w:ascii="Times New Roman" w:hAnsi="Times New Roman" w:eastAsia="Times New Roman"/>
          <w:b/>
          <w:i w:val="0"/>
          <w:smallCaps/>
          <w:sz w:val="26"/>
          <w:u w:val="none"/>
        </w:rPr>
        <w:t>SKILLS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00"/>
        <w:gridCol w:w="7704"/>
      </w:tblGrid>
      <w:tr>
        <w:tc>
          <w:tcPr>
            <w:tcW w:type="dxa" w:w="1800"/>
            <w:vAlign w:val="top"/>
            <w:tcMar>
              <w:top w:w="0" w:type="dxa"/>
              <w:start w:w="0" w:type="dxa"/>
              <w:bottom w:w="0" w:type="dxa"/>
              <w:end w:w="0" w:type="dxa"/>
            </w:tcMar>
          </w:tcPr>
          <w:p>
            <w:pPr>
              <w:spacing w:before="0" w:after="0" w:line="240" w:lineRule="auto"/>
              <w:ind w:left="317"/>
            </w:pPr>
            <w:r>
              <w:rPr>
                <w:rFonts w:ascii="Times New Roman" w:hAnsi="Times New Roman" w:eastAsia="Times New Roman"/>
                <w:b/>
                <w:i w:val="0"/>
                <w:sz w:val="21"/>
                <w:u w:val="none"/>
              </w:rPr>
              <w:t>Computing</w:t>
            </w:r>
          </w:p>
        </w:tc>
        <w:tc>
          <w:tcPr>
            <w:tcW w:type="dxa" w:w="7704"/>
            <w:vAlign w:val="top"/>
            <w:tcMar>
              <w:top w:w="0" w:type="dxa"/>
              <w:start w:w="0" w:type="dxa"/>
              <w:bottom w:w="0" w:type="dxa"/>
              <w:end w:w="0" w:type="dxa"/>
            </w:tcMar>
          </w:tcPr>
          <w:p>
            <w:pPr>
              <w:spacing w:before="0" w:after="0" w:line="240" w:lineRule="auto"/>
            </w:pPr>
            <w:r>
              <w:rPr>
                <w:rFonts w:ascii="Times New Roman" w:hAnsi="Times New Roman" w:eastAsia="Times New Roman"/>
                <w:b w:val="0"/>
                <w:i w:val="0"/>
                <w:sz w:val="21"/>
                <w:u w:val="none"/>
              </w:rPr>
              <w:t>C/C++, R, Python, Julia, SQL, Excel, MATLAB, Stata, Java, Microsoft Office, LaTeX</w:t>
            </w:r>
          </w:p>
        </w:tc>
      </w:tr>
      <w:tr>
        <w:tc>
          <w:tcPr>
            <w:tcW w:type="dxa" w:w="1800"/>
            <w:vAlign w:val="top"/>
            <w:tcMar>
              <w:top w:w="0" w:type="dxa"/>
              <w:start w:w="0" w:type="dxa"/>
              <w:bottom w:w="0" w:type="dxa"/>
              <w:end w:w="0" w:type="dxa"/>
            </w:tcMar>
          </w:tcPr>
          <w:p>
            <w:pPr>
              <w:spacing w:before="0" w:after="0" w:line="240" w:lineRule="auto"/>
              <w:ind w:left="317"/>
            </w:pPr>
            <w:r>
              <w:rPr>
                <w:rFonts w:ascii="Times New Roman" w:hAnsi="Times New Roman" w:eastAsia="Times New Roman"/>
                <w:b/>
                <w:i w:val="0"/>
                <w:sz w:val="21"/>
                <w:u w:val="none"/>
              </w:rPr>
              <w:t>Languages</w:t>
            </w:r>
          </w:p>
        </w:tc>
        <w:tc>
          <w:tcPr>
            <w:tcW w:type="dxa" w:w="7704"/>
            <w:vAlign w:val="top"/>
            <w:tcMar>
              <w:top w:w="0" w:type="dxa"/>
              <w:start w:w="0" w:type="dxa"/>
              <w:bottom w:w="0" w:type="dxa"/>
              <w:end w:w="0" w:type="dxa"/>
            </w:tcMar>
          </w:tcPr>
          <w:p>
            <w:pPr>
              <w:spacing w:before="0" w:after="0" w:line="240" w:lineRule="auto"/>
            </w:pPr>
            <w:r>
              <w:rPr>
                <w:rFonts w:ascii="Times New Roman" w:hAnsi="Times New Roman" w:eastAsia="Times New Roman"/>
                <w:b w:val="0"/>
                <w:i w:val="0"/>
                <w:sz w:val="21"/>
                <w:u w:val="none"/>
              </w:rPr>
              <w:t>English (fluent), Mandarin Chinese (native)</w:t>
            </w:r>
          </w:p>
        </w:tc>
      </w:tr>
      <w:tr>
        <w:tc>
          <w:tcPr>
            <w:tcW w:type="dxa" w:w="1800"/>
            <w:vAlign w:val="top"/>
            <w:tcMar>
              <w:top w:w="0" w:type="dxa"/>
              <w:start w:w="0" w:type="dxa"/>
              <w:bottom w:w="0" w:type="dxa"/>
              <w:end w:w="0" w:type="dxa"/>
            </w:tcMar>
          </w:tcPr>
          <w:p>
            <w:pPr>
              <w:spacing w:before="0" w:after="0" w:line="240" w:lineRule="auto"/>
              <w:ind w:left="317"/>
            </w:pPr>
            <w:r>
              <w:rPr>
                <w:rFonts w:ascii="Times New Roman" w:hAnsi="Times New Roman" w:eastAsia="Times New Roman"/>
                <w:b/>
                <w:i w:val="0"/>
                <w:sz w:val="21"/>
                <w:u w:val="none"/>
              </w:rPr>
              <w:t>Credentials</w:t>
            </w:r>
          </w:p>
        </w:tc>
        <w:tc>
          <w:tcPr>
            <w:tcW w:type="dxa" w:w="7704"/>
            <w:vAlign w:val="top"/>
            <w:tcMar>
              <w:top w:w="0" w:type="dxa"/>
              <w:start w:w="0" w:type="dxa"/>
              <w:bottom w:w="0" w:type="dxa"/>
              <w:end w:w="0" w:type="dxa"/>
            </w:tcMar>
          </w:tcPr>
          <w:p>
            <w:pPr>
              <w:spacing w:before="0" w:after="0" w:line="240" w:lineRule="auto"/>
            </w:pPr>
            <w:r>
              <w:rPr>
                <w:rFonts w:ascii="Times New Roman" w:hAnsi="Times New Roman" w:eastAsia="Times New Roman"/>
                <w:b w:val="0"/>
                <w:i w:val="0"/>
                <w:sz w:val="21"/>
                <w:u w:val="none"/>
              </w:rPr>
              <w:t>ACCA F1-F3 Pass; TOEFL 106; GMAT 710</w:t>
            </w:r>
          </w:p>
        </w:tc>
      </w:tr>
    </w:tbl>
    <w:p>
      <w:pPr>
        <w:keepNext/>
        <w:spacing w:before="110" w:after="40"/>
        <w:pBdr>
          <w:bottom w:val="single" w:sz="6" w:space="1" w:color="000000"/>
        </w:pBdr>
      </w:pPr>
      <w:r>
        <w:rPr>
          <w:rFonts w:ascii="Times New Roman" w:hAnsi="Times New Roman" w:eastAsia="Times New Roman"/>
          <w:b/>
          <w:i w:val="0"/>
          <w:smallCaps/>
          <w:sz w:val="26"/>
          <w:u w:val="none"/>
        </w:rPr>
        <w:t>ABSTRACTS</w:t>
      </w:r>
    </w:p>
    <w:p>
      <w:pPr>
        <w:keepNext/>
        <w:spacing w:before="120" w:after="20"/>
      </w:pPr>
      <w:r>
        <w:rPr>
          <w:rFonts w:ascii="Times New Roman" w:hAnsi="Times New Roman" w:eastAsia="Times New Roman"/>
          <w:b/>
          <w:i w:val="0"/>
          <w:sz w:val="21"/>
          <w:u w:val="none"/>
        </w:rPr>
        <w:t>A Text-Based Measure of Farm Bill Uncertainty and Its Effects on Agricultural Credit (with Xiaodong Du)</w:t>
      </w:r>
    </w:p>
    <w:p>
      <w:pPr>
        <w:spacing w:before="0" w:after="0" w:line="240" w:lineRule="auto"/>
      </w:pPr>
      <w:r>
        <w:rPr>
          <w:rFonts w:ascii="Times New Roman" w:hAnsi="Times New Roman" w:eastAsia="Times New Roman"/>
          <w:b w:val="0"/>
          <w:i w:val="0"/>
          <w:sz w:val="20"/>
          <w:u w:val="single"/>
        </w:rPr>
        <w:t>Abstract:</w:t>
      </w:r>
      <w:r>
        <w:rPr>
          <w:rFonts w:ascii="Times New Roman" w:hAnsi="Times New Roman" w:eastAsia="Times New Roman"/>
          <w:b w:val="0"/>
          <w:i w:val="0"/>
          <w:sz w:val="20"/>
          <w:u w:val="none"/>
        </w:rPr>
        <w:t xml:space="preserve"> </w:t>
      </w:r>
      <w:r>
        <w:rPr>
          <w:rFonts w:ascii="Times New Roman" w:hAnsi="Times New Roman" w:eastAsia="Times New Roman"/>
          <w:b w:val="0"/>
          <w:i w:val="0"/>
          <w:sz w:val="20"/>
          <w:u w:val="none"/>
        </w:rPr>
        <w:t>This paper develops a text-based measure of Farm Bill uncertainty and studies its effects on U.S. agricultural credit supply. It constructs a Farm Bill Uncertainty Index using a two-stage BERT classifier applied to newspaper articles, identifying Farm Bill coverage and isolating language related to legislative delay, disagreement, and procedural impasse. Merging the index with institution-level data for commercial banks, credit unions, and Farm Credit System institutions, the paper shows that higher uncertainty reduces agricultural lending, with the clearest effects among commercial banks. Event-study evidence around major Farm Bill episodes points to a supply-side channel in agricultural credit markets.</w:t>
      </w:r>
    </w:p>
    <w:p>
      <w:pPr>
        <w:keepNext/>
        <w:spacing w:before="120" w:after="20"/>
      </w:pPr>
      <w:r>
        <w:rPr>
          <w:rFonts w:ascii="Times New Roman" w:hAnsi="Times New Roman" w:eastAsia="Times New Roman"/>
          <w:b/>
          <w:i w:val="0"/>
          <w:sz w:val="21"/>
          <w:u w:val="none"/>
        </w:rPr>
        <w:t>Technology, Risk, and Climate Adaptation: Corn Specialization in the U.S. Corn Belt (with Xiaodong Du, Xueying Sun)</w:t>
      </w:r>
    </w:p>
    <w:p>
      <w:pPr>
        <w:spacing w:before="0" w:after="0" w:line="240" w:lineRule="auto"/>
      </w:pPr>
      <w:r>
        <w:rPr>
          <w:rFonts w:ascii="Times New Roman" w:hAnsi="Times New Roman" w:eastAsia="Times New Roman"/>
          <w:b w:val="0"/>
          <w:i w:val="0"/>
          <w:sz w:val="20"/>
          <w:u w:val="single"/>
        </w:rPr>
        <w:t>Abstract:</w:t>
      </w:r>
      <w:r>
        <w:rPr>
          <w:rFonts w:ascii="Times New Roman" w:hAnsi="Times New Roman" w:eastAsia="Times New Roman"/>
          <w:b w:val="0"/>
          <w:i w:val="0"/>
          <w:sz w:val="20"/>
          <w:u w:val="none"/>
        </w:rPr>
        <w:t xml:space="preserve"> </w:t>
      </w:r>
      <w:r>
        <w:rPr>
          <w:rFonts w:ascii="Times New Roman" w:hAnsi="Times New Roman" w:eastAsia="Times New Roman"/>
          <w:b w:val="0"/>
          <w:i w:val="0"/>
          <w:sz w:val="20"/>
          <w:u w:val="none"/>
        </w:rPr>
        <w:t>This paper studies how technological change facilitates climate adaptation in agricultural land use by examining the evolution of corn specialization in the U.S. Corn Belt. It constructs a county-level Technical Change Index using agro-ecological yield-potential data and combines it with long-run data on land use, weather, and crop insurance outcomes. Reduced-form evidence shows that higher technological capacity increases corn specialization and is associated with lower crop-insurance loss ratios. A structural discrete-choice model shows that technology raises returns to specialization, lowers adjustment frictions, and reduces exposure to downside weather risk, helping explain the persistence and spatial evolution of specialized production systems.</w:t>
      </w:r>
    </w:p>
    <w:p>
      <w:pPr>
        <w:keepNext/>
        <w:spacing w:before="120" w:after="20"/>
      </w:pPr>
      <w:r>
        <w:rPr>
          <w:rFonts w:ascii="Times New Roman" w:hAnsi="Times New Roman" w:eastAsia="Times New Roman"/>
          <w:b/>
          <w:i w:val="0"/>
          <w:sz w:val="21"/>
          <w:u w:val="none"/>
        </w:rPr>
        <w:t>Demand, Markups, and Counterfactuals in U.S. Poultry Shipments: Evidence from Linked Commodity Flow and Manufacturing Microdata</w:t>
      </w:r>
    </w:p>
    <w:p>
      <w:pPr>
        <w:spacing w:before="0" w:after="0" w:line="240" w:lineRule="auto"/>
      </w:pPr>
      <w:r>
        <w:rPr>
          <w:rFonts w:ascii="Times New Roman" w:hAnsi="Times New Roman" w:eastAsia="Times New Roman"/>
          <w:b w:val="0"/>
          <w:i w:val="0"/>
          <w:sz w:val="20"/>
          <w:u w:val="single"/>
        </w:rPr>
        <w:t>Abstract:</w:t>
      </w:r>
      <w:r>
        <w:rPr>
          <w:rFonts w:ascii="Times New Roman" w:hAnsi="Times New Roman" w:eastAsia="Times New Roman"/>
          <w:b w:val="0"/>
          <w:i w:val="0"/>
          <w:sz w:val="20"/>
          <w:u w:val="none"/>
        </w:rPr>
        <w:t xml:space="preserve"> </w:t>
      </w:r>
      <w:r>
        <w:rPr>
          <w:rFonts w:ascii="Times New Roman" w:hAnsi="Times New Roman" w:eastAsia="Times New Roman"/>
          <w:b w:val="0"/>
          <w:i w:val="0"/>
          <w:sz w:val="20"/>
          <w:u w:val="none"/>
        </w:rPr>
        <w:t>This paper estimates a random-coefficients demand system with Bertrand pricing for U.S. poultry shipments using Commodity Flow Survey records linked to manufacturing establishments through the Longitudinal Business Database. Products are establishment-commodity pairs and markets are destination-county-year cells. The estimates imply heterogeneous price sensitivity, negative demand effects of shipment distance, and sizable markups. Counterfactual exercises show that plant closures reduce welfare, shorter shipment distances raise welfare, and broader common ownership materially increases prices. The framework adapts differentiated-products methods to freight microdata and highlights the importance of geography and ownership in downstream procurement markets.</w:t>
      </w:r>
    </w:p>
    <w:p>
      <w:pPr>
        <w:spacing w:before="110"/>
        <w:jc w:val="right"/>
      </w:pPr>
      <w:r>
        <w:rPr>
          <w:rFonts w:ascii="Times New Roman" w:hAnsi="Times New Roman" w:eastAsia="Times New Roman"/>
          <w:b w:val="0"/>
          <w:i w:val="0"/>
          <w:sz w:val="18"/>
          <w:u w:val="none"/>
        </w:rPr>
        <w:t>Last Update: May 2026</w:t>
      </w:r>
    </w:p>
    <w:sectPr w:rsidR="00FC693F" w:rsidRPr="0006063C" w:rsidSect="00034616">
      <w:footerReference w:type="default" r:id="rId9"/>
      <w:pgSz w:w="12240" w:h="15840"/>
      <w:pgMar w:top="648" w:right="1008" w:bottom="576" w:left="1008" w:header="720"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i w:val="0"/>
        <w:sz w:val="18"/>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