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DQN 修正版实验结果（experimental results draft）</w:t>
      </w:r>
    </w:p>
    <w:p>
      <w:r>
        <w:t>本节为论文 Results 草稿，所有模型结果均保持 experimental 边界，不构成 formal 监管政策结论。</w:t>
      </w:r>
    </w:p>
    <w:p>
      <w:pPr>
        <w:pStyle w:val="Heading2"/>
      </w:pPr>
      <w:r>
        <w:t>1. 多模型比较</w:t>
      </w:r>
    </w:p>
    <w:p>
      <w:r>
        <w:drawing>
          <wp:inline xmlns:a="http://schemas.openxmlformats.org/drawingml/2006/main" xmlns:pic="http://schemas.openxmlformats.org/drawingml/2006/picture">
            <wp:extent cx="5616000" cy="2504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comparis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0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表 1 显示，本轮比较在统一预算、约束和评价指标下完成。Q-learning 在当前 reward 设定下 total_reward 最高，DQN 修正版排名第二。</w:t>
      </w:r>
    </w:p>
    <w:p>
      <w:pPr>
        <w:pStyle w:val="Heading2"/>
      </w:pPr>
      <w:r>
        <w:t>2. 图表说明</w:t>
      </w:r>
    </w:p>
    <w:p>
      <w:r>
        <w:t>图 1 dqn_revised_policy_comparison.png：比较各策略 total_reward。</w:t>
      </w:r>
    </w:p>
    <w:p>
      <w:r>
        <w:t>图 2 dqn_revised_reward_curve.png：检查训练回报趋势。</w:t>
      </w:r>
    </w:p>
    <w:p>
      <w:r>
        <w:t>图 3 dqn_revised_constraint_summary_explained.png：解释约束违约为 0 的含义。</w:t>
      </w:r>
    </w:p>
    <w:p>
      <w:pPr>
        <w:pStyle w:val="Heading2"/>
      </w:pPr>
      <w:r>
        <w:t>3. 质量核验与边界</w:t>
      </w:r>
    </w:p>
    <w:p>
      <w:r>
        <w:t>图表已执行 PNG 非空检查和解释性修复；表格与报告数字通过 evidence table 映射。当前结果仍需 formal 参数确认、敏感性分析和外部验证。</w:t>
      </w:r>
    </w:p>
    <w:p>
      <w:pPr>
        <w:pStyle w:val="Heading2"/>
      </w:pPr>
      <w:r>
        <w:t>4. 文献依据</w:t>
      </w:r>
    </w:p>
    <w:p>
      <w:r>
        <w:t>DQN 方法、约束强化学习、risk-based inspection、MOE/EDI 和 AFB1 风险评估均已建立候选文献映射。读取状态分为 local deepread、open full text available、abstract-level、metadata-only，不伪造全文阅读。</w:t>
      </w:r>
    </w:p>
    <w:p>
      <w:pPr>
        <w:pStyle w:val="Heading2"/>
      </w:pPr>
      <w:r>
        <w:t>5. Evidence Table</w:t>
      </w:r>
    </w:p>
    <w:p>
      <w:r>
        <w:drawing>
          <wp:inline xmlns:a="http://schemas.openxmlformats.org/drawingml/2006/main" xmlns:pic="http://schemas.openxmlformats.org/drawingml/2006/picture">
            <wp:extent cx="5616000" cy="205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table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5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