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AF243" w14:textId="77777777" w:rsidR="00FD740B" w:rsidRDefault="00616E0E">
      <w:pPr>
        <w:spacing w:before="312" w:line="360" w:lineRule="auto"/>
        <w:ind w:firstLine="480"/>
        <w:jc w:val="center"/>
        <w:rPr>
          <w:rFonts w:eastAsia="黑体" w:cs="Times New Roman"/>
          <w:b/>
          <w:bCs/>
          <w:kern w:val="0"/>
          <w:sz w:val="36"/>
          <w:szCs w:val="36"/>
        </w:rPr>
      </w:pPr>
      <w:r>
        <w:rPr>
          <w:rFonts w:eastAsia="华文中宋" w:cs="Times New Roman"/>
          <w:b/>
          <w:noProof/>
          <w:szCs w:val="21"/>
        </w:rPr>
        <mc:AlternateContent>
          <mc:Choice Requires="wpg">
            <w:drawing>
              <wp:anchor distT="0" distB="0" distL="114300" distR="114300" simplePos="0" relativeHeight="251659264" behindDoc="0" locked="0" layoutInCell="1" allowOverlap="1" wp14:anchorId="01B0F5D6" wp14:editId="7CD3CCBC">
                <wp:simplePos x="0" y="0"/>
                <wp:positionH relativeFrom="margin">
                  <wp:posOffset>1499870</wp:posOffset>
                </wp:positionH>
                <wp:positionV relativeFrom="paragraph">
                  <wp:posOffset>-3810</wp:posOffset>
                </wp:positionV>
                <wp:extent cx="2769870" cy="664210"/>
                <wp:effectExtent l="0" t="0" r="0" b="0"/>
                <wp:wrapNone/>
                <wp:docPr id="13"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769870" cy="664337"/>
                          <a:chOff x="0" y="0"/>
                          <a:chExt cx="4292" cy="1236"/>
                        </a:xfrm>
                        <a:effectLst/>
                      </wpg:grpSpPr>
                      <pic:pic xmlns:pic="http://schemas.openxmlformats.org/drawingml/2006/picture">
                        <pic:nvPicPr>
                          <pic:cNvPr id="14" name="图片 14" descr="校名"/>
                          <pic:cNvPicPr>
                            <a:picLocks noChangeAspect="1"/>
                          </pic:cNvPicPr>
                        </pic:nvPicPr>
                        <pic:blipFill>
                          <a:blip r:embed="rId9"/>
                          <a:stretch>
                            <a:fillRect/>
                          </a:stretch>
                        </pic:blipFill>
                        <pic:spPr>
                          <a:xfrm>
                            <a:off x="1066" y="0"/>
                            <a:ext cx="3226" cy="1236"/>
                          </a:xfrm>
                          <a:prstGeom prst="rect">
                            <a:avLst/>
                          </a:prstGeom>
                          <a:solidFill>
                            <a:srgbClr val="FFFFFF"/>
                          </a:solidFill>
                          <a:ln w="9525">
                            <a:noFill/>
                          </a:ln>
                          <a:effectLst/>
                        </pic:spPr>
                      </pic:pic>
                      <pic:pic xmlns:pic="http://schemas.openxmlformats.org/drawingml/2006/picture">
                        <pic:nvPicPr>
                          <pic:cNvPr id="15" name="图片 15" descr="校徽"/>
                          <pic:cNvPicPr preferRelativeResize="0">
                            <a:picLocks noChangeAspect="1"/>
                          </pic:cNvPicPr>
                        </pic:nvPicPr>
                        <pic:blipFill>
                          <a:blip r:embed="rId10"/>
                          <a:stretch>
                            <a:fillRect/>
                          </a:stretch>
                        </pic:blipFill>
                        <pic:spPr>
                          <a:xfrm>
                            <a:off x="0" y="0"/>
                            <a:ext cx="1083" cy="1083"/>
                          </a:xfrm>
                          <a:prstGeom prst="rect">
                            <a:avLst/>
                          </a:prstGeom>
                          <a:noFill/>
                          <a:ln w="9525">
                            <a:noFill/>
                          </a:ln>
                          <a:effectLst/>
                        </pic:spPr>
                      </pic:pic>
                    </wpg:wgp>
                  </a:graphicData>
                </a:graphic>
              </wp:anchor>
            </w:drawing>
          </mc:Choice>
          <mc:Fallback>
            <w:pict>
              <v:group w14:anchorId="2BE81987" id="组合 2" o:spid="_x0000_s1026" style="position:absolute;margin-left:118.1pt;margin-top:-.3pt;width:218.1pt;height:52.3pt;z-index:251659264;mso-position-horizontal-relative:margin" coordsize="4292,12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 o:spid="_x0000_s1027" type="#_x0000_t75" alt="校名" style="position:absolute;left:1066;width:3226;height:1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" filled="t">
                  <v:imagedata r:id="rId11" o:title="校名"/>
                </v:shape>
                <v:shape id="图片 15" o:spid="_x0000_s1028" type="#_x0000_t75" alt="校徽" style="position:absolute;width:1083;height:10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">
                  <v:imagedata r:id="rId12" o:title="校徽"/>
                </v:shape>
                <w10:wrap anchorx="margin"/>
              </v:group>
            </w:pict>
          </mc:Fallback>
        </mc:AlternateContent>
      </w:r>
    </w:p>
    <w:p w14:paraId="208CCDE2" w14:textId="77777777" w:rsidR="00FD740B" w:rsidRDefault="00FD740B">
      <w:pPr>
        <w:spacing w:before="312" w:line="360" w:lineRule="auto"/>
        <w:ind w:firstLine="723"/>
        <w:rPr>
          <w:rFonts w:eastAsia="黑体" w:cs="Times New Roman"/>
          <w:b/>
          <w:bCs/>
          <w:kern w:val="0"/>
          <w:sz w:val="36"/>
          <w:szCs w:val="36"/>
        </w:rPr>
      </w:pPr>
    </w:p>
    <w:p w14:paraId="54C30CE6" w14:textId="417FA14D" w:rsidR="00FD740B" w:rsidRDefault="00616E0E" w:rsidP="00836C63">
      <w:pPr>
        <w:snapToGrid w:val="0"/>
        <w:ind w:firstLineChars="0" w:firstLine="0"/>
        <w:jc w:val="center"/>
        <w:outlineLvl w:val="1"/>
        <w:rPr>
          <w:rFonts w:eastAsia="Arial Unicode MS" w:cs="Times New Roman"/>
          <w:b/>
          <w:sz w:val="40"/>
          <w:szCs w:val="24"/>
        </w:rPr>
      </w:pPr>
      <w:bookmarkStart w:id="0" w:name="_Toc42274125"/>
      <w:bookmarkStart w:id="1" w:name="_Toc1102"/>
      <w:bookmarkStart w:id="2" w:name="_Toc14972"/>
      <w:bookmarkStart w:id="3" w:name="_Toc2185"/>
      <w:bookmarkStart w:id="4" w:name="_Toc14730"/>
      <w:bookmarkStart w:id="5" w:name="_Toc218094521"/>
      <w:bookmarkStart w:id="6" w:name="_Toc218094754"/>
      <w:r>
        <w:rPr>
          <w:rFonts w:eastAsia="Arial Unicode MS" w:cs="Times New Roman"/>
          <w:b/>
          <w:sz w:val="40"/>
          <w:szCs w:val="24"/>
        </w:rPr>
        <w:t>Research Proposal</w:t>
      </w:r>
      <w:bookmarkEnd w:id="0"/>
      <w:r>
        <w:rPr>
          <w:rFonts w:eastAsia="Arial Unicode MS" w:cs="Times New Roman"/>
          <w:b/>
          <w:sz w:val="40"/>
          <w:szCs w:val="24"/>
        </w:rPr>
        <w:t xml:space="preserve"> of the Course</w:t>
      </w:r>
      <w:r w:rsidR="00E37C74">
        <w:rPr>
          <w:rFonts w:eastAsia="Arial Unicode MS" w:cs="Times New Roman"/>
          <w:b/>
          <w:sz w:val="40"/>
          <w:szCs w:val="24"/>
        </w:rPr>
        <w:t xml:space="preserve"> </w:t>
      </w:r>
      <w:r>
        <w:rPr>
          <w:rFonts w:eastAsia="Arial Unicode MS" w:cs="Times New Roman"/>
          <w:b/>
          <w:sz w:val="40"/>
          <w:szCs w:val="24"/>
        </w:rPr>
        <w:t>《</w:t>
      </w:r>
      <w:r w:rsidR="002D7460">
        <w:rPr>
          <w:rFonts w:eastAsia="Arial Unicode MS" w:cs="Times New Roman"/>
          <w:b/>
          <w:sz w:val="40"/>
          <w:szCs w:val="24"/>
        </w:rPr>
        <w:t>F</w:t>
      </w:r>
      <w:r w:rsidR="002D7460">
        <w:rPr>
          <w:rFonts w:eastAsia="Arial Unicode MS" w:cs="Times New Roman" w:hint="eastAsia"/>
          <w:b/>
          <w:sz w:val="40"/>
          <w:szCs w:val="24"/>
        </w:rPr>
        <w:t>rontiers</w:t>
      </w:r>
      <w:r w:rsidR="002D7460">
        <w:rPr>
          <w:rFonts w:eastAsia="Arial Unicode MS" w:cs="Times New Roman"/>
          <w:b/>
          <w:sz w:val="40"/>
          <w:szCs w:val="24"/>
        </w:rPr>
        <w:t xml:space="preserve"> </w:t>
      </w:r>
      <w:r w:rsidR="002D7460">
        <w:rPr>
          <w:rFonts w:eastAsia="Arial Unicode MS" w:cs="Times New Roman" w:hint="eastAsia"/>
          <w:b/>
          <w:sz w:val="40"/>
          <w:szCs w:val="24"/>
        </w:rPr>
        <w:t xml:space="preserve">of </w:t>
      </w:r>
      <w:r w:rsidR="00E37C74">
        <w:rPr>
          <w:rFonts w:eastAsia="Arial Unicode MS" w:cs="Times New Roman"/>
          <w:b/>
          <w:sz w:val="40"/>
          <w:szCs w:val="24"/>
        </w:rPr>
        <w:t>L</w:t>
      </w:r>
      <w:r w:rsidR="00E37C74">
        <w:rPr>
          <w:rFonts w:eastAsia="Arial Unicode MS" w:cs="Times New Roman" w:hint="eastAsia"/>
          <w:b/>
          <w:sz w:val="40"/>
          <w:szCs w:val="24"/>
        </w:rPr>
        <w:t>ogistics</w:t>
      </w:r>
      <w:r w:rsidR="00E37C74">
        <w:rPr>
          <w:rFonts w:eastAsia="Arial Unicode MS" w:cs="Times New Roman"/>
          <w:b/>
          <w:sz w:val="40"/>
          <w:szCs w:val="24"/>
        </w:rPr>
        <w:t xml:space="preserve"> </w:t>
      </w:r>
      <w:r w:rsidR="00E37C74">
        <w:rPr>
          <w:rFonts w:eastAsia="Arial Unicode MS" w:cs="Times New Roman" w:hint="eastAsia"/>
          <w:b/>
          <w:sz w:val="40"/>
          <w:szCs w:val="24"/>
        </w:rPr>
        <w:t>and</w:t>
      </w:r>
      <w:r w:rsidR="00E37C74">
        <w:rPr>
          <w:rFonts w:eastAsia="Arial Unicode MS" w:cs="Times New Roman"/>
          <w:b/>
          <w:sz w:val="40"/>
          <w:szCs w:val="24"/>
        </w:rPr>
        <w:t xml:space="preserve"> </w:t>
      </w:r>
      <w:r w:rsidR="002D7460">
        <w:rPr>
          <w:rFonts w:eastAsia="Arial Unicode MS" w:cs="Times New Roman"/>
          <w:b/>
          <w:sz w:val="40"/>
          <w:szCs w:val="24"/>
        </w:rPr>
        <w:t>S</w:t>
      </w:r>
      <w:r w:rsidR="002D7460">
        <w:rPr>
          <w:rFonts w:eastAsia="Arial Unicode MS" w:cs="Times New Roman" w:hint="eastAsia"/>
          <w:b/>
          <w:sz w:val="40"/>
          <w:szCs w:val="24"/>
        </w:rPr>
        <w:t>u</w:t>
      </w:r>
      <w:r w:rsidR="002D7460">
        <w:rPr>
          <w:rFonts w:eastAsia="Arial Unicode MS" w:cs="Times New Roman"/>
          <w:b/>
          <w:sz w:val="40"/>
          <w:szCs w:val="24"/>
        </w:rPr>
        <w:t>pply Chain Management</w:t>
      </w:r>
      <w:r>
        <w:rPr>
          <w:rFonts w:eastAsia="Arial Unicode MS" w:cs="Times New Roman"/>
          <w:b/>
          <w:sz w:val="40"/>
          <w:szCs w:val="24"/>
        </w:rPr>
        <w:t>》</w:t>
      </w:r>
      <w:bookmarkEnd w:id="1"/>
      <w:bookmarkEnd w:id="2"/>
      <w:bookmarkEnd w:id="3"/>
      <w:bookmarkEnd w:id="4"/>
      <w:bookmarkEnd w:id="5"/>
      <w:bookmarkEnd w:id="6"/>
    </w:p>
    <w:p w14:paraId="59D2BD6D" w14:textId="77777777" w:rsidR="00FD740B" w:rsidRDefault="00FD740B">
      <w:pPr>
        <w:ind w:right="792" w:firstLine="723"/>
        <w:jc w:val="center"/>
        <w:rPr>
          <w:rFonts w:cs="Times New Roman"/>
          <w:b/>
          <w:bCs/>
          <w:kern w:val="0"/>
          <w:sz w:val="36"/>
          <w:szCs w:val="36"/>
        </w:rPr>
      </w:pPr>
    </w:p>
    <w:p w14:paraId="04B9F1B1" w14:textId="77777777" w:rsidR="00FD740B" w:rsidRDefault="00FD740B">
      <w:pPr>
        <w:ind w:right="792" w:firstLine="723"/>
        <w:jc w:val="center"/>
        <w:rPr>
          <w:rFonts w:cs="Times New Roman"/>
          <w:b/>
          <w:bCs/>
          <w:kern w:val="0"/>
          <w:sz w:val="36"/>
          <w:szCs w:val="36"/>
        </w:rPr>
      </w:pPr>
    </w:p>
    <w:p w14:paraId="6C79C6C6" w14:textId="77777777" w:rsidR="00FD740B" w:rsidRDefault="00FD740B">
      <w:pPr>
        <w:ind w:firstLine="602"/>
        <w:rPr>
          <w:rFonts w:cs="Times New Roman"/>
          <w:b/>
          <w:bCs/>
          <w:kern w:val="0"/>
          <w:sz w:val="30"/>
          <w:szCs w:val="30"/>
        </w:rPr>
      </w:pPr>
    </w:p>
    <w:p w14:paraId="16CB91F8" w14:textId="4CE7070D" w:rsidR="00FD740B" w:rsidRPr="00DD1094" w:rsidRDefault="00DD1094">
      <w:pPr>
        <w:snapToGrid w:val="0"/>
        <w:ind w:firstLine="600"/>
        <w:jc w:val="center"/>
        <w:rPr>
          <w:rFonts w:eastAsia="黑体" w:cs="Times New Roman"/>
          <w:color w:val="000000" w:themeColor="text1"/>
          <w:kern w:val="0"/>
          <w:sz w:val="30"/>
          <w:szCs w:val="30"/>
        </w:rPr>
      </w:pPr>
      <w:r w:rsidRPr="00DD1094">
        <w:rPr>
          <w:rFonts w:eastAsia="黑体" w:cs="Times New Roman" w:hint="eastAsia"/>
          <w:color w:val="000000" w:themeColor="text1"/>
          <w:kern w:val="0"/>
          <w:sz w:val="30"/>
          <w:szCs w:val="30"/>
        </w:rPr>
        <w:t>基于受限</w:t>
      </w:r>
      <w:r w:rsidRPr="00DD1094">
        <w:rPr>
          <w:rFonts w:eastAsia="黑体" w:cs="Times New Roman" w:hint="eastAsia"/>
          <w:color w:val="000000" w:themeColor="text1"/>
          <w:kern w:val="0"/>
          <w:sz w:val="30"/>
          <w:szCs w:val="30"/>
        </w:rPr>
        <w:t>POMDP</w:t>
      </w:r>
      <w:r w:rsidRPr="00DD1094">
        <w:rPr>
          <w:rFonts w:eastAsia="黑体" w:cs="Times New Roman" w:hint="eastAsia"/>
          <w:color w:val="000000" w:themeColor="text1"/>
          <w:kern w:val="0"/>
          <w:sz w:val="30"/>
          <w:szCs w:val="30"/>
        </w:rPr>
        <w:t>与深度强化学习的食品供应链风险暴露动态监管策略研究</w:t>
      </w:r>
    </w:p>
    <w:p w14:paraId="41E4553A" w14:textId="72B47D2B" w:rsidR="00FD740B" w:rsidRDefault="00DD1094" w:rsidP="00DD1094">
      <w:pPr>
        <w:spacing w:line="360" w:lineRule="auto"/>
        <w:ind w:firstLine="600"/>
        <w:jc w:val="center"/>
        <w:rPr>
          <w:rFonts w:cs="Times New Roman"/>
          <w:color w:val="000000" w:themeColor="text1"/>
          <w:sz w:val="30"/>
          <w:szCs w:val="30"/>
        </w:rPr>
      </w:pPr>
      <w:r w:rsidRPr="00DD1094">
        <w:rPr>
          <w:rFonts w:cs="Times New Roman"/>
          <w:color w:val="000000" w:themeColor="text1"/>
          <w:sz w:val="30"/>
          <w:szCs w:val="30"/>
        </w:rPr>
        <w:t>Dynamic Regulation Strategy for Food Supply Chain Risk Exposure Using Constrained POMDP and Deep Reinforcement Learning</w:t>
      </w:r>
    </w:p>
    <w:p w14:paraId="33A7E01B" w14:textId="77777777" w:rsidR="00847CC4" w:rsidRPr="00DD1094" w:rsidRDefault="00847CC4" w:rsidP="00DD1094">
      <w:pPr>
        <w:spacing w:line="360" w:lineRule="auto"/>
        <w:ind w:firstLine="602"/>
        <w:jc w:val="center"/>
        <w:rPr>
          <w:rFonts w:cs="Times New Roman"/>
          <w:b/>
          <w:bCs/>
          <w:color w:val="000000" w:themeColor="text1"/>
          <w:kern w:val="0"/>
          <w:sz w:val="30"/>
          <w:szCs w:val="30"/>
        </w:rPr>
      </w:pPr>
    </w:p>
    <w:p w14:paraId="6FA67BF1" w14:textId="00D7AAA1" w:rsidR="00FD740B" w:rsidRDefault="00616E0E">
      <w:pPr>
        <w:spacing w:line="360" w:lineRule="auto"/>
        <w:ind w:firstLineChars="650" w:firstLine="1958"/>
        <w:rPr>
          <w:rFonts w:cs="Times New Roman"/>
          <w:b/>
          <w:bCs/>
          <w:kern w:val="0"/>
          <w:sz w:val="30"/>
          <w:szCs w:val="30"/>
        </w:rPr>
      </w:pPr>
      <w:r>
        <w:rPr>
          <w:rFonts w:cs="Times New Roman"/>
          <w:b/>
          <w:bCs/>
          <w:kern w:val="0"/>
          <w:sz w:val="30"/>
          <w:szCs w:val="30"/>
        </w:rPr>
        <w:t>姓</w:t>
      </w:r>
      <w:r>
        <w:rPr>
          <w:rFonts w:cs="Times New Roman"/>
          <w:b/>
          <w:bCs/>
          <w:kern w:val="0"/>
          <w:sz w:val="30"/>
          <w:szCs w:val="30"/>
        </w:rPr>
        <w:t xml:space="preserve">    </w:t>
      </w:r>
      <w:r>
        <w:rPr>
          <w:rFonts w:cs="Times New Roman"/>
          <w:b/>
          <w:bCs/>
          <w:kern w:val="0"/>
          <w:sz w:val="30"/>
          <w:szCs w:val="30"/>
        </w:rPr>
        <w:t>名：</w:t>
      </w:r>
      <w:r>
        <w:rPr>
          <w:rFonts w:cs="Times New Roman"/>
          <w:b/>
          <w:bCs/>
          <w:kern w:val="0"/>
          <w:sz w:val="30"/>
          <w:szCs w:val="30"/>
          <w:u w:val="single"/>
        </w:rPr>
        <w:t xml:space="preserve">        </w:t>
      </w:r>
      <w:r w:rsidR="00DD1094">
        <w:rPr>
          <w:rFonts w:cs="Times New Roman" w:hint="eastAsia"/>
          <w:b/>
          <w:bCs/>
          <w:kern w:val="0"/>
          <w:sz w:val="30"/>
          <w:szCs w:val="30"/>
          <w:u w:val="single"/>
        </w:rPr>
        <w:t>肖宇航</w:t>
      </w:r>
      <w:r w:rsidR="002D7460">
        <w:rPr>
          <w:rFonts w:cs="Times New Roman"/>
          <w:b/>
          <w:bCs/>
          <w:kern w:val="0"/>
          <w:sz w:val="30"/>
          <w:szCs w:val="30"/>
          <w:u w:val="single"/>
        </w:rPr>
        <w:t xml:space="preserve">  </w:t>
      </w:r>
      <w:r>
        <w:rPr>
          <w:rFonts w:cs="Times New Roman"/>
          <w:b/>
          <w:bCs/>
          <w:kern w:val="0"/>
          <w:sz w:val="30"/>
          <w:szCs w:val="30"/>
          <w:u w:val="single"/>
        </w:rPr>
        <w:t xml:space="preserve">     </w:t>
      </w:r>
    </w:p>
    <w:p w14:paraId="60EDBFA4" w14:textId="56101FE7" w:rsidR="00FD740B" w:rsidRDefault="00616E0E">
      <w:pPr>
        <w:spacing w:line="360" w:lineRule="auto"/>
        <w:ind w:firstLineChars="650" w:firstLine="1958"/>
        <w:rPr>
          <w:rFonts w:cs="Times New Roman"/>
          <w:b/>
          <w:bCs/>
          <w:kern w:val="0"/>
          <w:sz w:val="30"/>
          <w:szCs w:val="30"/>
        </w:rPr>
      </w:pPr>
      <w:r>
        <w:rPr>
          <w:rFonts w:cs="Times New Roman"/>
          <w:b/>
          <w:bCs/>
          <w:kern w:val="0"/>
          <w:sz w:val="30"/>
          <w:szCs w:val="30"/>
        </w:rPr>
        <w:t>学</w:t>
      </w:r>
      <w:r>
        <w:rPr>
          <w:rFonts w:cs="Times New Roman"/>
          <w:b/>
          <w:bCs/>
          <w:kern w:val="0"/>
          <w:sz w:val="30"/>
          <w:szCs w:val="30"/>
        </w:rPr>
        <w:t xml:space="preserve">    </w:t>
      </w:r>
      <w:r>
        <w:rPr>
          <w:rFonts w:cs="Times New Roman"/>
          <w:b/>
          <w:bCs/>
          <w:kern w:val="0"/>
          <w:sz w:val="30"/>
          <w:szCs w:val="30"/>
        </w:rPr>
        <w:t>号：</w:t>
      </w:r>
      <w:r>
        <w:rPr>
          <w:rFonts w:cs="Times New Roman"/>
          <w:b/>
          <w:bCs/>
          <w:kern w:val="0"/>
          <w:sz w:val="30"/>
          <w:szCs w:val="30"/>
          <w:u w:val="single"/>
        </w:rPr>
        <w:t xml:space="preserve"> </w:t>
      </w:r>
      <w:r w:rsidR="00DD1094">
        <w:rPr>
          <w:rFonts w:cs="Times New Roman" w:hint="eastAsia"/>
          <w:b/>
          <w:bCs/>
          <w:kern w:val="0"/>
          <w:sz w:val="30"/>
          <w:szCs w:val="30"/>
          <w:u w:val="single"/>
        </w:rPr>
        <w:t xml:space="preserve">   2025306110064</w:t>
      </w:r>
      <w:r w:rsidR="002D7460">
        <w:rPr>
          <w:rFonts w:cs="Times New Roman"/>
          <w:b/>
          <w:bCs/>
          <w:kern w:val="0"/>
          <w:sz w:val="30"/>
          <w:szCs w:val="30"/>
          <w:u w:val="single"/>
        </w:rPr>
        <w:t xml:space="preserve">    </w:t>
      </w:r>
    </w:p>
    <w:p w14:paraId="1BDDD06B" w14:textId="77777777" w:rsidR="00FD740B" w:rsidRDefault="00616E0E">
      <w:pPr>
        <w:spacing w:line="360" w:lineRule="auto"/>
        <w:ind w:firstLineChars="650" w:firstLine="1958"/>
        <w:rPr>
          <w:rFonts w:cs="Times New Roman"/>
          <w:b/>
          <w:bCs/>
          <w:kern w:val="0"/>
          <w:sz w:val="30"/>
          <w:szCs w:val="30"/>
        </w:rPr>
      </w:pPr>
      <w:r>
        <w:rPr>
          <w:rFonts w:cs="Times New Roman"/>
          <w:b/>
          <w:bCs/>
          <w:kern w:val="0"/>
          <w:sz w:val="30"/>
          <w:szCs w:val="30"/>
        </w:rPr>
        <w:t>教</w:t>
      </w:r>
      <w:r>
        <w:rPr>
          <w:rFonts w:cs="Times New Roman"/>
          <w:b/>
          <w:bCs/>
          <w:kern w:val="0"/>
          <w:sz w:val="30"/>
          <w:szCs w:val="30"/>
        </w:rPr>
        <w:t xml:space="preserve">    </w:t>
      </w:r>
      <w:r>
        <w:rPr>
          <w:rFonts w:cs="Times New Roman"/>
          <w:b/>
          <w:bCs/>
          <w:kern w:val="0"/>
          <w:sz w:val="30"/>
          <w:szCs w:val="30"/>
        </w:rPr>
        <w:t>师：</w:t>
      </w:r>
      <w:r>
        <w:rPr>
          <w:rFonts w:cs="Times New Roman"/>
          <w:b/>
          <w:bCs/>
          <w:kern w:val="0"/>
          <w:sz w:val="30"/>
          <w:szCs w:val="30"/>
          <w:u w:val="single"/>
        </w:rPr>
        <w:t xml:space="preserve">        </w:t>
      </w:r>
      <w:r>
        <w:rPr>
          <w:rFonts w:cs="Times New Roman"/>
          <w:b/>
          <w:bCs/>
          <w:kern w:val="0"/>
          <w:sz w:val="30"/>
          <w:szCs w:val="30"/>
          <w:u w:val="single"/>
        </w:rPr>
        <w:t>郑本荣</w:t>
      </w:r>
      <w:r>
        <w:rPr>
          <w:rFonts w:cs="Times New Roman"/>
          <w:b/>
          <w:bCs/>
          <w:kern w:val="0"/>
          <w:sz w:val="30"/>
          <w:szCs w:val="30"/>
          <w:u w:val="single"/>
        </w:rPr>
        <w:t xml:space="preserve">       </w:t>
      </w:r>
      <w:r>
        <w:rPr>
          <w:rFonts w:cs="Times New Roman"/>
          <w:b/>
          <w:bCs/>
          <w:kern w:val="0"/>
          <w:sz w:val="30"/>
          <w:szCs w:val="30"/>
        </w:rPr>
        <w:t xml:space="preserve"> </w:t>
      </w:r>
    </w:p>
    <w:p w14:paraId="27916A8B" w14:textId="1108FDCC" w:rsidR="00FD740B" w:rsidRDefault="00616E0E">
      <w:pPr>
        <w:spacing w:line="360" w:lineRule="auto"/>
        <w:ind w:firstLineChars="650" w:firstLine="1958"/>
        <w:rPr>
          <w:rFonts w:cs="Times New Roman"/>
          <w:b/>
          <w:bCs/>
          <w:kern w:val="0"/>
          <w:sz w:val="30"/>
          <w:szCs w:val="30"/>
        </w:rPr>
      </w:pPr>
      <w:r>
        <w:rPr>
          <w:rFonts w:cs="Times New Roman"/>
          <w:b/>
          <w:bCs/>
          <w:kern w:val="0"/>
          <w:sz w:val="30"/>
          <w:szCs w:val="30"/>
        </w:rPr>
        <w:t>联系方式：</w:t>
      </w:r>
      <w:r>
        <w:rPr>
          <w:rFonts w:cs="Times New Roman"/>
          <w:b/>
          <w:bCs/>
          <w:kern w:val="0"/>
          <w:sz w:val="30"/>
          <w:szCs w:val="30"/>
          <w:u w:val="single"/>
        </w:rPr>
        <w:t xml:space="preserve">    </w:t>
      </w:r>
      <w:r w:rsidR="00DD1094">
        <w:rPr>
          <w:rFonts w:cs="Times New Roman" w:hint="eastAsia"/>
          <w:b/>
          <w:bCs/>
          <w:kern w:val="0"/>
          <w:sz w:val="30"/>
          <w:szCs w:val="30"/>
          <w:u w:val="single"/>
        </w:rPr>
        <w:t xml:space="preserve">13871900917 </w:t>
      </w:r>
      <w:r w:rsidR="002D7460">
        <w:rPr>
          <w:rFonts w:cs="Times New Roman"/>
          <w:b/>
          <w:bCs/>
          <w:kern w:val="0"/>
          <w:sz w:val="30"/>
          <w:szCs w:val="30"/>
          <w:u w:val="single"/>
        </w:rPr>
        <w:t xml:space="preserve">    </w:t>
      </w:r>
      <w:r>
        <w:rPr>
          <w:rFonts w:cs="Times New Roman"/>
          <w:b/>
          <w:bCs/>
          <w:kern w:val="0"/>
          <w:sz w:val="30"/>
          <w:szCs w:val="30"/>
          <w:u w:val="single"/>
        </w:rPr>
        <w:t xml:space="preserve"> </w:t>
      </w:r>
      <w:r>
        <w:rPr>
          <w:rFonts w:cs="Times New Roman"/>
          <w:b/>
          <w:bCs/>
          <w:kern w:val="0"/>
          <w:sz w:val="30"/>
          <w:szCs w:val="30"/>
        </w:rPr>
        <w:t xml:space="preserve">    </w:t>
      </w:r>
    </w:p>
    <w:p w14:paraId="10B12FE4" w14:textId="77777777" w:rsidR="00FD740B" w:rsidRPr="00DD1094" w:rsidRDefault="00FD740B">
      <w:pPr>
        <w:spacing w:line="360" w:lineRule="auto"/>
        <w:ind w:right="792" w:firstLine="600"/>
        <w:rPr>
          <w:rFonts w:cs="Times New Roman"/>
          <w:kern w:val="0"/>
          <w:sz w:val="30"/>
          <w:szCs w:val="30"/>
        </w:rPr>
      </w:pPr>
    </w:p>
    <w:p w14:paraId="7886E5B0" w14:textId="081E001E" w:rsidR="00FD740B" w:rsidRDefault="00E60FB6" w:rsidP="00C34EA4">
      <w:pPr>
        <w:spacing w:line="360" w:lineRule="auto"/>
        <w:ind w:right="792" w:firstLine="600"/>
        <w:jc w:val="center"/>
        <w:rPr>
          <w:rFonts w:cs="Times New Roman"/>
          <w:kern w:val="0"/>
          <w:sz w:val="30"/>
          <w:szCs w:val="30"/>
        </w:rPr>
      </w:pPr>
      <w:r>
        <w:rPr>
          <w:rFonts w:cs="Times New Roman" w:hint="eastAsia"/>
          <w:kern w:val="0"/>
          <w:sz w:val="30"/>
          <w:szCs w:val="30"/>
        </w:rPr>
        <w:t>2025</w:t>
      </w:r>
      <w:r w:rsidR="00616E0E">
        <w:rPr>
          <w:rFonts w:cs="Times New Roman"/>
          <w:kern w:val="0"/>
          <w:sz w:val="30"/>
          <w:szCs w:val="30"/>
        </w:rPr>
        <w:t>年</w:t>
      </w:r>
      <w:r w:rsidR="00616E0E">
        <w:rPr>
          <w:rFonts w:cs="Times New Roman"/>
          <w:kern w:val="0"/>
          <w:sz w:val="30"/>
          <w:szCs w:val="30"/>
        </w:rPr>
        <w:t xml:space="preserve"> </w:t>
      </w:r>
      <w:r>
        <w:rPr>
          <w:rFonts w:cs="Times New Roman" w:hint="eastAsia"/>
          <w:kern w:val="0"/>
          <w:sz w:val="30"/>
          <w:szCs w:val="30"/>
        </w:rPr>
        <w:t>12</w:t>
      </w:r>
      <w:r w:rsidR="00616E0E">
        <w:rPr>
          <w:rFonts w:cs="Times New Roman"/>
          <w:kern w:val="0"/>
          <w:sz w:val="30"/>
          <w:szCs w:val="30"/>
        </w:rPr>
        <w:t xml:space="preserve"> </w:t>
      </w:r>
      <w:r w:rsidR="00616E0E">
        <w:rPr>
          <w:rFonts w:cs="Times New Roman"/>
          <w:kern w:val="0"/>
          <w:sz w:val="30"/>
          <w:szCs w:val="30"/>
        </w:rPr>
        <w:t>月</w:t>
      </w:r>
      <w:r w:rsidR="00616E0E">
        <w:rPr>
          <w:rFonts w:cs="Times New Roman"/>
          <w:kern w:val="0"/>
          <w:sz w:val="30"/>
          <w:szCs w:val="30"/>
        </w:rPr>
        <w:t xml:space="preserve"> </w:t>
      </w:r>
      <w:r>
        <w:rPr>
          <w:rFonts w:cs="Times New Roman" w:hint="eastAsia"/>
          <w:kern w:val="0"/>
          <w:sz w:val="30"/>
          <w:szCs w:val="30"/>
        </w:rPr>
        <w:t>31</w:t>
      </w:r>
      <w:r w:rsidR="00616E0E">
        <w:rPr>
          <w:rFonts w:cs="Times New Roman"/>
          <w:kern w:val="0"/>
          <w:sz w:val="30"/>
          <w:szCs w:val="30"/>
        </w:rPr>
        <w:t xml:space="preserve"> </w:t>
      </w:r>
      <w:r w:rsidR="00616E0E">
        <w:rPr>
          <w:rFonts w:cs="Times New Roman"/>
          <w:kern w:val="0"/>
          <w:sz w:val="30"/>
          <w:szCs w:val="30"/>
        </w:rPr>
        <w:t>日</w:t>
      </w:r>
    </w:p>
    <w:p w14:paraId="6A26830D" w14:textId="77777777" w:rsidR="00FD740B" w:rsidRDefault="00616E0E">
      <w:pPr>
        <w:spacing w:line="360" w:lineRule="auto"/>
        <w:ind w:firstLine="600"/>
        <w:jc w:val="left"/>
        <w:rPr>
          <w:rFonts w:cs="Times New Roman"/>
          <w:kern w:val="0"/>
          <w:sz w:val="30"/>
          <w:szCs w:val="30"/>
        </w:rPr>
      </w:pPr>
      <w:r>
        <w:rPr>
          <w:rFonts w:cs="Times New Roman"/>
          <w:kern w:val="0"/>
          <w:sz w:val="30"/>
          <w:szCs w:val="30"/>
        </w:rPr>
        <w:br w:type="page"/>
      </w:r>
    </w:p>
    <w:sdt>
      <w:sdtPr>
        <w:rPr>
          <w:lang w:val="zh-CN"/>
        </w:rPr>
        <w:id w:val="1653326752"/>
        <w:docPartObj>
          <w:docPartGallery w:val="Table of Contents"/>
          <w:docPartUnique/>
        </w:docPartObj>
      </w:sdtPr>
      <w:sdtEndPr>
        <w:rPr>
          <w:b/>
          <w:bCs/>
        </w:rPr>
      </w:sdtEndPr>
      <w:sdtContent>
        <w:p w14:paraId="16444A22" w14:textId="52152980" w:rsidR="00007BCB" w:rsidRPr="00FB6B3A" w:rsidRDefault="00FB6B3A" w:rsidP="009534C4">
          <w:pPr>
            <w:spacing w:line="360" w:lineRule="auto"/>
            <w:ind w:firstLineChars="0" w:firstLine="0"/>
            <w:jc w:val="center"/>
            <w:rPr>
              <w:rFonts w:cs="Times New Roman"/>
              <w:noProof/>
              <w:sz w:val="30"/>
              <w:szCs w:val="30"/>
            </w:rPr>
          </w:pPr>
          <w:r>
            <w:rPr>
              <w:rFonts w:cs="Times New Roman"/>
              <w:sz w:val="30"/>
              <w:szCs w:val="30"/>
            </w:rPr>
            <w:t>目</w:t>
          </w:r>
          <w:r w:rsidR="00FD78BE">
            <w:rPr>
              <w:rFonts w:cs="Times New Roman" w:hint="eastAsia"/>
              <w:sz w:val="30"/>
              <w:szCs w:val="30"/>
            </w:rPr>
            <w:t xml:space="preserve"> </w:t>
          </w:r>
          <w:r>
            <w:rPr>
              <w:rFonts w:cs="Times New Roman"/>
              <w:sz w:val="30"/>
              <w:szCs w:val="30"/>
            </w:rPr>
            <w:t>录</w:t>
          </w:r>
          <w:r w:rsidR="00007BCB">
            <w:fldChar w:fldCharType="begin"/>
          </w:r>
          <w:r w:rsidR="00007BCB">
            <w:instrText xml:space="preserve"> TOC \o "1-3" \h \z \u </w:instrText>
          </w:r>
          <w:r w:rsidR="00007BCB">
            <w:fldChar w:fldCharType="separate"/>
          </w:r>
        </w:p>
        <w:p w14:paraId="54DCB791" w14:textId="5746EE83" w:rsidR="00007BCB" w:rsidRPr="00007BCB" w:rsidRDefault="00007BCB" w:rsidP="009534C4">
          <w:pPr>
            <w:pStyle w:val="TOC1"/>
            <w:rPr>
              <w:rFonts w:ascii="Times New Roman" w:eastAsia="宋体" w:hAnsi="Times New Roman"/>
              <w:bCs w:val="0"/>
              <w:noProof/>
              <w:sz w:val="24"/>
              <w:szCs w:val="24"/>
              <w14:ligatures w14:val="standardContextual"/>
            </w:rPr>
          </w:pPr>
          <w:hyperlink w:anchor="_Toc218094756" w:history="1">
            <w:r w:rsidRPr="00007BCB">
              <w:rPr>
                <w:rStyle w:val="a8"/>
                <w:rFonts w:ascii="Times New Roman" w:eastAsia="宋体" w:hAnsi="Times New Roman"/>
                <w:noProof/>
                <w:sz w:val="24"/>
              </w:rPr>
              <w:t xml:space="preserve">1 </w:t>
            </w:r>
            <w:r w:rsidRPr="00007BCB">
              <w:rPr>
                <w:rStyle w:val="a8"/>
                <w:rFonts w:ascii="Times New Roman" w:eastAsia="宋体" w:hAnsi="Times New Roman"/>
                <w:noProof/>
                <w:sz w:val="24"/>
              </w:rPr>
              <w:t>研究标题</w:t>
            </w:r>
            <w:r w:rsidRPr="00007BCB">
              <w:rPr>
                <w:rFonts w:ascii="Times New Roman" w:eastAsia="宋体" w:hAnsi="Times New Roman"/>
                <w:noProof/>
                <w:webHidden/>
                <w:sz w:val="24"/>
              </w:rPr>
              <w:tab/>
            </w:r>
            <w:r w:rsidRPr="00007BCB">
              <w:rPr>
                <w:rFonts w:ascii="Times New Roman" w:eastAsia="宋体" w:hAnsi="Times New Roman"/>
                <w:noProof/>
                <w:webHidden/>
                <w:sz w:val="24"/>
              </w:rPr>
              <w:fldChar w:fldCharType="begin"/>
            </w:r>
            <w:r w:rsidRPr="00007BCB">
              <w:rPr>
                <w:rFonts w:ascii="Times New Roman" w:eastAsia="宋体" w:hAnsi="Times New Roman"/>
                <w:noProof/>
                <w:webHidden/>
                <w:sz w:val="24"/>
              </w:rPr>
              <w:instrText xml:space="preserve"> PAGEREF _Toc218094756 \h </w:instrText>
            </w:r>
            <w:r w:rsidRPr="00007BCB">
              <w:rPr>
                <w:rFonts w:ascii="Times New Roman" w:eastAsia="宋体" w:hAnsi="Times New Roman"/>
                <w:noProof/>
                <w:webHidden/>
                <w:sz w:val="24"/>
              </w:rPr>
            </w:r>
            <w:r w:rsidRPr="00007BCB">
              <w:rPr>
                <w:rFonts w:ascii="Times New Roman" w:eastAsia="宋体" w:hAnsi="Times New Roman"/>
                <w:noProof/>
                <w:webHidden/>
                <w:sz w:val="24"/>
              </w:rPr>
              <w:fldChar w:fldCharType="separate"/>
            </w:r>
            <w:r w:rsidR="00911E55">
              <w:rPr>
                <w:rFonts w:ascii="Times New Roman" w:eastAsia="宋体" w:hAnsi="Times New Roman"/>
                <w:noProof/>
                <w:webHidden/>
                <w:sz w:val="24"/>
              </w:rPr>
              <w:t>3</w:t>
            </w:r>
            <w:r w:rsidRPr="00007BCB">
              <w:rPr>
                <w:rFonts w:ascii="Times New Roman" w:eastAsia="宋体" w:hAnsi="Times New Roman"/>
                <w:noProof/>
                <w:webHidden/>
                <w:sz w:val="24"/>
              </w:rPr>
              <w:fldChar w:fldCharType="end"/>
            </w:r>
          </w:hyperlink>
        </w:p>
        <w:p w14:paraId="327B1EE0" w14:textId="234D2A0D" w:rsidR="00007BCB" w:rsidRPr="00007BCB" w:rsidRDefault="00007BCB" w:rsidP="009534C4">
          <w:pPr>
            <w:pStyle w:val="TOC1"/>
            <w:rPr>
              <w:rFonts w:ascii="Times New Roman" w:eastAsia="宋体" w:hAnsi="Times New Roman"/>
              <w:bCs w:val="0"/>
              <w:noProof/>
              <w:sz w:val="24"/>
              <w:szCs w:val="24"/>
              <w14:ligatures w14:val="standardContextual"/>
            </w:rPr>
          </w:pPr>
          <w:hyperlink w:anchor="_Toc218094757" w:history="1">
            <w:r w:rsidRPr="00007BCB">
              <w:rPr>
                <w:rStyle w:val="a8"/>
                <w:rFonts w:ascii="Times New Roman" w:eastAsia="宋体" w:hAnsi="Times New Roman"/>
                <w:noProof/>
                <w:sz w:val="24"/>
              </w:rPr>
              <w:t>Research Title</w:t>
            </w:r>
            <w:r w:rsidRPr="00007BCB">
              <w:rPr>
                <w:rFonts w:ascii="Times New Roman" w:eastAsia="宋体" w:hAnsi="Times New Roman"/>
                <w:noProof/>
                <w:webHidden/>
                <w:sz w:val="24"/>
              </w:rPr>
              <w:tab/>
            </w:r>
            <w:r w:rsidRPr="00007BCB">
              <w:rPr>
                <w:rFonts w:ascii="Times New Roman" w:eastAsia="宋体" w:hAnsi="Times New Roman"/>
                <w:noProof/>
                <w:webHidden/>
                <w:sz w:val="24"/>
              </w:rPr>
              <w:fldChar w:fldCharType="begin"/>
            </w:r>
            <w:r w:rsidRPr="00007BCB">
              <w:rPr>
                <w:rFonts w:ascii="Times New Roman" w:eastAsia="宋体" w:hAnsi="Times New Roman"/>
                <w:noProof/>
                <w:webHidden/>
                <w:sz w:val="24"/>
              </w:rPr>
              <w:instrText xml:space="preserve"> PAGEREF _Toc218094757 \h </w:instrText>
            </w:r>
            <w:r w:rsidRPr="00007BCB">
              <w:rPr>
                <w:rFonts w:ascii="Times New Roman" w:eastAsia="宋体" w:hAnsi="Times New Roman"/>
                <w:noProof/>
                <w:webHidden/>
                <w:sz w:val="24"/>
              </w:rPr>
            </w:r>
            <w:r w:rsidRPr="00007BCB">
              <w:rPr>
                <w:rFonts w:ascii="Times New Roman" w:eastAsia="宋体" w:hAnsi="Times New Roman"/>
                <w:noProof/>
                <w:webHidden/>
                <w:sz w:val="24"/>
              </w:rPr>
              <w:fldChar w:fldCharType="separate"/>
            </w:r>
            <w:r w:rsidR="00911E55">
              <w:rPr>
                <w:rFonts w:ascii="Times New Roman" w:eastAsia="宋体" w:hAnsi="Times New Roman"/>
                <w:noProof/>
                <w:webHidden/>
                <w:sz w:val="24"/>
              </w:rPr>
              <w:t>3</w:t>
            </w:r>
            <w:r w:rsidRPr="00007BCB">
              <w:rPr>
                <w:rFonts w:ascii="Times New Roman" w:eastAsia="宋体" w:hAnsi="Times New Roman"/>
                <w:noProof/>
                <w:webHidden/>
                <w:sz w:val="24"/>
              </w:rPr>
              <w:fldChar w:fldCharType="end"/>
            </w:r>
          </w:hyperlink>
        </w:p>
        <w:p w14:paraId="385C521D" w14:textId="77513EA8" w:rsidR="00007BCB" w:rsidRPr="00007BCB" w:rsidRDefault="00007BCB" w:rsidP="009534C4">
          <w:pPr>
            <w:pStyle w:val="TOC1"/>
            <w:rPr>
              <w:rFonts w:ascii="Times New Roman" w:eastAsia="宋体" w:hAnsi="Times New Roman"/>
              <w:bCs w:val="0"/>
              <w:noProof/>
              <w:sz w:val="24"/>
              <w:szCs w:val="24"/>
              <w14:ligatures w14:val="standardContextual"/>
            </w:rPr>
          </w:pPr>
          <w:hyperlink w:anchor="_Toc218094758" w:history="1">
            <w:r w:rsidRPr="00007BCB">
              <w:rPr>
                <w:rStyle w:val="a8"/>
                <w:rFonts w:ascii="Times New Roman" w:eastAsia="宋体" w:hAnsi="Times New Roman"/>
                <w:noProof/>
                <w:sz w:val="24"/>
              </w:rPr>
              <w:t xml:space="preserve">2 </w:t>
            </w:r>
            <w:r w:rsidRPr="00007BCB">
              <w:rPr>
                <w:rStyle w:val="a8"/>
                <w:rFonts w:ascii="Times New Roman" w:eastAsia="宋体" w:hAnsi="Times New Roman"/>
                <w:noProof/>
                <w:sz w:val="24"/>
              </w:rPr>
              <w:t>研究背景与意义</w:t>
            </w:r>
            <w:r w:rsidRPr="00007BCB">
              <w:rPr>
                <w:rFonts w:ascii="Times New Roman" w:eastAsia="宋体" w:hAnsi="Times New Roman"/>
                <w:noProof/>
                <w:webHidden/>
                <w:sz w:val="24"/>
              </w:rPr>
              <w:tab/>
            </w:r>
            <w:r w:rsidRPr="00007BCB">
              <w:rPr>
                <w:rFonts w:ascii="Times New Roman" w:eastAsia="宋体" w:hAnsi="Times New Roman"/>
                <w:noProof/>
                <w:webHidden/>
                <w:sz w:val="24"/>
              </w:rPr>
              <w:fldChar w:fldCharType="begin"/>
            </w:r>
            <w:r w:rsidRPr="00007BCB">
              <w:rPr>
                <w:rFonts w:ascii="Times New Roman" w:eastAsia="宋体" w:hAnsi="Times New Roman"/>
                <w:noProof/>
                <w:webHidden/>
                <w:sz w:val="24"/>
              </w:rPr>
              <w:instrText xml:space="preserve"> PAGEREF _Toc218094758 \h </w:instrText>
            </w:r>
            <w:r w:rsidRPr="00007BCB">
              <w:rPr>
                <w:rFonts w:ascii="Times New Roman" w:eastAsia="宋体" w:hAnsi="Times New Roman"/>
                <w:noProof/>
                <w:webHidden/>
                <w:sz w:val="24"/>
              </w:rPr>
            </w:r>
            <w:r w:rsidRPr="00007BCB">
              <w:rPr>
                <w:rFonts w:ascii="Times New Roman" w:eastAsia="宋体" w:hAnsi="Times New Roman"/>
                <w:noProof/>
                <w:webHidden/>
                <w:sz w:val="24"/>
              </w:rPr>
              <w:fldChar w:fldCharType="separate"/>
            </w:r>
            <w:r w:rsidR="00911E55">
              <w:rPr>
                <w:rFonts w:ascii="Times New Roman" w:eastAsia="宋体" w:hAnsi="Times New Roman"/>
                <w:noProof/>
                <w:webHidden/>
                <w:sz w:val="24"/>
              </w:rPr>
              <w:t>3</w:t>
            </w:r>
            <w:r w:rsidRPr="00007BCB">
              <w:rPr>
                <w:rFonts w:ascii="Times New Roman" w:eastAsia="宋体" w:hAnsi="Times New Roman"/>
                <w:noProof/>
                <w:webHidden/>
                <w:sz w:val="24"/>
              </w:rPr>
              <w:fldChar w:fldCharType="end"/>
            </w:r>
          </w:hyperlink>
        </w:p>
        <w:p w14:paraId="48C6FB1A" w14:textId="7574F290" w:rsidR="00007BCB" w:rsidRPr="00007BCB" w:rsidRDefault="00007BCB" w:rsidP="009534C4">
          <w:pPr>
            <w:pStyle w:val="TOC1"/>
            <w:rPr>
              <w:rFonts w:ascii="Times New Roman" w:eastAsia="宋体" w:hAnsi="Times New Roman"/>
              <w:bCs w:val="0"/>
              <w:noProof/>
              <w:sz w:val="24"/>
              <w:szCs w:val="24"/>
              <w14:ligatures w14:val="standardContextual"/>
            </w:rPr>
          </w:pPr>
          <w:hyperlink w:anchor="_Toc218094759" w:history="1">
            <w:r w:rsidRPr="00007BCB">
              <w:rPr>
                <w:rStyle w:val="a8"/>
                <w:rFonts w:ascii="Times New Roman" w:eastAsia="宋体" w:hAnsi="Times New Roman"/>
                <w:noProof/>
                <w:sz w:val="24"/>
              </w:rPr>
              <w:t>Research Background and Significance</w:t>
            </w:r>
            <w:r w:rsidRPr="00007BCB">
              <w:rPr>
                <w:rFonts w:ascii="Times New Roman" w:eastAsia="宋体" w:hAnsi="Times New Roman"/>
                <w:noProof/>
                <w:webHidden/>
                <w:sz w:val="24"/>
              </w:rPr>
              <w:tab/>
            </w:r>
            <w:r w:rsidRPr="00007BCB">
              <w:rPr>
                <w:rFonts w:ascii="Times New Roman" w:eastAsia="宋体" w:hAnsi="Times New Roman"/>
                <w:noProof/>
                <w:webHidden/>
                <w:sz w:val="24"/>
              </w:rPr>
              <w:fldChar w:fldCharType="begin"/>
            </w:r>
            <w:r w:rsidRPr="00007BCB">
              <w:rPr>
                <w:rFonts w:ascii="Times New Roman" w:eastAsia="宋体" w:hAnsi="Times New Roman"/>
                <w:noProof/>
                <w:webHidden/>
                <w:sz w:val="24"/>
              </w:rPr>
              <w:instrText xml:space="preserve"> PAGEREF _Toc218094759 \h </w:instrText>
            </w:r>
            <w:r w:rsidRPr="00007BCB">
              <w:rPr>
                <w:rFonts w:ascii="Times New Roman" w:eastAsia="宋体" w:hAnsi="Times New Roman"/>
                <w:noProof/>
                <w:webHidden/>
                <w:sz w:val="24"/>
              </w:rPr>
            </w:r>
            <w:r w:rsidRPr="00007BCB">
              <w:rPr>
                <w:rFonts w:ascii="Times New Roman" w:eastAsia="宋体" w:hAnsi="Times New Roman"/>
                <w:noProof/>
                <w:webHidden/>
                <w:sz w:val="24"/>
              </w:rPr>
              <w:fldChar w:fldCharType="separate"/>
            </w:r>
            <w:r w:rsidR="00911E55">
              <w:rPr>
                <w:rFonts w:ascii="Times New Roman" w:eastAsia="宋体" w:hAnsi="Times New Roman"/>
                <w:noProof/>
                <w:webHidden/>
                <w:sz w:val="24"/>
              </w:rPr>
              <w:t>3</w:t>
            </w:r>
            <w:r w:rsidRPr="00007BCB">
              <w:rPr>
                <w:rFonts w:ascii="Times New Roman" w:eastAsia="宋体" w:hAnsi="Times New Roman"/>
                <w:noProof/>
                <w:webHidden/>
                <w:sz w:val="24"/>
              </w:rPr>
              <w:fldChar w:fldCharType="end"/>
            </w:r>
          </w:hyperlink>
        </w:p>
        <w:p w14:paraId="149BE2C0" w14:textId="4149C95A"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60" w:history="1">
            <w:r w:rsidRPr="00007BCB">
              <w:rPr>
                <w:rStyle w:val="a8"/>
                <w:rFonts w:ascii="Times New Roman" w:eastAsia="宋体" w:hAnsi="Times New Roman"/>
                <w:sz w:val="24"/>
              </w:rPr>
              <w:t xml:space="preserve">2.1 </w:t>
            </w:r>
            <w:r w:rsidRPr="00007BCB">
              <w:rPr>
                <w:rStyle w:val="a8"/>
                <w:rFonts w:ascii="Times New Roman" w:eastAsia="宋体" w:hAnsi="Times New Roman"/>
                <w:sz w:val="24"/>
              </w:rPr>
              <w:t>研究背景</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_Toc218094760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3</w:t>
            </w:r>
            <w:r w:rsidRPr="00007BCB">
              <w:rPr>
                <w:rFonts w:ascii="Times New Roman" w:eastAsia="宋体" w:hAnsi="Times New Roman"/>
                <w:webHidden/>
                <w:sz w:val="24"/>
              </w:rPr>
              <w:fldChar w:fldCharType="end"/>
            </w:r>
          </w:hyperlink>
        </w:p>
        <w:p w14:paraId="3B568C1C" w14:textId="11806A62"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61" w:history="1">
            <w:r w:rsidRPr="00007BCB">
              <w:rPr>
                <w:rStyle w:val="a8"/>
                <w:rFonts w:ascii="Times New Roman" w:eastAsia="宋体" w:hAnsi="Times New Roman"/>
                <w:sz w:val="24"/>
              </w:rPr>
              <w:t xml:space="preserve">2.2 </w:t>
            </w:r>
            <w:r w:rsidRPr="00007BCB">
              <w:rPr>
                <w:rStyle w:val="a8"/>
                <w:rFonts w:ascii="Times New Roman" w:eastAsia="宋体" w:hAnsi="Times New Roman"/>
                <w:sz w:val="24"/>
              </w:rPr>
              <w:t>研究意义</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_Toc218094761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4</w:t>
            </w:r>
            <w:r w:rsidRPr="00007BCB">
              <w:rPr>
                <w:rFonts w:ascii="Times New Roman" w:eastAsia="宋体" w:hAnsi="Times New Roman"/>
                <w:webHidden/>
                <w:sz w:val="24"/>
              </w:rPr>
              <w:fldChar w:fldCharType="end"/>
            </w:r>
          </w:hyperlink>
        </w:p>
        <w:p w14:paraId="0249D608" w14:textId="02EE6AF3" w:rsidR="00007BCB" w:rsidRPr="00007BCB" w:rsidRDefault="00007BCB" w:rsidP="009534C4">
          <w:pPr>
            <w:pStyle w:val="TOC1"/>
            <w:rPr>
              <w:rFonts w:ascii="Times New Roman" w:eastAsia="宋体" w:hAnsi="Times New Roman"/>
              <w:bCs w:val="0"/>
              <w:noProof/>
              <w:sz w:val="24"/>
              <w:szCs w:val="24"/>
              <w14:ligatures w14:val="standardContextual"/>
            </w:rPr>
          </w:pPr>
          <w:hyperlink w:anchor="_Toc218094762" w:history="1">
            <w:r w:rsidRPr="00007BCB">
              <w:rPr>
                <w:rStyle w:val="a8"/>
                <w:rFonts w:ascii="Times New Roman" w:eastAsia="宋体" w:hAnsi="Times New Roman"/>
                <w:noProof/>
                <w:sz w:val="24"/>
              </w:rPr>
              <w:t xml:space="preserve">3 </w:t>
            </w:r>
            <w:r w:rsidRPr="00007BCB">
              <w:rPr>
                <w:rStyle w:val="a8"/>
                <w:rFonts w:ascii="Times New Roman" w:eastAsia="宋体" w:hAnsi="Times New Roman"/>
                <w:noProof/>
                <w:sz w:val="24"/>
              </w:rPr>
              <w:t>文献综述</w:t>
            </w:r>
            <w:r w:rsidRPr="00007BCB">
              <w:rPr>
                <w:rFonts w:ascii="Times New Roman" w:eastAsia="宋体" w:hAnsi="Times New Roman"/>
                <w:noProof/>
                <w:webHidden/>
                <w:sz w:val="24"/>
              </w:rPr>
              <w:tab/>
            </w:r>
            <w:r w:rsidRPr="00007BCB">
              <w:rPr>
                <w:rFonts w:ascii="Times New Roman" w:eastAsia="宋体" w:hAnsi="Times New Roman"/>
                <w:noProof/>
                <w:webHidden/>
                <w:sz w:val="24"/>
              </w:rPr>
              <w:fldChar w:fldCharType="begin"/>
            </w:r>
            <w:r w:rsidRPr="00007BCB">
              <w:rPr>
                <w:rFonts w:ascii="Times New Roman" w:eastAsia="宋体" w:hAnsi="Times New Roman"/>
                <w:noProof/>
                <w:webHidden/>
                <w:sz w:val="24"/>
              </w:rPr>
              <w:instrText xml:space="preserve"> PAGEREF _Toc218094762 \h </w:instrText>
            </w:r>
            <w:r w:rsidRPr="00007BCB">
              <w:rPr>
                <w:rFonts w:ascii="Times New Roman" w:eastAsia="宋体" w:hAnsi="Times New Roman"/>
                <w:noProof/>
                <w:webHidden/>
                <w:sz w:val="24"/>
              </w:rPr>
            </w:r>
            <w:r w:rsidRPr="00007BCB">
              <w:rPr>
                <w:rFonts w:ascii="Times New Roman" w:eastAsia="宋体" w:hAnsi="Times New Roman"/>
                <w:noProof/>
                <w:webHidden/>
                <w:sz w:val="24"/>
              </w:rPr>
              <w:fldChar w:fldCharType="separate"/>
            </w:r>
            <w:r w:rsidR="00911E55">
              <w:rPr>
                <w:rFonts w:ascii="Times New Roman" w:eastAsia="宋体" w:hAnsi="Times New Roman"/>
                <w:noProof/>
                <w:webHidden/>
                <w:sz w:val="24"/>
              </w:rPr>
              <w:t>4</w:t>
            </w:r>
            <w:r w:rsidRPr="00007BCB">
              <w:rPr>
                <w:rFonts w:ascii="Times New Roman" w:eastAsia="宋体" w:hAnsi="Times New Roman"/>
                <w:noProof/>
                <w:webHidden/>
                <w:sz w:val="24"/>
              </w:rPr>
              <w:fldChar w:fldCharType="end"/>
            </w:r>
          </w:hyperlink>
        </w:p>
        <w:p w14:paraId="65A4ABCC" w14:textId="2587A6D1" w:rsidR="00007BCB" w:rsidRPr="00007BCB" w:rsidRDefault="00007BCB" w:rsidP="009534C4">
          <w:pPr>
            <w:pStyle w:val="TOC1"/>
            <w:rPr>
              <w:rFonts w:ascii="Times New Roman" w:eastAsia="宋体" w:hAnsi="Times New Roman"/>
              <w:bCs w:val="0"/>
              <w:noProof/>
              <w:sz w:val="24"/>
              <w:szCs w:val="24"/>
              <w14:ligatures w14:val="standardContextual"/>
            </w:rPr>
          </w:pPr>
          <w:hyperlink w:anchor="_Toc218094763" w:history="1">
            <w:r w:rsidRPr="00007BCB">
              <w:rPr>
                <w:rStyle w:val="a8"/>
                <w:rFonts w:ascii="Times New Roman" w:eastAsia="宋体" w:hAnsi="Times New Roman"/>
                <w:noProof/>
                <w:sz w:val="24"/>
              </w:rPr>
              <w:t>Identification of the relevant literature</w:t>
            </w:r>
            <w:r w:rsidRPr="00007BCB">
              <w:rPr>
                <w:rFonts w:ascii="Times New Roman" w:eastAsia="宋体" w:hAnsi="Times New Roman"/>
                <w:noProof/>
                <w:webHidden/>
                <w:sz w:val="24"/>
              </w:rPr>
              <w:tab/>
            </w:r>
            <w:r w:rsidRPr="00007BCB">
              <w:rPr>
                <w:rFonts w:ascii="Times New Roman" w:eastAsia="宋体" w:hAnsi="Times New Roman"/>
                <w:noProof/>
                <w:webHidden/>
                <w:sz w:val="24"/>
              </w:rPr>
              <w:fldChar w:fldCharType="begin"/>
            </w:r>
            <w:r w:rsidRPr="00007BCB">
              <w:rPr>
                <w:rFonts w:ascii="Times New Roman" w:eastAsia="宋体" w:hAnsi="Times New Roman"/>
                <w:noProof/>
                <w:webHidden/>
                <w:sz w:val="24"/>
              </w:rPr>
              <w:instrText xml:space="preserve"> PAGEREF _Toc218094763 \h </w:instrText>
            </w:r>
            <w:r w:rsidRPr="00007BCB">
              <w:rPr>
                <w:rFonts w:ascii="Times New Roman" w:eastAsia="宋体" w:hAnsi="Times New Roman"/>
                <w:noProof/>
                <w:webHidden/>
                <w:sz w:val="24"/>
              </w:rPr>
            </w:r>
            <w:r w:rsidRPr="00007BCB">
              <w:rPr>
                <w:rFonts w:ascii="Times New Roman" w:eastAsia="宋体" w:hAnsi="Times New Roman"/>
                <w:noProof/>
                <w:webHidden/>
                <w:sz w:val="24"/>
              </w:rPr>
              <w:fldChar w:fldCharType="separate"/>
            </w:r>
            <w:r w:rsidR="00911E55">
              <w:rPr>
                <w:rFonts w:ascii="Times New Roman" w:eastAsia="宋体" w:hAnsi="Times New Roman"/>
                <w:noProof/>
                <w:webHidden/>
                <w:sz w:val="24"/>
              </w:rPr>
              <w:t>4</w:t>
            </w:r>
            <w:r w:rsidRPr="00007BCB">
              <w:rPr>
                <w:rFonts w:ascii="Times New Roman" w:eastAsia="宋体" w:hAnsi="Times New Roman"/>
                <w:noProof/>
                <w:webHidden/>
                <w:sz w:val="24"/>
              </w:rPr>
              <w:fldChar w:fldCharType="end"/>
            </w:r>
          </w:hyperlink>
        </w:p>
        <w:p w14:paraId="795FA878" w14:textId="227F3E0E"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64" w:history="1">
            <w:r w:rsidRPr="00007BCB">
              <w:rPr>
                <w:rStyle w:val="a8"/>
                <w:rFonts w:ascii="Times New Roman" w:eastAsia="宋体" w:hAnsi="Times New Roman"/>
                <w:sz w:val="24"/>
              </w:rPr>
              <w:t xml:space="preserve">3.1 </w:t>
            </w:r>
            <w:r w:rsidRPr="00007BCB">
              <w:rPr>
                <w:rStyle w:val="a8"/>
                <w:rFonts w:ascii="Times New Roman" w:eastAsia="宋体" w:hAnsi="Times New Roman"/>
                <w:sz w:val="24"/>
              </w:rPr>
              <w:t>质量监管、抽检与召回的激励机制</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_Toc218094764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4</w:t>
            </w:r>
            <w:r w:rsidRPr="00007BCB">
              <w:rPr>
                <w:rFonts w:ascii="Times New Roman" w:eastAsia="宋体" w:hAnsi="Times New Roman"/>
                <w:webHidden/>
                <w:sz w:val="24"/>
              </w:rPr>
              <w:fldChar w:fldCharType="end"/>
            </w:r>
          </w:hyperlink>
        </w:p>
        <w:p w14:paraId="65CF01FF" w14:textId="783571AF"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65" w:history="1">
            <w:r w:rsidRPr="00007BCB">
              <w:rPr>
                <w:rStyle w:val="a8"/>
                <w:rFonts w:ascii="Times New Roman" w:eastAsia="宋体" w:hAnsi="Times New Roman"/>
                <w:sz w:val="24"/>
              </w:rPr>
              <w:t xml:space="preserve">3.2 </w:t>
            </w:r>
            <w:r w:rsidRPr="00007BCB">
              <w:rPr>
                <w:rStyle w:val="a8"/>
                <w:rFonts w:ascii="Times New Roman" w:eastAsia="宋体" w:hAnsi="Times New Roman"/>
                <w:sz w:val="24"/>
              </w:rPr>
              <w:t>风险导向监测与毒理学风险度量（</w:t>
            </w:r>
            <w:r w:rsidRPr="00007BCB">
              <w:rPr>
                <w:rStyle w:val="a8"/>
                <w:rFonts w:ascii="Times New Roman" w:eastAsia="宋体" w:hAnsi="Times New Roman"/>
                <w:sz w:val="24"/>
              </w:rPr>
              <w:t>MOE/EDI</w:t>
            </w:r>
            <w:r w:rsidRPr="00007BCB">
              <w:rPr>
                <w:rStyle w:val="a8"/>
                <w:rFonts w:ascii="Times New Roman" w:eastAsia="宋体" w:hAnsi="Times New Roman"/>
                <w:sz w:val="24"/>
              </w:rPr>
              <w:t>）</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_Toc218094765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5</w:t>
            </w:r>
            <w:r w:rsidRPr="00007BCB">
              <w:rPr>
                <w:rFonts w:ascii="Times New Roman" w:eastAsia="宋体" w:hAnsi="Times New Roman"/>
                <w:webHidden/>
                <w:sz w:val="24"/>
              </w:rPr>
              <w:fldChar w:fldCharType="end"/>
            </w:r>
          </w:hyperlink>
        </w:p>
        <w:p w14:paraId="518C7DF6" w14:textId="0357DDD3"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66" w:history="1">
            <w:r w:rsidRPr="00007BCB">
              <w:rPr>
                <w:rStyle w:val="a8"/>
                <w:rFonts w:ascii="Times New Roman" w:eastAsia="宋体" w:hAnsi="Times New Roman"/>
                <w:sz w:val="24"/>
              </w:rPr>
              <w:t xml:space="preserve">3.3 </w:t>
            </w:r>
            <w:r w:rsidRPr="00007BCB">
              <w:rPr>
                <w:rStyle w:val="a8"/>
                <w:rFonts w:ascii="Times New Roman" w:eastAsia="宋体" w:hAnsi="Times New Roman"/>
                <w:sz w:val="24"/>
              </w:rPr>
              <w:t>部分可观测决策与受限优化（</w:t>
            </w:r>
            <w:r w:rsidRPr="00007BCB">
              <w:rPr>
                <w:rStyle w:val="a8"/>
                <w:rFonts w:ascii="Times New Roman" w:eastAsia="宋体" w:hAnsi="Times New Roman"/>
                <w:sz w:val="24"/>
              </w:rPr>
              <w:t>POMDP/CMDP</w:t>
            </w:r>
            <w:r w:rsidRPr="00007BCB">
              <w:rPr>
                <w:rStyle w:val="a8"/>
                <w:rFonts w:ascii="Times New Roman" w:eastAsia="宋体" w:hAnsi="Times New Roman"/>
                <w:sz w:val="24"/>
              </w:rPr>
              <w:t>）</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_Toc218094766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5</w:t>
            </w:r>
            <w:r w:rsidRPr="00007BCB">
              <w:rPr>
                <w:rFonts w:ascii="Times New Roman" w:eastAsia="宋体" w:hAnsi="Times New Roman"/>
                <w:webHidden/>
                <w:sz w:val="24"/>
              </w:rPr>
              <w:fldChar w:fldCharType="end"/>
            </w:r>
          </w:hyperlink>
        </w:p>
        <w:p w14:paraId="15C9168B" w14:textId="452DF89C"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67" w:history="1">
            <w:r w:rsidRPr="00007BCB">
              <w:rPr>
                <w:rStyle w:val="a8"/>
                <w:rFonts w:ascii="Times New Roman" w:eastAsia="宋体" w:hAnsi="Times New Roman"/>
                <w:sz w:val="24"/>
              </w:rPr>
              <w:t xml:space="preserve">3.4 </w:t>
            </w:r>
            <w:r w:rsidRPr="00007BCB">
              <w:rPr>
                <w:rStyle w:val="a8"/>
                <w:rFonts w:ascii="Times New Roman" w:eastAsia="宋体" w:hAnsi="Times New Roman"/>
                <w:sz w:val="24"/>
              </w:rPr>
              <w:t>食品安全抽检资源分配</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_Toc218094767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6</w:t>
            </w:r>
            <w:r w:rsidRPr="00007BCB">
              <w:rPr>
                <w:rFonts w:ascii="Times New Roman" w:eastAsia="宋体" w:hAnsi="Times New Roman"/>
                <w:webHidden/>
                <w:sz w:val="24"/>
              </w:rPr>
              <w:fldChar w:fldCharType="end"/>
            </w:r>
          </w:hyperlink>
        </w:p>
        <w:p w14:paraId="5E72939B" w14:textId="5D594E1C"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68" w:history="1">
            <w:r w:rsidRPr="00007BCB">
              <w:rPr>
                <w:rStyle w:val="a8"/>
                <w:rFonts w:ascii="Times New Roman" w:eastAsia="宋体" w:hAnsi="Times New Roman"/>
                <w:sz w:val="24"/>
              </w:rPr>
              <w:t xml:space="preserve">3.5 </w:t>
            </w:r>
            <w:r w:rsidRPr="00007BCB">
              <w:rPr>
                <w:rStyle w:val="a8"/>
                <w:rFonts w:ascii="Times New Roman" w:eastAsia="宋体" w:hAnsi="Times New Roman"/>
                <w:sz w:val="24"/>
              </w:rPr>
              <w:t>强化学习与动态策略的可行性求解</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_Toc218094768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6</w:t>
            </w:r>
            <w:r w:rsidRPr="00007BCB">
              <w:rPr>
                <w:rFonts w:ascii="Times New Roman" w:eastAsia="宋体" w:hAnsi="Times New Roman"/>
                <w:webHidden/>
                <w:sz w:val="24"/>
              </w:rPr>
              <w:fldChar w:fldCharType="end"/>
            </w:r>
          </w:hyperlink>
        </w:p>
        <w:p w14:paraId="6C959B97" w14:textId="6C799132" w:rsidR="00007BCB" w:rsidRPr="00007BCB" w:rsidRDefault="00007BCB" w:rsidP="009534C4">
          <w:pPr>
            <w:pStyle w:val="TOC1"/>
            <w:rPr>
              <w:rFonts w:ascii="Times New Roman" w:eastAsia="宋体" w:hAnsi="Times New Roman"/>
              <w:bCs w:val="0"/>
              <w:noProof/>
              <w:sz w:val="24"/>
              <w:szCs w:val="24"/>
              <w14:ligatures w14:val="standardContextual"/>
            </w:rPr>
          </w:pPr>
          <w:hyperlink w:anchor="_Toc218094769" w:history="1">
            <w:r w:rsidRPr="00007BCB">
              <w:rPr>
                <w:rStyle w:val="a8"/>
                <w:rFonts w:ascii="Times New Roman" w:eastAsia="宋体" w:hAnsi="Times New Roman"/>
                <w:noProof/>
                <w:sz w:val="24"/>
              </w:rPr>
              <w:t xml:space="preserve">4 </w:t>
            </w:r>
            <w:r w:rsidRPr="00007BCB">
              <w:rPr>
                <w:rStyle w:val="a8"/>
                <w:rFonts w:ascii="Times New Roman" w:eastAsia="宋体" w:hAnsi="Times New Roman"/>
                <w:noProof/>
                <w:sz w:val="24"/>
              </w:rPr>
              <w:t>问题描述与模型假设</w:t>
            </w:r>
            <w:r w:rsidRPr="00007BCB">
              <w:rPr>
                <w:rFonts w:ascii="Times New Roman" w:eastAsia="宋体" w:hAnsi="Times New Roman"/>
                <w:noProof/>
                <w:webHidden/>
                <w:sz w:val="24"/>
              </w:rPr>
              <w:tab/>
            </w:r>
            <w:r w:rsidRPr="00007BCB">
              <w:rPr>
                <w:rFonts w:ascii="Times New Roman" w:eastAsia="宋体" w:hAnsi="Times New Roman"/>
                <w:noProof/>
                <w:webHidden/>
                <w:sz w:val="24"/>
              </w:rPr>
              <w:fldChar w:fldCharType="begin"/>
            </w:r>
            <w:r w:rsidRPr="00007BCB">
              <w:rPr>
                <w:rFonts w:ascii="Times New Roman" w:eastAsia="宋体" w:hAnsi="Times New Roman"/>
                <w:noProof/>
                <w:webHidden/>
                <w:sz w:val="24"/>
              </w:rPr>
              <w:instrText xml:space="preserve"> PAGEREF _Toc218094769 \h </w:instrText>
            </w:r>
            <w:r w:rsidRPr="00007BCB">
              <w:rPr>
                <w:rFonts w:ascii="Times New Roman" w:eastAsia="宋体" w:hAnsi="Times New Roman"/>
                <w:noProof/>
                <w:webHidden/>
                <w:sz w:val="24"/>
              </w:rPr>
            </w:r>
            <w:r w:rsidRPr="00007BCB">
              <w:rPr>
                <w:rFonts w:ascii="Times New Roman" w:eastAsia="宋体" w:hAnsi="Times New Roman"/>
                <w:noProof/>
                <w:webHidden/>
                <w:sz w:val="24"/>
              </w:rPr>
              <w:fldChar w:fldCharType="separate"/>
            </w:r>
            <w:r w:rsidR="00911E55">
              <w:rPr>
                <w:rFonts w:ascii="Times New Roman" w:eastAsia="宋体" w:hAnsi="Times New Roman"/>
                <w:noProof/>
                <w:webHidden/>
                <w:sz w:val="24"/>
              </w:rPr>
              <w:t>7</w:t>
            </w:r>
            <w:r w:rsidRPr="00007BCB">
              <w:rPr>
                <w:rFonts w:ascii="Times New Roman" w:eastAsia="宋体" w:hAnsi="Times New Roman"/>
                <w:noProof/>
                <w:webHidden/>
                <w:sz w:val="24"/>
              </w:rPr>
              <w:fldChar w:fldCharType="end"/>
            </w:r>
          </w:hyperlink>
        </w:p>
        <w:p w14:paraId="427EDA7B" w14:textId="3A05DADD" w:rsidR="00007BCB" w:rsidRPr="00007BCB" w:rsidRDefault="00007BCB" w:rsidP="009534C4">
          <w:pPr>
            <w:pStyle w:val="TOC1"/>
            <w:rPr>
              <w:rFonts w:ascii="Times New Roman" w:eastAsia="宋体" w:hAnsi="Times New Roman"/>
              <w:bCs w:val="0"/>
              <w:noProof/>
              <w:sz w:val="24"/>
              <w:szCs w:val="24"/>
              <w14:ligatures w14:val="standardContextual"/>
            </w:rPr>
          </w:pPr>
          <w:hyperlink w:anchor="_Toc218094770" w:history="1">
            <w:r w:rsidRPr="00007BCB">
              <w:rPr>
                <w:rStyle w:val="a8"/>
                <w:rFonts w:ascii="Times New Roman" w:eastAsia="宋体" w:hAnsi="Times New Roman"/>
                <w:noProof/>
                <w:sz w:val="24"/>
              </w:rPr>
              <w:t>Problem descriptions and model assumptions</w:t>
            </w:r>
            <w:r w:rsidRPr="00007BCB">
              <w:rPr>
                <w:rFonts w:ascii="Times New Roman" w:eastAsia="宋体" w:hAnsi="Times New Roman"/>
                <w:noProof/>
                <w:webHidden/>
                <w:sz w:val="24"/>
              </w:rPr>
              <w:tab/>
            </w:r>
            <w:r w:rsidRPr="00007BCB">
              <w:rPr>
                <w:rFonts w:ascii="Times New Roman" w:eastAsia="宋体" w:hAnsi="Times New Roman"/>
                <w:noProof/>
                <w:webHidden/>
                <w:sz w:val="24"/>
              </w:rPr>
              <w:fldChar w:fldCharType="begin"/>
            </w:r>
            <w:r w:rsidRPr="00007BCB">
              <w:rPr>
                <w:rFonts w:ascii="Times New Roman" w:eastAsia="宋体" w:hAnsi="Times New Roman"/>
                <w:noProof/>
                <w:webHidden/>
                <w:sz w:val="24"/>
              </w:rPr>
              <w:instrText xml:space="preserve"> PAGEREF _Toc218094770 \h </w:instrText>
            </w:r>
            <w:r w:rsidRPr="00007BCB">
              <w:rPr>
                <w:rFonts w:ascii="Times New Roman" w:eastAsia="宋体" w:hAnsi="Times New Roman"/>
                <w:noProof/>
                <w:webHidden/>
                <w:sz w:val="24"/>
              </w:rPr>
            </w:r>
            <w:r w:rsidRPr="00007BCB">
              <w:rPr>
                <w:rFonts w:ascii="Times New Roman" w:eastAsia="宋体" w:hAnsi="Times New Roman"/>
                <w:noProof/>
                <w:webHidden/>
                <w:sz w:val="24"/>
              </w:rPr>
              <w:fldChar w:fldCharType="separate"/>
            </w:r>
            <w:r w:rsidR="00911E55">
              <w:rPr>
                <w:rFonts w:ascii="Times New Roman" w:eastAsia="宋体" w:hAnsi="Times New Roman"/>
                <w:noProof/>
                <w:webHidden/>
                <w:sz w:val="24"/>
              </w:rPr>
              <w:t>7</w:t>
            </w:r>
            <w:r w:rsidRPr="00007BCB">
              <w:rPr>
                <w:rFonts w:ascii="Times New Roman" w:eastAsia="宋体" w:hAnsi="Times New Roman"/>
                <w:noProof/>
                <w:webHidden/>
                <w:sz w:val="24"/>
              </w:rPr>
              <w:fldChar w:fldCharType="end"/>
            </w:r>
          </w:hyperlink>
        </w:p>
        <w:p w14:paraId="17906672" w14:textId="2B9DA5A8"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71" w:history="1">
            <w:r w:rsidRPr="00007BCB">
              <w:rPr>
                <w:rStyle w:val="a8"/>
                <w:rFonts w:ascii="Times New Roman" w:eastAsia="宋体" w:hAnsi="Times New Roman"/>
                <w:sz w:val="24"/>
              </w:rPr>
              <w:t xml:space="preserve">4.1 </w:t>
            </w:r>
            <w:r w:rsidRPr="00007BCB">
              <w:rPr>
                <w:rStyle w:val="a8"/>
                <w:rFonts w:ascii="Times New Roman" w:eastAsia="宋体" w:hAnsi="Times New Roman"/>
                <w:sz w:val="24"/>
              </w:rPr>
              <w:t>问题描述：预算约束下的跨省</w:t>
            </w:r>
            <w:r w:rsidRPr="00007BCB">
              <w:rPr>
                <w:rStyle w:val="a8"/>
                <w:rFonts w:ascii="Times New Roman" w:eastAsia="宋体" w:hAnsi="Times New Roman"/>
                <w:sz w:val="24"/>
              </w:rPr>
              <w:t>×</w:t>
            </w:r>
            <w:r w:rsidRPr="00007BCB">
              <w:rPr>
                <w:rStyle w:val="a8"/>
                <w:rFonts w:ascii="Times New Roman" w:eastAsia="宋体" w:hAnsi="Times New Roman"/>
                <w:sz w:val="24"/>
              </w:rPr>
              <w:t>跨期抽检动态配置</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_Toc218094771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7</w:t>
            </w:r>
            <w:r w:rsidRPr="00007BCB">
              <w:rPr>
                <w:rFonts w:ascii="Times New Roman" w:eastAsia="宋体" w:hAnsi="Times New Roman"/>
                <w:webHidden/>
                <w:sz w:val="24"/>
              </w:rPr>
              <w:fldChar w:fldCharType="end"/>
            </w:r>
          </w:hyperlink>
        </w:p>
        <w:p w14:paraId="19B6DB03" w14:textId="5DD00C7C"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72" w:history="1">
            <w:r w:rsidRPr="00007BCB">
              <w:rPr>
                <w:rStyle w:val="a8"/>
                <w:rFonts w:ascii="Times New Roman" w:eastAsia="宋体" w:hAnsi="Times New Roman"/>
                <w:sz w:val="24"/>
              </w:rPr>
              <w:t xml:space="preserve">4.2 </w:t>
            </w:r>
            <w:r w:rsidRPr="00007BCB">
              <w:rPr>
                <w:rStyle w:val="a8"/>
                <w:rFonts w:ascii="Times New Roman" w:eastAsia="宋体" w:hAnsi="Times New Roman"/>
                <w:sz w:val="24"/>
              </w:rPr>
              <w:t>不完全信息：隐状态、观测与信念（</w:t>
            </w:r>
            <w:r w:rsidRPr="00007BCB">
              <w:rPr>
                <w:rStyle w:val="a8"/>
                <w:rFonts w:ascii="Times New Roman" w:eastAsia="宋体" w:hAnsi="Times New Roman"/>
                <w:sz w:val="24"/>
              </w:rPr>
              <w:t>belief</w:t>
            </w:r>
            <w:r w:rsidRPr="00007BCB">
              <w:rPr>
                <w:rStyle w:val="a8"/>
                <w:rFonts w:ascii="Times New Roman" w:eastAsia="宋体" w:hAnsi="Times New Roman"/>
                <w:sz w:val="24"/>
              </w:rPr>
              <w:t>）</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_Toc218094772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7</w:t>
            </w:r>
            <w:r w:rsidRPr="00007BCB">
              <w:rPr>
                <w:rFonts w:ascii="Times New Roman" w:eastAsia="宋体" w:hAnsi="Times New Roman"/>
                <w:webHidden/>
                <w:sz w:val="24"/>
              </w:rPr>
              <w:fldChar w:fldCharType="end"/>
            </w:r>
          </w:hyperlink>
        </w:p>
        <w:p w14:paraId="16FCD364" w14:textId="0AC8E6E5"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73" w:history="1">
            <w:r w:rsidRPr="00007BCB">
              <w:rPr>
                <w:rStyle w:val="a8"/>
                <w:rFonts w:ascii="Times New Roman" w:eastAsia="宋体" w:hAnsi="Times New Roman"/>
                <w:sz w:val="24"/>
              </w:rPr>
              <w:t xml:space="preserve">4.3 </w:t>
            </w:r>
            <w:r w:rsidRPr="00007BCB">
              <w:rPr>
                <w:rStyle w:val="a8"/>
                <w:rFonts w:ascii="Times New Roman" w:eastAsia="宋体" w:hAnsi="Times New Roman"/>
                <w:sz w:val="24"/>
              </w:rPr>
              <w:t>状态转移：供应链响应与外生扰动</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_Toc218094773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8</w:t>
            </w:r>
            <w:r w:rsidRPr="00007BCB">
              <w:rPr>
                <w:rFonts w:ascii="Times New Roman" w:eastAsia="宋体" w:hAnsi="Times New Roman"/>
                <w:webHidden/>
                <w:sz w:val="24"/>
              </w:rPr>
              <w:fldChar w:fldCharType="end"/>
            </w:r>
          </w:hyperlink>
        </w:p>
        <w:p w14:paraId="7C4659DF" w14:textId="230C0538"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74" w:history="1">
            <w:r w:rsidRPr="00007BCB">
              <w:rPr>
                <w:rStyle w:val="a8"/>
                <w:rFonts w:ascii="Times New Roman" w:eastAsia="宋体" w:hAnsi="Times New Roman"/>
                <w:sz w:val="24"/>
              </w:rPr>
              <w:t xml:space="preserve">4.4 </w:t>
            </w:r>
            <w:r w:rsidRPr="00007BCB">
              <w:rPr>
                <w:rStyle w:val="a8"/>
                <w:rFonts w:ascii="Times New Roman" w:eastAsia="宋体" w:hAnsi="Times New Roman"/>
                <w:sz w:val="24"/>
              </w:rPr>
              <w:t>风险度量</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_Toc218094774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8</w:t>
            </w:r>
            <w:r w:rsidRPr="00007BCB">
              <w:rPr>
                <w:rFonts w:ascii="Times New Roman" w:eastAsia="宋体" w:hAnsi="Times New Roman"/>
                <w:webHidden/>
                <w:sz w:val="24"/>
              </w:rPr>
              <w:fldChar w:fldCharType="end"/>
            </w:r>
          </w:hyperlink>
        </w:p>
        <w:p w14:paraId="31F2C935" w14:textId="624486BE"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75" w:history="1">
            <w:r w:rsidRPr="00007BCB">
              <w:rPr>
                <w:rStyle w:val="a8"/>
                <w:rFonts w:ascii="Times New Roman" w:eastAsia="宋体" w:hAnsi="Times New Roman"/>
                <w:sz w:val="24"/>
              </w:rPr>
              <w:t xml:space="preserve">4.5 </w:t>
            </w:r>
            <w:r w:rsidRPr="00007BCB">
              <w:rPr>
                <w:rStyle w:val="a8"/>
                <w:rFonts w:ascii="Times New Roman" w:eastAsia="宋体" w:hAnsi="Times New Roman"/>
                <w:sz w:val="24"/>
              </w:rPr>
              <w:t>目标函数与约束</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_Toc218094775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9</w:t>
            </w:r>
            <w:r w:rsidRPr="00007BCB">
              <w:rPr>
                <w:rFonts w:ascii="Times New Roman" w:eastAsia="宋体" w:hAnsi="Times New Roman"/>
                <w:webHidden/>
                <w:sz w:val="24"/>
              </w:rPr>
              <w:fldChar w:fldCharType="end"/>
            </w:r>
          </w:hyperlink>
        </w:p>
        <w:p w14:paraId="4A1DC035" w14:textId="12068A89" w:rsidR="00007BCB" w:rsidRPr="00007BCB" w:rsidRDefault="00007BCB" w:rsidP="009534C4">
          <w:pPr>
            <w:pStyle w:val="TOC1"/>
            <w:rPr>
              <w:rFonts w:ascii="Times New Roman" w:eastAsia="宋体" w:hAnsi="Times New Roman"/>
              <w:bCs w:val="0"/>
              <w:noProof/>
              <w:sz w:val="24"/>
              <w:szCs w:val="24"/>
              <w14:ligatures w14:val="standardContextual"/>
            </w:rPr>
          </w:pPr>
          <w:hyperlink w:anchor="_Toc218094776" w:history="1">
            <w:r w:rsidRPr="00007BCB">
              <w:rPr>
                <w:rStyle w:val="a8"/>
                <w:rFonts w:ascii="Times New Roman" w:eastAsia="宋体" w:hAnsi="Times New Roman"/>
                <w:noProof/>
                <w:sz w:val="24"/>
              </w:rPr>
              <w:t xml:space="preserve">5 </w:t>
            </w:r>
            <w:r w:rsidRPr="00007BCB">
              <w:rPr>
                <w:rStyle w:val="a8"/>
                <w:rFonts w:ascii="Times New Roman" w:eastAsia="宋体" w:hAnsi="Times New Roman"/>
                <w:noProof/>
                <w:sz w:val="24"/>
              </w:rPr>
              <w:t>研究方案</w:t>
            </w:r>
            <w:r w:rsidRPr="00007BCB">
              <w:rPr>
                <w:rFonts w:ascii="Times New Roman" w:eastAsia="宋体" w:hAnsi="Times New Roman"/>
                <w:noProof/>
                <w:webHidden/>
                <w:sz w:val="24"/>
              </w:rPr>
              <w:tab/>
            </w:r>
            <w:r w:rsidRPr="00007BCB">
              <w:rPr>
                <w:rFonts w:ascii="Times New Roman" w:eastAsia="宋体" w:hAnsi="Times New Roman"/>
                <w:noProof/>
                <w:webHidden/>
                <w:sz w:val="24"/>
              </w:rPr>
              <w:fldChar w:fldCharType="begin"/>
            </w:r>
            <w:r w:rsidRPr="00007BCB">
              <w:rPr>
                <w:rFonts w:ascii="Times New Roman" w:eastAsia="宋体" w:hAnsi="Times New Roman"/>
                <w:noProof/>
                <w:webHidden/>
                <w:sz w:val="24"/>
              </w:rPr>
              <w:instrText xml:space="preserve"> PAGEREF _Toc218094776 \h </w:instrText>
            </w:r>
            <w:r w:rsidRPr="00007BCB">
              <w:rPr>
                <w:rFonts w:ascii="Times New Roman" w:eastAsia="宋体" w:hAnsi="Times New Roman"/>
                <w:noProof/>
                <w:webHidden/>
                <w:sz w:val="24"/>
              </w:rPr>
            </w:r>
            <w:r w:rsidRPr="00007BCB">
              <w:rPr>
                <w:rFonts w:ascii="Times New Roman" w:eastAsia="宋体" w:hAnsi="Times New Roman"/>
                <w:noProof/>
                <w:webHidden/>
                <w:sz w:val="24"/>
              </w:rPr>
              <w:fldChar w:fldCharType="separate"/>
            </w:r>
            <w:r w:rsidR="00911E55">
              <w:rPr>
                <w:rFonts w:ascii="Times New Roman" w:eastAsia="宋体" w:hAnsi="Times New Roman"/>
                <w:noProof/>
                <w:webHidden/>
                <w:sz w:val="24"/>
              </w:rPr>
              <w:t>11</w:t>
            </w:r>
            <w:r w:rsidRPr="00007BCB">
              <w:rPr>
                <w:rFonts w:ascii="Times New Roman" w:eastAsia="宋体" w:hAnsi="Times New Roman"/>
                <w:noProof/>
                <w:webHidden/>
                <w:sz w:val="24"/>
              </w:rPr>
              <w:fldChar w:fldCharType="end"/>
            </w:r>
          </w:hyperlink>
        </w:p>
        <w:p w14:paraId="726395CE" w14:textId="5BE3271F" w:rsidR="00007BCB" w:rsidRPr="00007BCB" w:rsidRDefault="00007BCB" w:rsidP="009534C4">
          <w:pPr>
            <w:pStyle w:val="TOC1"/>
            <w:rPr>
              <w:rFonts w:ascii="Times New Roman" w:eastAsia="宋体" w:hAnsi="Times New Roman"/>
              <w:bCs w:val="0"/>
              <w:noProof/>
              <w:sz w:val="24"/>
              <w:szCs w:val="24"/>
              <w14:ligatures w14:val="standardContextual"/>
            </w:rPr>
          </w:pPr>
          <w:hyperlink w:anchor="_Toc218094777" w:history="1">
            <w:r w:rsidRPr="00007BCB">
              <w:rPr>
                <w:rStyle w:val="a8"/>
                <w:rFonts w:ascii="Times New Roman" w:eastAsia="宋体" w:hAnsi="Times New Roman"/>
                <w:noProof/>
                <w:sz w:val="24"/>
              </w:rPr>
              <w:t>ResearchScheme</w:t>
            </w:r>
            <w:r w:rsidRPr="00007BCB">
              <w:rPr>
                <w:rStyle w:val="a8"/>
                <w:rFonts w:ascii="Times New Roman" w:eastAsia="宋体" w:hAnsi="Times New Roman"/>
                <w:noProof/>
                <w:sz w:val="24"/>
              </w:rPr>
              <w:t>（</w:t>
            </w:r>
            <w:r w:rsidRPr="00007BCB">
              <w:rPr>
                <w:rStyle w:val="a8"/>
                <w:rFonts w:ascii="Times New Roman" w:eastAsia="宋体" w:hAnsi="Times New Roman"/>
                <w:noProof/>
                <w:sz w:val="24"/>
              </w:rPr>
              <w:t>methodologies,technicalroute</w:t>
            </w:r>
            <w:r w:rsidRPr="00007BCB">
              <w:rPr>
                <w:rStyle w:val="a8"/>
                <w:rFonts w:ascii="Times New Roman" w:eastAsia="宋体" w:hAnsi="Times New Roman"/>
                <w:noProof/>
                <w:sz w:val="24"/>
              </w:rPr>
              <w:t>）</w:t>
            </w:r>
            <w:r w:rsidRPr="00007BCB">
              <w:rPr>
                <w:rFonts w:ascii="Times New Roman" w:eastAsia="宋体" w:hAnsi="Times New Roman"/>
                <w:noProof/>
                <w:webHidden/>
                <w:sz w:val="24"/>
              </w:rPr>
              <w:tab/>
            </w:r>
            <w:r w:rsidRPr="00007BCB">
              <w:rPr>
                <w:rFonts w:ascii="Times New Roman" w:eastAsia="宋体" w:hAnsi="Times New Roman"/>
                <w:noProof/>
                <w:webHidden/>
                <w:sz w:val="24"/>
              </w:rPr>
              <w:fldChar w:fldCharType="begin"/>
            </w:r>
            <w:r w:rsidRPr="00007BCB">
              <w:rPr>
                <w:rFonts w:ascii="Times New Roman" w:eastAsia="宋体" w:hAnsi="Times New Roman"/>
                <w:noProof/>
                <w:webHidden/>
                <w:sz w:val="24"/>
              </w:rPr>
              <w:instrText xml:space="preserve"> PAGEREF _Toc218094777 \h </w:instrText>
            </w:r>
            <w:r w:rsidRPr="00007BCB">
              <w:rPr>
                <w:rFonts w:ascii="Times New Roman" w:eastAsia="宋体" w:hAnsi="Times New Roman"/>
                <w:noProof/>
                <w:webHidden/>
                <w:sz w:val="24"/>
              </w:rPr>
            </w:r>
            <w:r w:rsidRPr="00007BCB">
              <w:rPr>
                <w:rFonts w:ascii="Times New Roman" w:eastAsia="宋体" w:hAnsi="Times New Roman"/>
                <w:noProof/>
                <w:webHidden/>
                <w:sz w:val="24"/>
              </w:rPr>
              <w:fldChar w:fldCharType="separate"/>
            </w:r>
            <w:r w:rsidR="00911E55">
              <w:rPr>
                <w:rFonts w:ascii="Times New Roman" w:eastAsia="宋体" w:hAnsi="Times New Roman"/>
                <w:noProof/>
                <w:webHidden/>
                <w:sz w:val="24"/>
              </w:rPr>
              <w:t>11</w:t>
            </w:r>
            <w:r w:rsidRPr="00007BCB">
              <w:rPr>
                <w:rFonts w:ascii="Times New Roman" w:eastAsia="宋体" w:hAnsi="Times New Roman"/>
                <w:noProof/>
                <w:webHidden/>
                <w:sz w:val="24"/>
              </w:rPr>
              <w:fldChar w:fldCharType="end"/>
            </w:r>
          </w:hyperlink>
        </w:p>
        <w:p w14:paraId="7176F6E5" w14:textId="0827C266"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78" w:history="1">
            <w:r w:rsidRPr="00007BCB">
              <w:rPr>
                <w:rStyle w:val="a8"/>
                <w:rFonts w:ascii="Times New Roman" w:eastAsia="宋体" w:hAnsi="Times New Roman"/>
                <w:sz w:val="24"/>
              </w:rPr>
              <w:t xml:space="preserve">5.1 </w:t>
            </w:r>
            <w:r w:rsidRPr="00007BCB">
              <w:rPr>
                <w:rStyle w:val="a8"/>
                <w:rFonts w:ascii="Times New Roman" w:eastAsia="宋体" w:hAnsi="Times New Roman"/>
                <w:sz w:val="24"/>
              </w:rPr>
              <w:t>数据结构与变量构造</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_Toc218094778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11</w:t>
            </w:r>
            <w:r w:rsidRPr="00007BCB">
              <w:rPr>
                <w:rFonts w:ascii="Times New Roman" w:eastAsia="宋体" w:hAnsi="Times New Roman"/>
                <w:webHidden/>
                <w:sz w:val="24"/>
              </w:rPr>
              <w:fldChar w:fldCharType="end"/>
            </w:r>
          </w:hyperlink>
        </w:p>
        <w:p w14:paraId="7BEAA127" w14:textId="7CD6D0A4"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79" w:history="1">
            <w:r w:rsidRPr="00007BCB">
              <w:rPr>
                <w:rStyle w:val="a8"/>
                <w:rFonts w:ascii="Times New Roman" w:eastAsia="宋体" w:hAnsi="Times New Roman"/>
                <w:sz w:val="24"/>
              </w:rPr>
              <w:t xml:space="preserve">5.2 </w:t>
            </w:r>
            <w:r w:rsidRPr="00007BCB">
              <w:rPr>
                <w:rStyle w:val="a8"/>
                <w:rFonts w:ascii="Times New Roman" w:eastAsia="宋体" w:hAnsi="Times New Roman"/>
                <w:sz w:val="24"/>
              </w:rPr>
              <w:t>模型设定：受限</w:t>
            </w:r>
            <w:r w:rsidRPr="00007BCB">
              <w:rPr>
                <w:rStyle w:val="a8"/>
                <w:rFonts w:ascii="Times New Roman" w:eastAsia="宋体" w:hAnsi="Times New Roman"/>
                <w:sz w:val="24"/>
              </w:rPr>
              <w:t>POMDP → belief-MDP</w:t>
            </w:r>
            <w:r w:rsidRPr="00007BCB">
              <w:rPr>
                <w:rStyle w:val="a8"/>
                <w:rFonts w:ascii="Times New Roman" w:eastAsia="宋体" w:hAnsi="Times New Roman"/>
                <w:sz w:val="24"/>
              </w:rPr>
              <w:t>（带约束）</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_Toc218094779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12</w:t>
            </w:r>
            <w:r w:rsidRPr="00007BCB">
              <w:rPr>
                <w:rFonts w:ascii="Times New Roman" w:eastAsia="宋体" w:hAnsi="Times New Roman"/>
                <w:webHidden/>
                <w:sz w:val="24"/>
              </w:rPr>
              <w:fldChar w:fldCharType="end"/>
            </w:r>
          </w:hyperlink>
        </w:p>
        <w:p w14:paraId="73356002" w14:textId="08637E72"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80" w:history="1">
            <w:r w:rsidRPr="00007BCB">
              <w:rPr>
                <w:rStyle w:val="a8"/>
                <w:rFonts w:ascii="Times New Roman" w:eastAsia="宋体" w:hAnsi="Times New Roman"/>
                <w:sz w:val="24"/>
              </w:rPr>
              <w:t xml:space="preserve">5.3 </w:t>
            </w:r>
            <w:r w:rsidRPr="00007BCB">
              <w:rPr>
                <w:rStyle w:val="a8"/>
                <w:rFonts w:ascii="Times New Roman" w:eastAsia="宋体" w:hAnsi="Times New Roman"/>
                <w:sz w:val="24"/>
              </w:rPr>
              <w:t>多智能体架构</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_Toc218094780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12</w:t>
            </w:r>
            <w:r w:rsidRPr="00007BCB">
              <w:rPr>
                <w:rFonts w:ascii="Times New Roman" w:eastAsia="宋体" w:hAnsi="Times New Roman"/>
                <w:webHidden/>
                <w:sz w:val="24"/>
              </w:rPr>
              <w:fldChar w:fldCharType="end"/>
            </w:r>
          </w:hyperlink>
        </w:p>
        <w:p w14:paraId="61B11CE4" w14:textId="1E79FEC2"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81" w:history="1">
            <w:r w:rsidRPr="00007BCB">
              <w:rPr>
                <w:rStyle w:val="a8"/>
                <w:rFonts w:ascii="Times New Roman" w:eastAsia="宋体" w:hAnsi="Times New Roman"/>
                <w:sz w:val="24"/>
              </w:rPr>
              <w:t>5.4 DQN</w:t>
            </w:r>
            <w:r w:rsidRPr="00007BCB">
              <w:rPr>
                <w:rStyle w:val="a8"/>
                <w:rFonts w:ascii="Times New Roman" w:eastAsia="宋体" w:hAnsi="Times New Roman"/>
                <w:sz w:val="24"/>
              </w:rPr>
              <w:t>设置</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_Toc218094781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12</w:t>
            </w:r>
            <w:r w:rsidRPr="00007BCB">
              <w:rPr>
                <w:rFonts w:ascii="Times New Roman" w:eastAsia="宋体" w:hAnsi="Times New Roman"/>
                <w:webHidden/>
                <w:sz w:val="24"/>
              </w:rPr>
              <w:fldChar w:fldCharType="end"/>
            </w:r>
          </w:hyperlink>
        </w:p>
        <w:p w14:paraId="62AE53E2" w14:textId="7F9821ED" w:rsidR="00007BCB" w:rsidRPr="00007BCB" w:rsidRDefault="00007BCB" w:rsidP="009534C4">
          <w:pPr>
            <w:pStyle w:val="TOC2"/>
            <w:ind w:leftChars="0" w:left="0"/>
            <w:rPr>
              <w:rFonts w:ascii="Times New Roman" w:eastAsia="宋体" w:hAnsi="Times New Roman"/>
              <w:smallCaps w:val="0"/>
              <w:sz w:val="24"/>
              <w:szCs w:val="24"/>
              <w14:ligatures w14:val="standardContextual"/>
            </w:rPr>
          </w:pPr>
          <w:hyperlink w:anchor="_Toc218094782" w:history="1">
            <w:r w:rsidRPr="00007BCB">
              <w:rPr>
                <w:rStyle w:val="a8"/>
                <w:rFonts w:ascii="Times New Roman" w:eastAsia="宋体" w:hAnsi="Times New Roman"/>
                <w:sz w:val="24"/>
              </w:rPr>
              <w:t xml:space="preserve">5.5 </w:t>
            </w:r>
            <w:r w:rsidRPr="00007BCB">
              <w:rPr>
                <w:rStyle w:val="a8"/>
                <w:rFonts w:ascii="Times New Roman" w:eastAsia="宋体" w:hAnsi="Times New Roman"/>
                <w:sz w:val="24"/>
              </w:rPr>
              <w:t>技术路线图</w:t>
            </w:r>
            <w:r w:rsidRPr="00007BCB">
              <w:rPr>
                <w:rFonts w:ascii="Times New Roman" w:eastAsia="宋体" w:hAnsi="Times New Roman"/>
                <w:webHidden/>
                <w:sz w:val="24"/>
              </w:rPr>
              <w:tab/>
            </w:r>
            <w:r w:rsidRPr="00007BCB">
              <w:rPr>
                <w:rFonts w:ascii="Times New Roman" w:eastAsia="宋体" w:hAnsi="Times New Roman"/>
                <w:webHidden/>
                <w:sz w:val="24"/>
              </w:rPr>
              <w:fldChar w:fldCharType="begin"/>
            </w:r>
            <w:r w:rsidRPr="00007BCB">
              <w:rPr>
                <w:rFonts w:ascii="Times New Roman" w:eastAsia="宋体" w:hAnsi="Times New Roman"/>
                <w:webHidden/>
                <w:sz w:val="24"/>
              </w:rPr>
              <w:instrText xml:space="preserve"> PAGEREF _Toc218094782 \h </w:instrText>
            </w:r>
            <w:r w:rsidRPr="00007BCB">
              <w:rPr>
                <w:rFonts w:ascii="Times New Roman" w:eastAsia="宋体" w:hAnsi="Times New Roman"/>
                <w:webHidden/>
                <w:sz w:val="24"/>
              </w:rPr>
            </w:r>
            <w:r w:rsidRPr="00007BCB">
              <w:rPr>
                <w:rFonts w:ascii="Times New Roman" w:eastAsia="宋体" w:hAnsi="Times New Roman"/>
                <w:webHidden/>
                <w:sz w:val="24"/>
              </w:rPr>
              <w:fldChar w:fldCharType="separate"/>
            </w:r>
            <w:r w:rsidR="00911E55">
              <w:rPr>
                <w:rFonts w:ascii="Times New Roman" w:eastAsia="宋体" w:hAnsi="Times New Roman"/>
                <w:webHidden/>
                <w:sz w:val="24"/>
              </w:rPr>
              <w:t>16</w:t>
            </w:r>
            <w:r w:rsidRPr="00007BCB">
              <w:rPr>
                <w:rFonts w:ascii="Times New Roman" w:eastAsia="宋体" w:hAnsi="Times New Roman"/>
                <w:webHidden/>
                <w:sz w:val="24"/>
              </w:rPr>
              <w:fldChar w:fldCharType="end"/>
            </w:r>
          </w:hyperlink>
        </w:p>
        <w:p w14:paraId="54D4E502" w14:textId="330EC521" w:rsidR="00007BCB" w:rsidRPr="00007BCB" w:rsidRDefault="00007BCB" w:rsidP="009534C4">
          <w:pPr>
            <w:pStyle w:val="TOC1"/>
            <w:rPr>
              <w:rFonts w:ascii="Times New Roman" w:eastAsia="宋体" w:hAnsi="Times New Roman"/>
              <w:bCs w:val="0"/>
              <w:noProof/>
              <w:sz w:val="24"/>
              <w:szCs w:val="24"/>
              <w14:ligatures w14:val="standardContextual"/>
            </w:rPr>
          </w:pPr>
          <w:hyperlink w:anchor="_Toc218094783" w:history="1">
            <w:r w:rsidRPr="00007BCB">
              <w:rPr>
                <w:rStyle w:val="a8"/>
                <w:rFonts w:ascii="Times New Roman" w:eastAsia="宋体" w:hAnsi="Times New Roman"/>
                <w:noProof/>
                <w:sz w:val="24"/>
              </w:rPr>
              <w:t xml:space="preserve">6 </w:t>
            </w:r>
            <w:r w:rsidRPr="00007BCB">
              <w:rPr>
                <w:rStyle w:val="a8"/>
                <w:rFonts w:ascii="Times New Roman" w:eastAsia="宋体" w:hAnsi="Times New Roman"/>
                <w:noProof/>
                <w:sz w:val="24"/>
              </w:rPr>
              <w:t>研究创新之处</w:t>
            </w:r>
            <w:r w:rsidRPr="00007BCB">
              <w:rPr>
                <w:rFonts w:ascii="Times New Roman" w:eastAsia="宋体" w:hAnsi="Times New Roman"/>
                <w:noProof/>
                <w:webHidden/>
                <w:sz w:val="24"/>
              </w:rPr>
              <w:tab/>
            </w:r>
            <w:r w:rsidRPr="00007BCB">
              <w:rPr>
                <w:rFonts w:ascii="Times New Roman" w:eastAsia="宋体" w:hAnsi="Times New Roman"/>
                <w:noProof/>
                <w:webHidden/>
                <w:sz w:val="24"/>
              </w:rPr>
              <w:fldChar w:fldCharType="begin"/>
            </w:r>
            <w:r w:rsidRPr="00007BCB">
              <w:rPr>
                <w:rFonts w:ascii="Times New Roman" w:eastAsia="宋体" w:hAnsi="Times New Roman"/>
                <w:noProof/>
                <w:webHidden/>
                <w:sz w:val="24"/>
              </w:rPr>
              <w:instrText xml:space="preserve"> PAGEREF _Toc218094783 \h </w:instrText>
            </w:r>
            <w:r w:rsidRPr="00007BCB">
              <w:rPr>
                <w:rFonts w:ascii="Times New Roman" w:eastAsia="宋体" w:hAnsi="Times New Roman"/>
                <w:noProof/>
                <w:webHidden/>
                <w:sz w:val="24"/>
              </w:rPr>
            </w:r>
            <w:r w:rsidRPr="00007BCB">
              <w:rPr>
                <w:rFonts w:ascii="Times New Roman" w:eastAsia="宋体" w:hAnsi="Times New Roman"/>
                <w:noProof/>
                <w:webHidden/>
                <w:sz w:val="24"/>
              </w:rPr>
              <w:fldChar w:fldCharType="separate"/>
            </w:r>
            <w:r w:rsidR="00911E55">
              <w:rPr>
                <w:rFonts w:ascii="Times New Roman" w:eastAsia="宋体" w:hAnsi="Times New Roman"/>
                <w:noProof/>
                <w:webHidden/>
                <w:sz w:val="24"/>
              </w:rPr>
              <w:t>16</w:t>
            </w:r>
            <w:r w:rsidRPr="00007BCB">
              <w:rPr>
                <w:rFonts w:ascii="Times New Roman" w:eastAsia="宋体" w:hAnsi="Times New Roman"/>
                <w:noProof/>
                <w:webHidden/>
                <w:sz w:val="24"/>
              </w:rPr>
              <w:fldChar w:fldCharType="end"/>
            </w:r>
          </w:hyperlink>
        </w:p>
        <w:p w14:paraId="06626AC0" w14:textId="239E467D" w:rsidR="00007BCB" w:rsidRPr="00007BCB" w:rsidRDefault="00007BCB" w:rsidP="009534C4">
          <w:pPr>
            <w:pStyle w:val="TOC1"/>
            <w:rPr>
              <w:rFonts w:ascii="Times New Roman" w:eastAsia="宋体" w:hAnsi="Times New Roman"/>
              <w:bCs w:val="0"/>
              <w:noProof/>
              <w:sz w:val="24"/>
              <w:szCs w:val="24"/>
              <w14:ligatures w14:val="standardContextual"/>
            </w:rPr>
          </w:pPr>
          <w:hyperlink w:anchor="_Toc218094784" w:history="1">
            <w:r w:rsidRPr="00007BCB">
              <w:rPr>
                <w:rStyle w:val="a8"/>
                <w:rFonts w:ascii="Times New Roman" w:eastAsia="宋体" w:hAnsi="Times New Roman"/>
                <w:noProof/>
                <w:sz w:val="24"/>
              </w:rPr>
              <w:t>Possible Innovations</w:t>
            </w:r>
            <w:r w:rsidRPr="00007BCB">
              <w:rPr>
                <w:rFonts w:ascii="Times New Roman" w:eastAsia="宋体" w:hAnsi="Times New Roman"/>
                <w:noProof/>
                <w:webHidden/>
                <w:sz w:val="24"/>
              </w:rPr>
              <w:tab/>
            </w:r>
            <w:r w:rsidRPr="00007BCB">
              <w:rPr>
                <w:rFonts w:ascii="Times New Roman" w:eastAsia="宋体" w:hAnsi="Times New Roman"/>
                <w:noProof/>
                <w:webHidden/>
                <w:sz w:val="24"/>
              </w:rPr>
              <w:fldChar w:fldCharType="begin"/>
            </w:r>
            <w:r w:rsidRPr="00007BCB">
              <w:rPr>
                <w:rFonts w:ascii="Times New Roman" w:eastAsia="宋体" w:hAnsi="Times New Roman"/>
                <w:noProof/>
                <w:webHidden/>
                <w:sz w:val="24"/>
              </w:rPr>
              <w:instrText xml:space="preserve"> PAGEREF _Toc218094784 \h </w:instrText>
            </w:r>
            <w:r w:rsidRPr="00007BCB">
              <w:rPr>
                <w:rFonts w:ascii="Times New Roman" w:eastAsia="宋体" w:hAnsi="Times New Roman"/>
                <w:noProof/>
                <w:webHidden/>
                <w:sz w:val="24"/>
              </w:rPr>
            </w:r>
            <w:r w:rsidRPr="00007BCB">
              <w:rPr>
                <w:rFonts w:ascii="Times New Roman" w:eastAsia="宋体" w:hAnsi="Times New Roman"/>
                <w:noProof/>
                <w:webHidden/>
                <w:sz w:val="24"/>
              </w:rPr>
              <w:fldChar w:fldCharType="separate"/>
            </w:r>
            <w:r w:rsidR="00911E55">
              <w:rPr>
                <w:rFonts w:ascii="Times New Roman" w:eastAsia="宋体" w:hAnsi="Times New Roman"/>
                <w:noProof/>
                <w:webHidden/>
                <w:sz w:val="24"/>
              </w:rPr>
              <w:t>16</w:t>
            </w:r>
            <w:r w:rsidRPr="00007BCB">
              <w:rPr>
                <w:rFonts w:ascii="Times New Roman" w:eastAsia="宋体" w:hAnsi="Times New Roman"/>
                <w:noProof/>
                <w:webHidden/>
                <w:sz w:val="24"/>
              </w:rPr>
              <w:fldChar w:fldCharType="end"/>
            </w:r>
          </w:hyperlink>
        </w:p>
        <w:p w14:paraId="08A6063E" w14:textId="080D03BA" w:rsidR="00007BCB" w:rsidRPr="00007BCB" w:rsidRDefault="00007BCB" w:rsidP="009534C4">
          <w:pPr>
            <w:pStyle w:val="TOC1"/>
            <w:rPr>
              <w:rFonts w:ascii="Times New Roman" w:eastAsia="宋体" w:hAnsi="Times New Roman"/>
              <w:bCs w:val="0"/>
              <w:noProof/>
              <w:sz w:val="24"/>
              <w:szCs w:val="24"/>
              <w14:ligatures w14:val="standardContextual"/>
            </w:rPr>
          </w:pPr>
          <w:hyperlink w:anchor="_Toc218094785" w:history="1">
            <w:r w:rsidRPr="00007BCB">
              <w:rPr>
                <w:rStyle w:val="a8"/>
                <w:rFonts w:ascii="Times New Roman" w:eastAsia="宋体" w:hAnsi="Times New Roman"/>
                <w:noProof/>
                <w:sz w:val="24"/>
              </w:rPr>
              <w:t xml:space="preserve">7 </w:t>
            </w:r>
            <w:r w:rsidRPr="00007BCB">
              <w:rPr>
                <w:rStyle w:val="a8"/>
                <w:rFonts w:ascii="Times New Roman" w:eastAsia="宋体" w:hAnsi="Times New Roman"/>
                <w:noProof/>
                <w:sz w:val="24"/>
              </w:rPr>
              <w:t>研究进度安排</w:t>
            </w:r>
            <w:r w:rsidRPr="00007BCB">
              <w:rPr>
                <w:rFonts w:ascii="Times New Roman" w:eastAsia="宋体" w:hAnsi="Times New Roman"/>
                <w:noProof/>
                <w:webHidden/>
                <w:sz w:val="24"/>
              </w:rPr>
              <w:tab/>
            </w:r>
            <w:r w:rsidRPr="00007BCB">
              <w:rPr>
                <w:rFonts w:ascii="Times New Roman" w:eastAsia="宋体" w:hAnsi="Times New Roman"/>
                <w:noProof/>
                <w:webHidden/>
                <w:sz w:val="24"/>
              </w:rPr>
              <w:fldChar w:fldCharType="begin"/>
            </w:r>
            <w:r w:rsidRPr="00007BCB">
              <w:rPr>
                <w:rFonts w:ascii="Times New Roman" w:eastAsia="宋体" w:hAnsi="Times New Roman"/>
                <w:noProof/>
                <w:webHidden/>
                <w:sz w:val="24"/>
              </w:rPr>
              <w:instrText xml:space="preserve"> PAGEREF _Toc218094785 \h </w:instrText>
            </w:r>
            <w:r w:rsidRPr="00007BCB">
              <w:rPr>
                <w:rFonts w:ascii="Times New Roman" w:eastAsia="宋体" w:hAnsi="Times New Roman"/>
                <w:noProof/>
                <w:webHidden/>
                <w:sz w:val="24"/>
              </w:rPr>
            </w:r>
            <w:r w:rsidRPr="00007BCB">
              <w:rPr>
                <w:rFonts w:ascii="Times New Roman" w:eastAsia="宋体" w:hAnsi="Times New Roman"/>
                <w:noProof/>
                <w:webHidden/>
                <w:sz w:val="24"/>
              </w:rPr>
              <w:fldChar w:fldCharType="separate"/>
            </w:r>
            <w:r w:rsidR="00911E55">
              <w:rPr>
                <w:rFonts w:ascii="Times New Roman" w:eastAsia="宋体" w:hAnsi="Times New Roman"/>
                <w:noProof/>
                <w:webHidden/>
                <w:sz w:val="24"/>
              </w:rPr>
              <w:t>17</w:t>
            </w:r>
            <w:r w:rsidRPr="00007BCB">
              <w:rPr>
                <w:rFonts w:ascii="Times New Roman" w:eastAsia="宋体" w:hAnsi="Times New Roman"/>
                <w:noProof/>
                <w:webHidden/>
                <w:sz w:val="24"/>
              </w:rPr>
              <w:fldChar w:fldCharType="end"/>
            </w:r>
          </w:hyperlink>
        </w:p>
        <w:p w14:paraId="644A3EBB" w14:textId="15E9AFAE" w:rsidR="00007BCB" w:rsidRPr="00007BCB" w:rsidRDefault="00007BCB" w:rsidP="009534C4">
          <w:pPr>
            <w:pStyle w:val="TOC1"/>
            <w:rPr>
              <w:rFonts w:ascii="Times New Roman" w:eastAsia="宋体" w:hAnsi="Times New Roman"/>
              <w:bCs w:val="0"/>
              <w:noProof/>
              <w:sz w:val="24"/>
              <w:szCs w:val="24"/>
              <w14:ligatures w14:val="standardContextual"/>
            </w:rPr>
          </w:pPr>
          <w:hyperlink w:anchor="_Toc218094786" w:history="1">
            <w:r w:rsidRPr="00007BCB">
              <w:rPr>
                <w:rStyle w:val="a8"/>
                <w:rFonts w:ascii="Times New Roman" w:eastAsia="宋体" w:hAnsi="Times New Roman"/>
                <w:noProof/>
                <w:sz w:val="24"/>
              </w:rPr>
              <w:t>Research Schedule</w:t>
            </w:r>
            <w:r w:rsidRPr="00007BCB">
              <w:rPr>
                <w:rFonts w:ascii="Times New Roman" w:eastAsia="宋体" w:hAnsi="Times New Roman"/>
                <w:noProof/>
                <w:webHidden/>
                <w:sz w:val="24"/>
              </w:rPr>
              <w:tab/>
            </w:r>
            <w:r w:rsidRPr="00007BCB">
              <w:rPr>
                <w:rFonts w:ascii="Times New Roman" w:eastAsia="宋体" w:hAnsi="Times New Roman"/>
                <w:noProof/>
                <w:webHidden/>
                <w:sz w:val="24"/>
              </w:rPr>
              <w:fldChar w:fldCharType="begin"/>
            </w:r>
            <w:r w:rsidRPr="00007BCB">
              <w:rPr>
                <w:rFonts w:ascii="Times New Roman" w:eastAsia="宋体" w:hAnsi="Times New Roman"/>
                <w:noProof/>
                <w:webHidden/>
                <w:sz w:val="24"/>
              </w:rPr>
              <w:instrText xml:space="preserve"> PAGEREF _Toc218094786 \h </w:instrText>
            </w:r>
            <w:r w:rsidRPr="00007BCB">
              <w:rPr>
                <w:rFonts w:ascii="Times New Roman" w:eastAsia="宋体" w:hAnsi="Times New Roman"/>
                <w:noProof/>
                <w:webHidden/>
                <w:sz w:val="24"/>
              </w:rPr>
            </w:r>
            <w:r w:rsidRPr="00007BCB">
              <w:rPr>
                <w:rFonts w:ascii="Times New Roman" w:eastAsia="宋体" w:hAnsi="Times New Roman"/>
                <w:noProof/>
                <w:webHidden/>
                <w:sz w:val="24"/>
              </w:rPr>
              <w:fldChar w:fldCharType="separate"/>
            </w:r>
            <w:r w:rsidR="00911E55">
              <w:rPr>
                <w:rFonts w:ascii="Times New Roman" w:eastAsia="宋体" w:hAnsi="Times New Roman"/>
                <w:noProof/>
                <w:webHidden/>
                <w:sz w:val="24"/>
              </w:rPr>
              <w:t>17</w:t>
            </w:r>
            <w:r w:rsidRPr="00007BCB">
              <w:rPr>
                <w:rFonts w:ascii="Times New Roman" w:eastAsia="宋体" w:hAnsi="Times New Roman"/>
                <w:noProof/>
                <w:webHidden/>
                <w:sz w:val="24"/>
              </w:rPr>
              <w:fldChar w:fldCharType="end"/>
            </w:r>
          </w:hyperlink>
        </w:p>
        <w:p w14:paraId="0F556D58" w14:textId="5ADBC1C0" w:rsidR="00007BCB" w:rsidRPr="00007BCB" w:rsidRDefault="00007BCB" w:rsidP="009534C4">
          <w:pPr>
            <w:pStyle w:val="TOC1"/>
            <w:rPr>
              <w:rFonts w:ascii="Times New Roman" w:eastAsia="宋体" w:hAnsi="Times New Roman"/>
              <w:bCs w:val="0"/>
              <w:noProof/>
              <w:sz w:val="24"/>
              <w:szCs w:val="24"/>
              <w14:ligatures w14:val="standardContextual"/>
            </w:rPr>
          </w:pPr>
          <w:hyperlink w:anchor="_Toc218094787" w:history="1">
            <w:r w:rsidRPr="00007BCB">
              <w:rPr>
                <w:rStyle w:val="a8"/>
                <w:rFonts w:ascii="Times New Roman" w:eastAsia="宋体" w:hAnsi="Times New Roman"/>
                <w:noProof/>
                <w:sz w:val="24"/>
              </w:rPr>
              <w:t>参考文献</w:t>
            </w:r>
            <w:r w:rsidRPr="00007BCB">
              <w:rPr>
                <w:rFonts w:ascii="Times New Roman" w:eastAsia="宋体" w:hAnsi="Times New Roman"/>
                <w:noProof/>
                <w:webHidden/>
                <w:sz w:val="24"/>
              </w:rPr>
              <w:tab/>
            </w:r>
            <w:r w:rsidRPr="00007BCB">
              <w:rPr>
                <w:rFonts w:ascii="Times New Roman" w:eastAsia="宋体" w:hAnsi="Times New Roman"/>
                <w:noProof/>
                <w:webHidden/>
                <w:sz w:val="24"/>
              </w:rPr>
              <w:fldChar w:fldCharType="begin"/>
            </w:r>
            <w:r w:rsidRPr="00007BCB">
              <w:rPr>
                <w:rFonts w:ascii="Times New Roman" w:eastAsia="宋体" w:hAnsi="Times New Roman"/>
                <w:noProof/>
                <w:webHidden/>
                <w:sz w:val="24"/>
              </w:rPr>
              <w:instrText xml:space="preserve"> PAGEREF _Toc218094787 \h </w:instrText>
            </w:r>
            <w:r w:rsidRPr="00007BCB">
              <w:rPr>
                <w:rFonts w:ascii="Times New Roman" w:eastAsia="宋体" w:hAnsi="Times New Roman"/>
                <w:noProof/>
                <w:webHidden/>
                <w:sz w:val="24"/>
              </w:rPr>
            </w:r>
            <w:r w:rsidRPr="00007BCB">
              <w:rPr>
                <w:rFonts w:ascii="Times New Roman" w:eastAsia="宋体" w:hAnsi="Times New Roman"/>
                <w:noProof/>
                <w:webHidden/>
                <w:sz w:val="24"/>
              </w:rPr>
              <w:fldChar w:fldCharType="separate"/>
            </w:r>
            <w:r w:rsidR="00911E55">
              <w:rPr>
                <w:rFonts w:ascii="Times New Roman" w:eastAsia="宋体" w:hAnsi="Times New Roman"/>
                <w:noProof/>
                <w:webHidden/>
                <w:sz w:val="24"/>
              </w:rPr>
              <w:t>18</w:t>
            </w:r>
            <w:r w:rsidRPr="00007BCB">
              <w:rPr>
                <w:rFonts w:ascii="Times New Roman" w:eastAsia="宋体" w:hAnsi="Times New Roman"/>
                <w:noProof/>
                <w:webHidden/>
                <w:sz w:val="24"/>
              </w:rPr>
              <w:fldChar w:fldCharType="end"/>
            </w:r>
          </w:hyperlink>
        </w:p>
        <w:p w14:paraId="5B50818A" w14:textId="67717C8A" w:rsidR="00007BCB" w:rsidRPr="00007BCB" w:rsidRDefault="00007BCB" w:rsidP="009534C4">
          <w:pPr>
            <w:pStyle w:val="TOC1"/>
            <w:rPr>
              <w:rFonts w:ascii="Times New Roman" w:eastAsia="宋体" w:hAnsi="Times New Roman"/>
              <w:bCs w:val="0"/>
              <w:noProof/>
              <w:sz w:val="24"/>
              <w:szCs w:val="24"/>
              <w14:ligatures w14:val="standardContextual"/>
            </w:rPr>
          </w:pPr>
          <w:hyperlink w:anchor="_Toc218094788" w:history="1">
            <w:r w:rsidRPr="00007BCB">
              <w:rPr>
                <w:rStyle w:val="a8"/>
                <w:rFonts w:ascii="Times New Roman" w:eastAsia="宋体" w:hAnsi="Times New Roman"/>
                <w:noProof/>
                <w:sz w:val="24"/>
              </w:rPr>
              <w:t>Reference List</w:t>
            </w:r>
            <w:r w:rsidRPr="00007BCB">
              <w:rPr>
                <w:rFonts w:ascii="Times New Roman" w:eastAsia="宋体" w:hAnsi="Times New Roman"/>
                <w:noProof/>
                <w:webHidden/>
                <w:sz w:val="24"/>
              </w:rPr>
              <w:tab/>
            </w:r>
            <w:r w:rsidRPr="00007BCB">
              <w:rPr>
                <w:rFonts w:ascii="Times New Roman" w:eastAsia="宋体" w:hAnsi="Times New Roman"/>
                <w:noProof/>
                <w:webHidden/>
                <w:sz w:val="24"/>
              </w:rPr>
              <w:fldChar w:fldCharType="begin"/>
            </w:r>
            <w:r w:rsidRPr="00007BCB">
              <w:rPr>
                <w:rFonts w:ascii="Times New Roman" w:eastAsia="宋体" w:hAnsi="Times New Roman"/>
                <w:noProof/>
                <w:webHidden/>
                <w:sz w:val="24"/>
              </w:rPr>
              <w:instrText xml:space="preserve"> PAGEREF _Toc218094788 \h </w:instrText>
            </w:r>
            <w:r w:rsidRPr="00007BCB">
              <w:rPr>
                <w:rFonts w:ascii="Times New Roman" w:eastAsia="宋体" w:hAnsi="Times New Roman"/>
                <w:noProof/>
                <w:webHidden/>
                <w:sz w:val="24"/>
              </w:rPr>
            </w:r>
            <w:r w:rsidRPr="00007BCB">
              <w:rPr>
                <w:rFonts w:ascii="Times New Roman" w:eastAsia="宋体" w:hAnsi="Times New Roman"/>
                <w:noProof/>
                <w:webHidden/>
                <w:sz w:val="24"/>
              </w:rPr>
              <w:fldChar w:fldCharType="separate"/>
            </w:r>
            <w:r w:rsidR="00911E55">
              <w:rPr>
                <w:rFonts w:ascii="Times New Roman" w:eastAsia="宋体" w:hAnsi="Times New Roman"/>
                <w:noProof/>
                <w:webHidden/>
                <w:sz w:val="24"/>
              </w:rPr>
              <w:t>18</w:t>
            </w:r>
            <w:r w:rsidRPr="00007BCB">
              <w:rPr>
                <w:rFonts w:ascii="Times New Roman" w:eastAsia="宋体" w:hAnsi="Times New Roman"/>
                <w:noProof/>
                <w:webHidden/>
                <w:sz w:val="24"/>
              </w:rPr>
              <w:fldChar w:fldCharType="end"/>
            </w:r>
          </w:hyperlink>
        </w:p>
        <w:p w14:paraId="09E46FEC" w14:textId="1895147E" w:rsidR="0009766D" w:rsidRPr="009534C4" w:rsidRDefault="00007BCB" w:rsidP="009534C4">
          <w:pPr>
            <w:ind w:firstLineChars="0" w:firstLine="0"/>
            <w:rPr>
              <w:b/>
              <w:bCs/>
              <w:lang w:val="zh-CN"/>
            </w:rPr>
          </w:pPr>
          <w:r>
            <w:rPr>
              <w:b/>
              <w:bCs/>
              <w:lang w:val="zh-CN"/>
            </w:rPr>
            <w:fldChar w:fldCharType="end"/>
          </w:r>
        </w:p>
      </w:sdtContent>
    </w:sdt>
    <w:p w14:paraId="5C619AA1" w14:textId="77777777" w:rsidR="00FD740B" w:rsidRPr="00550893" w:rsidRDefault="00616E0E" w:rsidP="002024DD">
      <w:pPr>
        <w:pStyle w:val="2"/>
        <w:keepNext w:val="0"/>
        <w:keepLines w:val="0"/>
        <w:widowControl w:val="0"/>
        <w:numPr>
          <w:ilvl w:val="0"/>
          <w:numId w:val="0"/>
        </w:numPr>
        <w:adjustRightInd w:val="0"/>
        <w:snapToGrid w:val="0"/>
        <w:spacing w:line="25" w:lineRule="atLeast"/>
        <w:jc w:val="center"/>
        <w:rPr>
          <w:rFonts w:eastAsia="Arial Unicode MS" w:cs="Times New Roman"/>
          <w:bCs w:val="0"/>
          <w:color w:val="000000" w:themeColor="text1"/>
          <w:sz w:val="40"/>
        </w:rPr>
      </w:pPr>
      <w:bookmarkStart w:id="7" w:name="_Toc42274126"/>
      <w:bookmarkStart w:id="8" w:name="_Toc5979"/>
      <w:bookmarkStart w:id="9" w:name="_Toc22607"/>
      <w:bookmarkStart w:id="10" w:name="_Toc19004"/>
      <w:bookmarkStart w:id="11" w:name="_Toc12028"/>
      <w:bookmarkStart w:id="12" w:name="_Toc218094522"/>
      <w:bookmarkStart w:id="13" w:name="_Toc218094755"/>
      <w:r w:rsidRPr="00550893">
        <w:rPr>
          <w:rFonts w:eastAsia="Arial Unicode MS" w:cs="Times New Roman"/>
          <w:bCs w:val="0"/>
          <w:color w:val="000000" w:themeColor="text1"/>
          <w:sz w:val="40"/>
        </w:rPr>
        <w:lastRenderedPageBreak/>
        <w:t>Research Proposal</w:t>
      </w:r>
      <w:bookmarkEnd w:id="7"/>
      <w:bookmarkEnd w:id="8"/>
      <w:bookmarkEnd w:id="9"/>
      <w:bookmarkEnd w:id="10"/>
      <w:bookmarkEnd w:id="11"/>
      <w:bookmarkEnd w:id="12"/>
      <w:bookmarkEnd w:id="13"/>
    </w:p>
    <w:p w14:paraId="2775F3F9" w14:textId="4347B704" w:rsidR="00FD740B" w:rsidRPr="002024DD" w:rsidRDefault="00616E0E" w:rsidP="002024DD">
      <w:pPr>
        <w:pStyle w:val="1"/>
        <w:widowControl w:val="0"/>
        <w:spacing w:line="300" w:lineRule="auto"/>
        <w:rPr>
          <w:szCs w:val="28"/>
        </w:rPr>
      </w:pPr>
      <w:bookmarkStart w:id="14" w:name="_Toc42274127"/>
      <w:bookmarkStart w:id="15" w:name="_Toc5620"/>
      <w:bookmarkStart w:id="16" w:name="_Toc218094756"/>
      <w:r w:rsidRPr="002024DD">
        <w:rPr>
          <w:szCs w:val="28"/>
        </w:rPr>
        <w:t>研究标题</w:t>
      </w:r>
      <w:bookmarkEnd w:id="14"/>
      <w:bookmarkEnd w:id="15"/>
      <w:bookmarkEnd w:id="16"/>
    </w:p>
    <w:p w14:paraId="731D56FE" w14:textId="77777777" w:rsidR="00FD740B" w:rsidRPr="002024DD" w:rsidRDefault="00616E0E" w:rsidP="002024DD">
      <w:pPr>
        <w:pStyle w:val="1"/>
        <w:widowControl w:val="0"/>
        <w:numPr>
          <w:ilvl w:val="0"/>
          <w:numId w:val="0"/>
        </w:numPr>
        <w:spacing w:line="300" w:lineRule="auto"/>
        <w:rPr>
          <w:szCs w:val="28"/>
        </w:rPr>
      </w:pPr>
      <w:bookmarkStart w:id="17" w:name="_Toc218094757"/>
      <w:r w:rsidRPr="002024DD">
        <w:rPr>
          <w:szCs w:val="28"/>
        </w:rPr>
        <w:t>Research Title</w:t>
      </w:r>
      <w:bookmarkEnd w:id="17"/>
    </w:p>
    <w:p w14:paraId="5CDEEEFD" w14:textId="77777777" w:rsidR="001A4F5F" w:rsidRPr="001A4F5F" w:rsidRDefault="001A4F5F" w:rsidP="001A4F5F">
      <w:pPr>
        <w:widowControl w:val="0"/>
        <w:ind w:firstLine="480"/>
        <w:rPr>
          <w:rFonts w:cs="Times New Roman"/>
          <w:szCs w:val="28"/>
        </w:rPr>
      </w:pPr>
      <w:r w:rsidRPr="001A4F5F">
        <w:rPr>
          <w:rFonts w:cs="Times New Roman"/>
          <w:szCs w:val="28"/>
        </w:rPr>
        <w:t>基于受限</w:t>
      </w:r>
      <w:r w:rsidRPr="001A4F5F">
        <w:rPr>
          <w:rFonts w:cs="Times New Roman"/>
          <w:szCs w:val="28"/>
        </w:rPr>
        <w:t>POMDP</w:t>
      </w:r>
      <w:r w:rsidRPr="001A4F5F">
        <w:rPr>
          <w:rFonts w:cs="Times New Roman"/>
          <w:szCs w:val="28"/>
        </w:rPr>
        <w:t>与深度强化学习的食品供应链风险暴露动态监管策略研究</w:t>
      </w:r>
    </w:p>
    <w:p w14:paraId="479F4FAD" w14:textId="6AC89764" w:rsidR="00FD740B" w:rsidRPr="00563B57" w:rsidRDefault="001A4F5F">
      <w:pPr>
        <w:ind w:firstLine="480"/>
        <w:rPr>
          <w:rFonts w:cs="Times New Roman"/>
          <w:szCs w:val="28"/>
        </w:rPr>
      </w:pPr>
      <w:r w:rsidRPr="00563B57">
        <w:rPr>
          <w:rFonts w:cs="Times New Roman"/>
          <w:szCs w:val="28"/>
        </w:rPr>
        <w:t>Dynamic Regulation Strategy for Food Supply Chain Risk Exposure Using Constrained POMDP and Deep Reinforcement Learning</w:t>
      </w:r>
    </w:p>
    <w:p w14:paraId="45C06DFF" w14:textId="77777777" w:rsidR="00FD740B" w:rsidRDefault="00FD740B">
      <w:pPr>
        <w:adjustRightInd w:val="0"/>
        <w:snapToGrid w:val="0"/>
        <w:ind w:firstLine="480"/>
        <w:rPr>
          <w:rFonts w:cs="Times New Roman"/>
        </w:rPr>
      </w:pPr>
    </w:p>
    <w:p w14:paraId="0248BACA" w14:textId="215ACF43" w:rsidR="00FD740B" w:rsidRPr="002024DD" w:rsidRDefault="00616E0E" w:rsidP="002024DD">
      <w:pPr>
        <w:pStyle w:val="1"/>
        <w:spacing w:line="300" w:lineRule="auto"/>
      </w:pPr>
      <w:bookmarkStart w:id="18" w:name="_Toc23190"/>
      <w:bookmarkStart w:id="19" w:name="_Toc218094758"/>
      <w:r w:rsidRPr="002024DD">
        <w:t>研究背景与意义</w:t>
      </w:r>
      <w:bookmarkEnd w:id="18"/>
      <w:bookmarkEnd w:id="19"/>
    </w:p>
    <w:p w14:paraId="3B32811E" w14:textId="77777777" w:rsidR="00FD740B" w:rsidRPr="002024DD" w:rsidRDefault="00616E0E" w:rsidP="002024DD">
      <w:pPr>
        <w:pStyle w:val="1"/>
        <w:numPr>
          <w:ilvl w:val="0"/>
          <w:numId w:val="0"/>
        </w:numPr>
        <w:spacing w:line="300" w:lineRule="auto"/>
      </w:pPr>
      <w:bookmarkStart w:id="20" w:name="_Toc218094759"/>
      <w:r w:rsidRPr="002024DD">
        <w:t>Research Background and Significance</w:t>
      </w:r>
      <w:bookmarkEnd w:id="20"/>
    </w:p>
    <w:p w14:paraId="565287E7" w14:textId="314F8AFC" w:rsidR="00836C63" w:rsidRPr="00127C5A" w:rsidRDefault="00563B57" w:rsidP="00127C5A">
      <w:pPr>
        <w:pStyle w:val="2"/>
      </w:pPr>
      <w:bookmarkStart w:id="21" w:name="_Toc218094760"/>
      <w:r w:rsidRPr="00127C5A">
        <w:rPr>
          <w:rFonts w:hint="eastAsia"/>
        </w:rPr>
        <w:t>研究背景</w:t>
      </w:r>
      <w:bookmarkEnd w:id="21"/>
    </w:p>
    <w:p w14:paraId="753D3760" w14:textId="13284F2A" w:rsidR="003466E7" w:rsidRDefault="003466E7" w:rsidP="00563B57">
      <w:pPr>
        <w:ind w:firstLine="480"/>
      </w:pPr>
      <w:r w:rsidRPr="003466E7">
        <w:t>中国花生产业链长期面临黄曲霉毒素</w:t>
      </w:r>
      <w:r w:rsidRPr="003466E7">
        <w:t>B</w:t>
      </w:r>
      <w:r w:rsidRPr="007E0758">
        <w:rPr>
          <w:vertAlign w:val="subscript"/>
        </w:rPr>
        <w:t>1</w:t>
      </w:r>
      <w:r w:rsidRPr="003466E7">
        <w:t>（</w:t>
      </w:r>
      <w:r w:rsidRPr="003466E7">
        <w:t>AFB</w:t>
      </w:r>
      <w:r w:rsidRPr="007E0758">
        <w:rPr>
          <w:vertAlign w:val="subscript"/>
        </w:rPr>
        <w:t>1</w:t>
      </w:r>
      <w:r w:rsidRPr="003466E7">
        <w:t>）等霉菌毒素污染风险。</w:t>
      </w:r>
      <w:r w:rsidR="007E0758">
        <w:rPr>
          <w:rFonts w:hint="eastAsia"/>
        </w:rPr>
        <w:t>现</w:t>
      </w:r>
      <w:r w:rsidRPr="003466E7">
        <w:t>有风险评估研究表明，</w:t>
      </w:r>
      <w:r w:rsidRPr="003466E7">
        <w:t>AFB</w:t>
      </w:r>
      <w:r w:rsidRPr="007E0758">
        <w:rPr>
          <w:vertAlign w:val="subscript"/>
        </w:rPr>
        <w:t>1</w:t>
      </w:r>
      <w:r w:rsidRPr="003466E7">
        <w:t>具有明确的遗传毒性与肝致癌性，且不同地区之间的膳食暴露水平存在显著差异</w:t>
      </w:r>
      <w:r w:rsidR="00236829">
        <w:fldChar w:fldCharType="begin"/>
      </w:r>
      <w:r w:rsidR="00B64944">
        <w:instrText xml:space="preserve"> ADDIN ZOTERO_ITEM CSL_CITATION {"citationID":"SGvGwpJS","properties":{"formattedCitation":"(Benford et al., 2010; Wu, 2015)","plainCitation":"(Benford et al., 2010; Wu, 2015)","noteIndex":0},"citationItems":[{"id":340,"uris":["http://zotero.org/users/17227936/items/6FKSG6UU"],"itemData":{"id":340,"type":"article-journal","abstract":"This paper presents the work of an expert group established by the International Life Sciences Institute –European branch (ILSI Europe) to follow up the recommendations of an international conference on ‘‘Risk Assessment of Compounds that are both Genotoxic and Carcinogenic: New Approaches”. Twelve genotoxic and carcinogenic chemicals that can be present in food were selected for calculation of a Margin of Exposure (MOE) between a point of departure on the dose–response for oral carcinogenicity in animal studies and estimates of human dietary exposure. The MOE can be used to support prioritisation of risk management action and, if the MOE is very large, on communication of a low level of human health concern. Depending on the approaches taken in determining the point of departure and the estimation of exposure, it is possible to derive very different values for the MOE. It is therefore essential that the selection of the cancer endpoint and mathematical treatment of the data are clearly described and justiﬁed if the results of the MOE approach are to be trusted and of value to risk managers. An outline framework for calculating an MOE is proposed in order to help to ensure transparency in the results.","container-title":"Food and Chemical Toxicology","DOI":"10.1016/j.fct.2009.11.003","ISSN":"02786915","journalAbbreviation":"Food and Chemical Toxicology","language":"en","page":"S2-S24","source":"DOI.org (Crossref)","title":"Application of the Margin of Exposure (MOE) approach to substances in food that are genotoxic and carcinogenic","volume":"48","author":[{"family":"Benford","given":"Diane"},{"family":"Bolger","given":"P. Michael"},{"family":"Carthew","given":"Philip"},{"family":"Coulet","given":"Myriam"},{"family":"DiNovi","given":"Michael"},{"family":"Leblanc","given":"Jean-Charles"},{"family":"Renwick","given":"Andrew G."},{"family":"Setzer","given":"Woodrow"},{"family":"Schlatter","given":"Josef"},{"family":"Smith","given":"Benjamin"},{"family":"Slob","given":"Wout"},{"family":"Williams","given":"Gary"},{"family":"Wildemann","given":"Tanja"}],"issued":{"date-parts":[["2010",1]]}}},{"id":407,"uris":["http://zotero.org/users/17227936/items/GVAM3B42"],"itemData":{"id":407,"type":"article-journal","container-title":"World Mycotoxin Journal","issue":"2","note":"publisher: Wageningen Academic","page":"137–142","source":"Google Scholar","title":"Global impacts of aflatoxin in maize: trade and human health","title-short":"Global impacts of aflatoxin in maize","volume":"8","author":[{"family":"Wu","given":"Fang"}],"issued":{"date-parts":[["2015"]]}}}],"schema":"https://github.com/citation-style-language/schema/raw/master/csl-citation.json"} </w:instrText>
      </w:r>
      <w:r w:rsidR="00236829">
        <w:fldChar w:fldCharType="separate"/>
      </w:r>
      <w:r w:rsidR="00B64944" w:rsidRPr="00B64944">
        <w:rPr>
          <w:rFonts w:cs="Times New Roman"/>
        </w:rPr>
        <w:t>(Benford et al., 2010; Wu, 2015)</w:t>
      </w:r>
      <w:r w:rsidR="00236829">
        <w:fldChar w:fldCharType="end"/>
      </w:r>
      <w:r w:rsidRPr="003466E7">
        <w:t>。在生产与储运过程中，污染往往与高温高湿、降雨季节等环境条件</w:t>
      </w:r>
      <w:r w:rsidR="001E2B50">
        <w:rPr>
          <w:rFonts w:hint="eastAsia"/>
        </w:rPr>
        <w:t>相关</w:t>
      </w:r>
      <w:r w:rsidRPr="003466E7">
        <w:t>，导致</w:t>
      </w:r>
      <w:r w:rsidR="00853123">
        <w:rPr>
          <w:rFonts w:hint="eastAsia"/>
        </w:rPr>
        <w:t>其</w:t>
      </w:r>
      <w:r w:rsidRPr="003466E7">
        <w:t>风险在时间与空间</w:t>
      </w:r>
      <w:r w:rsidR="00931AB5">
        <w:rPr>
          <w:rFonts w:hint="eastAsia"/>
        </w:rPr>
        <w:t>上有较大差异</w:t>
      </w:r>
      <w:r w:rsidRPr="003466E7">
        <w:t>；例如针对长江流域花生的研究指出，当地较高污染率与</w:t>
      </w:r>
      <w:r w:rsidR="008D0D29">
        <w:rPr>
          <w:rFonts w:hint="eastAsia"/>
        </w:rPr>
        <w:t>其</w:t>
      </w:r>
      <w:r w:rsidRPr="003466E7">
        <w:t>气候因素相关</w:t>
      </w:r>
      <w:r w:rsidR="00FC19BD">
        <w:fldChar w:fldCharType="begin"/>
      </w:r>
      <w:r w:rsidR="00FC19BD">
        <w:instrText xml:space="preserve"> ADDIN ZOTERO_ITEM CSL_CITATION {"citationID":"oBT5w59T","properties":{"formattedCitation":"(Ding et al., 2015)","plainCitation":"(Ding et al., 2015)","noteIndex":0},"citationItems":[{"id":410,"uris":["http://zotero.org/users/17227936/items/7VGYCLNP"],"itemData":{"id":410,"type":"article-journal","container-title":"Toxins","issue":"10","note":"publisher: MDPI","page":"4157–4174","source":"Google Scholar","title":"Risk assessment on dietary exposure to aflatoxin B1 in post-harvest peanuts in the Yangtze River ecological region","volume":"7","author":[{"family":"Ding","given":"Xiaoxia"},{"family":"Wu","given":"Linxia"},{"family":"Li","given":"Peiwu"},{"family":"Zhang","given":"Zhaowei"},{"family":"Zhou","given":"Haiyan"},{"family":"Bai","given":"Yizhen"},{"family":"Chen","given":"Xiaomei"},{"family":"Jiang","given":"Jun"}],"issued":{"date-parts":[["2015"]]}}}],"schema":"https://github.com/citation-style-language/schema/raw/master/csl-citation.json"} </w:instrText>
      </w:r>
      <w:r w:rsidR="00FC19BD">
        <w:fldChar w:fldCharType="separate"/>
      </w:r>
      <w:r w:rsidR="00E2692B" w:rsidRPr="00E2692B">
        <w:rPr>
          <w:rFonts w:cs="Times New Roman"/>
        </w:rPr>
        <w:t>(Ding et al., 2015)</w:t>
      </w:r>
      <w:r w:rsidR="00FC19BD">
        <w:fldChar w:fldCharType="end"/>
      </w:r>
      <w:r w:rsidRPr="003466E7">
        <w:t>。在这种高度异质的背景下，随机抽检很可能在多数时期得到较低检出，但这并不等同于风险被充分控制；食品安全标准体系也强调，仅依赖检测并不足以保证食品安全</w:t>
      </w:r>
      <w:r w:rsidR="00FF3444">
        <w:fldChar w:fldCharType="begin"/>
      </w:r>
      <w:r w:rsidR="00B64944">
        <w:instrText xml:space="preserve"> ADDIN ZOTERO_ITEM CSL_CITATION {"citationID":"jfGvU8ae","properties":{"formattedCitation":"(Codex Alimentarius Commission, 2015; Jin et al., 2021)","plainCitation":"(Codex Alimentarius Commission, 2015; Jin et al., 2021)","noteIndex":0},"citationItems":[{"id":415,"uris":["http://zotero.org/users/17227936/items/A25KHNSA"],"itemData":{"id":415,"type":"standard","authority":"Codex Alimentarius Commission","event-place":"Rome","language":"en","number":"CXC 75-2015","publisher":"FAO/WHO","publisher-place":"Rome","source":"Zotero","title":"Code of hygienic practice for low-moisture foods","title-short":"CXC 75-2015","author":[{"literal":"Codex Alimentarius Commission"}],"issued":{"date-parts":[["2015"]]}}},{"id":356,"uris":["http://zotero.org/users/17227936/items/6MITL23Y"],"itemData":{"id":356,"type":"article-journal","abstract":"This paper illustrates how supply chain (SC) analytics could provide strategic and operational insights to evaluate the risk-based allocation of regulatory resources in food SCs, for management of food safety and adulteration risks. This paper leverages data on 89,970 tests of aquatic products extracted from a self-constructed data set of 2.6 million food safety tests conducted by the China Food and Drug Administration (CFDA) organizations. The integrated and structured data set is used to conduct innovative analysis that identifies the sources of adulteration risks in China’s food SCs and contrasts them with the current test resource allocations of the CFDA. The analysis highlights multiple strategic insights. Particularly, it suggests potential gaps in the current CFDA testing allocation by SC location, which is heavily focused on retail and supermarkets. Instead, the analysis indicates that high-risk parts of the SC, such as wholesale and wet markets, are undersampled. Additionally, the paper highlights the impact that SC analytics could have on policy-level operational decision making to regulate food SCs and manage food safety. The hope is that the paper will stimulate the interest of academics with expertise in these areas to conduct more work in this important application domain.\n            This paper was accepted by Charles Corbett, operations management.","container-title":"Management Science","DOI":"10.1287/mnsc.2020.3839","ISSN":"0025-1909, 1526-5501","issue":"5","journalAbbreviation":"Management Science","language":"en","page":"2985-2996","source":"DOI.org (Crossref)","title":"Testing at the Source: Analytics-Enabled Risk-Based Sampling of Food Supply Chains in China","title-short":"Testing at the Source","volume":"67","author":[{"family":"Jin","given":"Cangyu"},{"family":"Levi","given":"Retsef"},{"family":"Liang","given":"Qiao"},{"family":"Renegar","given":"Nicholas"},{"family":"Springs","given":"Stacy"},{"family":"Zhou","given":"Jiehong"},{"family":"Zhou","given":"Weihua"}],"issued":{"date-parts":[["2021",5]]}}}],"schema":"https://github.com/citation-style-language/schema/raw/master/csl-citation.json"} </w:instrText>
      </w:r>
      <w:r w:rsidR="00FF3444">
        <w:fldChar w:fldCharType="separate"/>
      </w:r>
      <w:r w:rsidR="00B64944" w:rsidRPr="00B64944">
        <w:rPr>
          <w:rFonts w:cs="Times New Roman"/>
        </w:rPr>
        <w:t>(Codex Alimentarius Commission, 2015; Jin et al., 2021)</w:t>
      </w:r>
      <w:r w:rsidR="00FF3444">
        <w:fldChar w:fldCharType="end"/>
      </w:r>
      <w:r w:rsidRPr="003466E7">
        <w:t>。同时，风险事件往往在首次被发现时已经扩散到更大范围，</w:t>
      </w:r>
      <w:r w:rsidR="00E373EC">
        <w:rPr>
          <w:rFonts w:hint="eastAsia"/>
        </w:rPr>
        <w:t>因此需要</w:t>
      </w:r>
      <w:r w:rsidR="0011358C">
        <w:rPr>
          <w:rFonts w:hint="eastAsia"/>
        </w:rPr>
        <w:t>“</w:t>
      </w:r>
      <w:r w:rsidRPr="003466E7">
        <w:t>尽早识别</w:t>
      </w:r>
      <w:r w:rsidR="00AA194D">
        <w:rPr>
          <w:rFonts w:hint="eastAsia"/>
        </w:rPr>
        <w:t>—</w:t>
      </w:r>
      <w:r w:rsidRPr="003466E7">
        <w:t>及时处置</w:t>
      </w:r>
      <w:r w:rsidR="0011358C">
        <w:rPr>
          <w:rFonts w:hint="eastAsia"/>
        </w:rPr>
        <w:t>”</w:t>
      </w:r>
      <w:r w:rsidRPr="003466E7">
        <w:t>的资源配置</w:t>
      </w:r>
      <w:r w:rsidR="00E373EC">
        <w:fldChar w:fldCharType="begin"/>
      </w:r>
      <w:r w:rsidR="00ED1C6F">
        <w:instrText xml:space="preserve"> ADDIN ZOTERO_ITEM CSL_CITATION {"citationID":"JhdUi9GF","properties":{"formattedCitation":"(J. Wang et al., 2025)","plainCitation":"(J. Wang et al., 2025)","noteIndex":0},"citationItems":[{"id":353,"uris":["http://zotero.org/users/17227936/items/39XN9JYM"],"itemData":{"id":353,"type":"article-journal","abstract":"Emerging infectious diseases and biological invasions pose increasing threats to public and ecosystems health. Proactive measures—such as prevention and surveillance taken before initial detection of the pathogen or species—are essential to ensure minimal spread prior to first detection. We developed an optimization model to determine where, when, and how much effort should be allocated to prevention versus surveillance. The model accounts for imperfect detection, system dynamics, spatial heterogeneity in risk and costs and is scalable to large landscapes. We found that the most cost-effective strategy is to maintain the prevention and surveillance efforts at stable equilibrium for the majority of the time, with deviations occurring only initially to steer the system toward the equilibrium. The equilibrium effort is jointly determined by the introduction risk, management costs, and total budget. Application of this model to chronic wasting disease in New York State suggests that the optimal strategy could reduce the cumulative disease cases before initial detection by an average of 22% compared to current practice. The optimal surveillance strategy could detect the disease on average over 8 mo earlier than the current strategy.","container-title":"Proceedings of the National Academy of Sciences","DOI":"10.1073/pnas.2507202122","ISSN":"0027-8424, 1091-6490","issue":"39","journalAbbreviation":"Proc. Natl. Acad. Sci. U.S.A.","language":"en","page":"e2507202122","source":"DOI.org (Crossref)","title":"Strategic planning of prevention and surveillance for emerging diseases and invasive species","volume":"122","author":[{"family":"Wang","given":"Jue"},{"family":"Hanley","given":"Brenda J."},{"family":"Thompson","given":"Noelle E."},{"family":"Gong","given":"Yu"},{"family":"Walsh","given":"Daniel P."},{"family":"Gonzalez-Crespo","given":"Carlos"},{"family":"Huang","given":"Yitong"},{"family":"Booth","given":"James G."},{"family":"Caudell","given":"Joe N."},{"family":"Miller","given":"Landon A."},{"family":"Schuler","given":"Krysten L."}],"issued":{"date-parts":[["2025",9,30]]}}}],"schema":"https://github.com/citation-style-language/schema/raw/master/csl-citation.json"} </w:instrText>
      </w:r>
      <w:r w:rsidR="00E373EC">
        <w:fldChar w:fldCharType="separate"/>
      </w:r>
      <w:r w:rsidR="00E2692B" w:rsidRPr="00E2692B">
        <w:rPr>
          <w:rFonts w:cs="Times New Roman"/>
        </w:rPr>
        <w:t>(J. Wang et al., 2025)</w:t>
      </w:r>
      <w:r w:rsidR="00E373EC">
        <w:fldChar w:fldCharType="end"/>
      </w:r>
      <w:r w:rsidRPr="003466E7">
        <w:t>。</w:t>
      </w:r>
    </w:p>
    <w:p w14:paraId="3348A088" w14:textId="5455F096" w:rsidR="00127C5A" w:rsidRDefault="00127C5A" w:rsidP="00563B57">
      <w:pPr>
        <w:ind w:firstLine="480"/>
      </w:pPr>
      <w:r w:rsidRPr="00127C5A">
        <w:t>食品抽检</w:t>
      </w:r>
      <w:r w:rsidR="000C59DA">
        <w:rPr>
          <w:rFonts w:hint="eastAsia"/>
        </w:rPr>
        <w:t>不仅是对当期产品质量的检验，更是一种在不完全信息下配置有限监管资源的动态决策</w:t>
      </w:r>
      <w:r w:rsidR="0009619E">
        <w:rPr>
          <w:rFonts w:hint="eastAsia"/>
        </w:rPr>
        <w:t>。</w:t>
      </w:r>
      <w:r w:rsidR="000C59DA" w:rsidRPr="000C59DA">
        <w:t>当供给侧合规努力与真实污染水平难以被直接观察时，抽检提供了更新风险判断所需的信息，同时</w:t>
      </w:r>
      <w:r w:rsidR="000C59DA">
        <w:rPr>
          <w:rFonts w:hint="eastAsia"/>
        </w:rPr>
        <w:t>抽检</w:t>
      </w:r>
      <w:r w:rsidR="0009619E">
        <w:rPr>
          <w:rFonts w:hint="eastAsia"/>
        </w:rPr>
        <w:t>的不确定性会影响供应商和采购方的行为，进而对食品安全产生影响</w:t>
      </w:r>
      <w:r w:rsidR="00D24F98">
        <w:fldChar w:fldCharType="begin"/>
      </w:r>
      <w:r w:rsidR="00D24F98">
        <w:instrText xml:space="preserve"> ADDIN ZOTERO_ITEM CSL_CITATION {"citationID":"6waafilt","properties":{"formattedCitation":"(Starbird, 2005)","plainCitation":"(Starbird, 2005)","noteIndex":0},"citationItems":[{"id":393,"uris":["http://zotero.org/users/17227936/items/HWQINFPF"],"itemData":{"id":393,"type":"article-journal","abstract":"Abstract\n            Buyers have imperfect information about the food safety efforts exerted by suppliers. To gather information about safety, buyers often employ sampling inspection. Sampling inspection e</w:instrText>
      </w:r>
      <w:r w:rsidR="00D24F98">
        <w:rPr>
          <w:rFonts w:hint="eastAsia"/>
        </w:rPr>
        <w:instrText>xhibits sampling error so some unsafe product passes inspection and some safe product does not. This uncertainty influences buyer and supplier behavior. In this article, I use a principal</w:instrText>
      </w:r>
      <w:r w:rsidR="00D24F98">
        <w:rPr>
          <w:rFonts w:hint="eastAsia"/>
        </w:rPr>
        <w:instrText>‐</w:instrText>
      </w:r>
      <w:r w:rsidR="00D24F98">
        <w:rPr>
          <w:rFonts w:hint="eastAsia"/>
        </w:rPr>
        <w:instrText>agent model to examine how sampling inspection policies influence f</w:instrText>
      </w:r>
      <w:r w:rsidR="00D24F98">
        <w:instrText xml:space="preserve">ood safety. I use the model to examine the sampling inspection policies in the 1996 Pathogen Reduction/Hazard Analysis Critical Control Point Act. I conclude that the regulation of sampling inspection procedures is an effective tool for policy makers who wish to improve food safety.","container-title":"American Journal of Agricultural Economics","DOI":"10.1111/j.0002-9092.2005.00698.x","ISSN":"0002-9092, 1467-8276","issue":"1","journalAbbreviation":"American J Agri Economics","language":"en","license":"http://onlinelibrary.wiley.com/termsAndConditions#vor","page":"15-27","source":"DOI.org (Crossref)","title":"Moral Hazard, Inspection Policy, and Food Safety","volume":"87","author":[{"family":"Starbird","given":"S. Andrew"}],"issued":{"date-parts":[["2005",2]]}}}],"schema":"https://github.com/citation-style-language/schema/raw/master/csl-citation.json"} </w:instrText>
      </w:r>
      <w:r w:rsidR="00D24F98">
        <w:fldChar w:fldCharType="separate"/>
      </w:r>
      <w:r w:rsidR="00E2692B" w:rsidRPr="00E2692B">
        <w:rPr>
          <w:rFonts w:cs="Times New Roman"/>
        </w:rPr>
        <w:t>(Starbird, 2005)</w:t>
      </w:r>
      <w:r w:rsidR="00D24F98">
        <w:fldChar w:fldCharType="end"/>
      </w:r>
      <w:r w:rsidR="0009619E">
        <w:rPr>
          <w:rFonts w:hint="eastAsia"/>
        </w:rPr>
        <w:t>，</w:t>
      </w:r>
      <w:r w:rsidR="0009619E" w:rsidRPr="0009619E">
        <w:t>基于美国监管数据的研究发现，现场检查的结果能够对后续质量事件（如召回）给出有信息含量的预测，从而</w:t>
      </w:r>
      <w:r w:rsidR="0009619E">
        <w:rPr>
          <w:rFonts w:hint="eastAsia"/>
        </w:rPr>
        <w:t>得出</w:t>
      </w:r>
      <w:r w:rsidR="00DA58AD">
        <w:rPr>
          <w:rFonts w:hint="eastAsia"/>
        </w:rPr>
        <w:t>“</w:t>
      </w:r>
      <w:r w:rsidR="0009619E" w:rsidRPr="0009619E">
        <w:t>检查</w:t>
      </w:r>
      <w:r w:rsidR="00B77D97">
        <w:rPr>
          <w:rFonts w:hint="eastAsia"/>
        </w:rPr>
        <w:t>—</w:t>
      </w:r>
      <w:r w:rsidR="0009619E" w:rsidRPr="0009619E">
        <w:t>信息</w:t>
      </w:r>
      <w:r w:rsidR="00B77D97">
        <w:rPr>
          <w:rFonts w:hint="eastAsia"/>
        </w:rPr>
        <w:t>—</w:t>
      </w:r>
      <w:r w:rsidR="0009619E" w:rsidRPr="0009619E">
        <w:t>未来风险</w:t>
      </w:r>
      <w:r w:rsidR="00DA58AD">
        <w:rPr>
          <w:rFonts w:hint="eastAsia"/>
        </w:rPr>
        <w:t>”</w:t>
      </w:r>
      <w:r w:rsidR="0009619E" w:rsidRPr="0009619E">
        <w:t>之间存在可建模的动态联系</w:t>
      </w:r>
      <w:r w:rsidR="00D24F98">
        <w:fldChar w:fldCharType="begin"/>
      </w:r>
      <w:r w:rsidR="00D24F98">
        <w:instrText xml:space="preserve"> ADDIN ZOTERO_ITEM CSL_CITATION {"citationID":"hcC3laBn","properties":{"formattedCitation":"(Ball et al., 2017)","plainCitation":"(Ball et al., 2017)","noteIndex":0},"citationItems":[{"id":369,"uris":["http://zotero.org/users/17227936/items/W8EBT55Z"],"itemData":{"id":369,"type":"article-journal","abstract":"Plant inspections enable ﬁrms to manage their quality risk in global supply chains. However, surprisingly little research examines the relationship between such inspections and future product quality. In this paper, we study how well plant inspection outcomes predict the hazard of a future recall and analyze how investigator experience aﬀects this predictive relationship. Using secondary data spanning a seven-year period in the medical device industry and a recurrent-event Cox proportional hazard model, our analysis shows that inspection outcomes reliably predict future product recalls. However, inspection outcomes become an unreliable predictor of recalls with an increase in sitespeciﬁc investigator experience. Through post hoc analysis, we also show that the hazard of a recall at a plant increases with site-speciﬁc experience, independent of the inspection outcome. Compared to the ﬁrst visit by an investigator, the recall hazard increases by 21% the second time the investigator visits a speciﬁc plant, and by 57% on the third visit. We propose investigator rotation and investigator sequencing as two policies to help mitigate this increased recall risk.","container-title":"Manufacturing &amp; Service Operations Management","DOI":"10.1287/msom.2017.0661","ISSN":"1523-4614, 1526-5498","issue":"4","journalAbbreviation":"M&amp;SOM","language":"en","page":"534-550","source":"DOI.org (Crossref)","title":"Do Plant Inspections Predict Future Quality? The Role of Investigator Experience","title-short":"Do Plant Inspections Predict Future Quality?","volume":"19","author":[{"family":"Ball","given":"George"},{"family":"Siemsen","given":"Enno"},{"family":"Shah","given":"Rachna"}],"issued":{"date-parts":[["2017",10]]}}}],"schema":"https://github.com/citation-style-language/schema/raw/master/csl-citation.json"} </w:instrText>
      </w:r>
      <w:r w:rsidR="00D24F98">
        <w:fldChar w:fldCharType="separate"/>
      </w:r>
      <w:r w:rsidR="00E2692B" w:rsidRPr="00E2692B">
        <w:rPr>
          <w:rFonts w:cs="Times New Roman"/>
        </w:rPr>
        <w:t>(Ball et al., 2017)</w:t>
      </w:r>
      <w:r w:rsidR="00D24F98">
        <w:fldChar w:fldCharType="end"/>
      </w:r>
      <w:r w:rsidR="0009619E" w:rsidRPr="0009619E">
        <w:t>。</w:t>
      </w:r>
      <w:r w:rsidR="00FA5081" w:rsidRPr="00FA5081">
        <w:rPr>
          <w:rFonts w:hint="eastAsia"/>
        </w:rPr>
        <w:t>这类情境与部分可观测序贯决策</w:t>
      </w:r>
      <w:r w:rsidR="00FA5081">
        <w:rPr>
          <w:rFonts w:hint="eastAsia"/>
        </w:rPr>
        <w:t>相</w:t>
      </w:r>
      <w:r w:rsidR="00FA5081" w:rsidRPr="00FA5081">
        <w:rPr>
          <w:rFonts w:hint="eastAsia"/>
        </w:rPr>
        <w:t>匹配：决策者无法直接观测系统状态，只能依据观测信号更新对状态的信念并据此选择行动</w:t>
      </w:r>
      <w:r w:rsidR="00D24F98">
        <w:fldChar w:fldCharType="begin"/>
      </w:r>
      <w:r w:rsidR="00A50D4E">
        <w:instrText xml:space="preserve"> ADDIN ZOTERO_ITEM CSL_CITATION {"citationID":"Ir6VbXkj","properties":{"formattedCitation":"(Monahan, 1982; Smallwood &amp; Sondik, 1973; J. Wang et al., 2025)","plainCitation":"(Monahan, 1982; Smallwood &amp; Sondik, 1973; J. Wang et al., 2025)","noteIndex":0},"citationItems":[{"id":385,"uris":["http://zotero.org/users/17227936/items/3DXISB2Z"],"itemData":{"id":385,"type":"article-journal","abstract":"This paper surveys models and algorithms dealing with partially observable Markov decision processes. A partially observable Markov decision process (POMDP) is a generalization of a Markov decision process which permits uncertainty regarding the state of a Markov process and allows for state information acquisition. A general framework for finite state and action POMDP's is presented. Next, there is a brief discussion of the development of POMDP's and their relationship with other decision processes. A wide range of models in such areas as quality control, machine maintenance, internal auditing, learning, and optimal stopping are discussed within the POMDP-framework. Lastly, algorithms for computing optimal solutions to POMDP's are presented.","container-title":"Management Science","DOI":"10.1287/mnsc.28.1.1","ISSN":"0025-1909, 1526-5501","issue":"1","journalAbbreviation":"Management Science","language":"en","page":"1-16","source":"DOI.org (Crossref)","title":"State of the Art—A Survey of Partially Observable Markov Decision Processes: Theory, Models, and Algorithms","title-short":"State of the Art—A Survey of Partially Observable Markov Decision Processes","volume":"28","author":[{"family":"Monahan","given":"George E."}],"issued":{"date-parts":[["1982",1]]}}},{"id":389,"uris":["http://zotero.org/users/17227936/items/Z6KQVQBU"],"itemData":{"id":389,"type":"article-journal","abstract":"This paper formulates the optimal control problem for a class of mathematical models in which the system to be controlled is characterized by a finite-state discrete-time Markov process. The states of this internal process are not directly observable by the controller; rather, he has available a set of observable outputs that are only probabilistically related to the internal state of the system. The formulation is illustrated by a simple machine-maintenance example, and other specific application areas are also discussed. The paper demonstrates that, if there are only a finite number of control intervals remaining, then the optimal payoff function is a piecewise-linear, convex function of the current state probabilities of the internal Markov process. In addition, an algorithm for utilizing this property to calculate the optimal control policy and payoff function for any finite horizon is outlined. These results are illustrated by a numerical example for the machine-maintenance problem.","container-title":"Operations Research","DOI":"10.1287/opre.21.5.1071","ISSN":"0030-364X, 1526-5463","issue":"5","journalAbbreviation":"Operations Research","language":"en","page":"1071-1088","source":"DOI.org (Crossref)","title":"The Optimal Control of Partially Observable Markov Processes over a Finite Horizon","volume":"21","author":[{"family":"Smallwood","given":"Richard D."},{"family":"Sondik","given":"Edward J."}],"issued":{"date-parts":[["1973",10]]}}},{"id":353,"uris":["http://zotero.org/users/17227936/items/39XN9JYM"],"itemData":{"id":353,"type":"article-journal","abstract":"Emerging infectious diseases and biological invasions pose increasing threats to public and ecosystems health. Proactive measures—such as prevention and surveillance taken before initial detection of the pathogen or species—are essential to ensure minimal spread prior to first detection. We developed an optimization model to determine where, when, and how much effort should be allocated to prevention versus surveillance. The model accounts for imperfect detection, system dynamics, spatial heterogeneity in risk and costs and is scalable to large landscapes. We found that the most cost-effective strategy is to maintain the prevention and surveillance efforts at stable equilibrium for the majority of the time, with deviations occurring only initially to steer the system toward the equilibrium. The equilibrium effort is jointly determined by the introduction risk, management costs, and total budget. Application of this model to chronic wasting disease in New York State suggests that the optimal strategy could reduce the cumulative disease cases before initial detection by an average of 22% compared to current practice. The optimal surveillance strategy could detect the disease on average over 8 mo earlier than the current strategy.","container-title":"Proceedings of the National Academy of Sciences","DOI":"10.1073/pnas.2507202122","ISSN":"0027-8424, 1091-6490","issue":"39","journalAbbreviation":"Proc. Natl. Acad. Sci. U.S.A.","language":"en","page":"e2507202122","source":"DOI.org (Crossref)","title":"Strategic planning of prevention and surveillance for emerging diseases and invasive species","volume":"122","author":[{"family":"Wang","given":"Jue"},{"family":"Hanley","given":"Brenda J."},{"family":"Thompson","given":"Noelle E."},{"family":"Gong","given":"Yu"},{"family":"Walsh","given":"Daniel P."},{"family":"Gonzalez-Crespo","given":"Carlos"},{"family":"Huang","given":"Yitong"},{"family":"Booth","given":"James G."},{"family":"Caudell","given":"Joe N."},{"family":"Miller","given":"Landon A."},{"family":"Schuler","given":"Krysten L."}],"issued":{"date-parts":[["2025",9,30]]}}}],"schema":"https://github.com/citation-style-language/schema/raw/master/csl-citation.json"} </w:instrText>
      </w:r>
      <w:r w:rsidR="00D24F98">
        <w:fldChar w:fldCharType="separate"/>
      </w:r>
      <w:r w:rsidR="00A50D4E" w:rsidRPr="00A50D4E">
        <w:rPr>
          <w:rFonts w:cs="Times New Roman"/>
        </w:rPr>
        <w:t>(Monahan, 1982; Smallwood &amp; Sondik, 1973; J. Wang et al., 2025)</w:t>
      </w:r>
      <w:r w:rsidR="00D24F98">
        <w:fldChar w:fldCharType="end"/>
      </w:r>
      <w:r w:rsidR="00FA5081" w:rsidRPr="00FA5081">
        <w:rPr>
          <w:rFonts w:hint="eastAsia"/>
        </w:rPr>
        <w:t>。同时，监管实践还必须满足预算与产能等硬约束，并在不同地区</w:t>
      </w:r>
      <w:r w:rsidR="00FA5081" w:rsidRPr="00FA5081">
        <w:rPr>
          <w:rFonts w:hint="eastAsia"/>
        </w:rPr>
        <w:t>/</w:t>
      </w:r>
      <w:r w:rsidR="00FA5081" w:rsidRPr="00FA5081">
        <w:rPr>
          <w:rFonts w:hint="eastAsia"/>
        </w:rPr>
        <w:t>对象之间做优先级排序与权衡</w:t>
      </w:r>
      <w:r w:rsidR="00A93663">
        <w:fldChar w:fldCharType="begin"/>
      </w:r>
      <w:r w:rsidR="00A93663">
        <w:instrText xml:space="preserve"> ADDIN ZOTERO_ITEM CSL_CITATION {"citationID":"AcAEWeug","properties":{"formattedCitation":"(Van Asselt et al., 2021)","plainCitation":"(Van Asselt et al., 2021)","noteIndex":0},"citationItems":[{"id":396,"uris":["http://zotero.org/users/17227936/items/8D</w:instrText>
      </w:r>
      <w:r w:rsidR="00A93663">
        <w:rPr>
          <w:rFonts w:hint="eastAsia"/>
        </w:rPr>
        <w:instrText>NMGWDQ"],"itemData":{"id":396,"type":"article-journal","abstract":"Abstract\n              Risk</w:instrText>
      </w:r>
      <w:r w:rsidR="00A93663">
        <w:rPr>
          <w:rFonts w:hint="eastAsia"/>
        </w:rPr>
        <w:instrText>‐</w:instrText>
      </w:r>
      <w:r w:rsidR="00A93663">
        <w:rPr>
          <w:rFonts w:hint="eastAsia"/>
        </w:rPr>
        <w:instrText>based monitoring programs are increasingly applied for cost</w:instrText>
      </w:r>
      <w:r w:rsidR="00A93663">
        <w:rPr>
          <w:rFonts w:hint="eastAsia"/>
        </w:rPr>
        <w:instrText>‐</w:instrText>
      </w:r>
      <w:r w:rsidR="00A93663">
        <w:rPr>
          <w:rFonts w:hint="eastAsia"/>
        </w:rPr>
        <w:instrText>effective monitoring of food safety. Such programs ideally consist of three steps: risk</w:instrText>
      </w:r>
      <w:r w:rsidR="00A93663">
        <w:rPr>
          <w:rFonts w:hint="eastAsia"/>
        </w:rPr>
        <w:instrText>‐</w:instrText>
      </w:r>
      <w:r w:rsidR="00A93663">
        <w:rPr>
          <w:rFonts w:hint="eastAsia"/>
        </w:rPr>
        <w:instrText>ranking, risk</w:instrText>
      </w:r>
      <w:r w:rsidR="00A93663">
        <w:rPr>
          <w:rFonts w:hint="eastAsia"/>
        </w:rPr>
        <w:instrText>‐</w:instrText>
      </w:r>
      <w:r w:rsidR="00A93663">
        <w:rPr>
          <w:rFonts w:hint="eastAsia"/>
        </w:rPr>
        <w:instrText>based inspections, and cost</w:instrText>
      </w:r>
      <w:r w:rsidR="00A93663">
        <w:rPr>
          <w:rFonts w:hint="eastAsia"/>
        </w:rPr>
        <w:instrText>‐</w:instrText>
      </w:r>
      <w:r w:rsidR="00A93663">
        <w:rPr>
          <w:rFonts w:hint="eastAsia"/>
        </w:rPr>
        <w:instrText>effective monitoring. Various methods have been described to perform the first step of risk</w:instrText>
      </w:r>
      <w:r w:rsidR="00A93663">
        <w:rPr>
          <w:rFonts w:hint="eastAsia"/>
        </w:rPr>
        <w:instrText>‐</w:instrText>
      </w:r>
      <w:r w:rsidR="00A93663">
        <w:rPr>
          <w:rFonts w:hint="eastAsia"/>
        </w:rPr>
        <w:instrText>based monitoring. However, once the risk</w:instrText>
      </w:r>
      <w:r w:rsidR="00A93663">
        <w:rPr>
          <w:rFonts w:hint="eastAsia"/>
        </w:rPr>
        <w:instrText>‐</w:instrText>
      </w:r>
      <w:r w:rsidR="00A93663">
        <w:rPr>
          <w:rFonts w:hint="eastAsia"/>
        </w:rPr>
        <w:instrText>ranking has been completed, identifying the hazard</w:instrText>
      </w:r>
      <w:r w:rsidR="00A93663">
        <w:rPr>
          <w:rFonts w:hint="eastAsia"/>
        </w:rPr>
        <w:instrText>‐</w:instrText>
      </w:r>
      <w:r w:rsidR="00A93663">
        <w:rPr>
          <w:rFonts w:hint="eastAsia"/>
        </w:rPr>
        <w:instrText>food combinations to monitor, the frequency of inspection needs to be established based on a prioritization of food business operators (FBOs). The aim of this paper is to provide an overview of methods available for risk</w:instrText>
      </w:r>
      <w:r w:rsidR="00A93663">
        <w:rPr>
          <w:rFonts w:hint="eastAsia"/>
        </w:rPr>
        <w:instrText>‐</w:instrText>
      </w:r>
      <w:r w:rsidR="00A93663">
        <w:rPr>
          <w:rFonts w:hint="eastAsia"/>
        </w:rPr>
        <w:instrText>based inspections. Literature shows that FBO's food safety compliance can be assessed based on company size, historical monitoring data, and socio</w:instrText>
      </w:r>
      <w:r w:rsidR="00A93663">
        <w:rPr>
          <w:rFonts w:hint="eastAsia"/>
        </w:rPr>
        <w:instrText>‐</w:instrText>
      </w:r>
      <w:r w:rsidR="00A93663">
        <w:rPr>
          <w:rFonts w:hint="eastAsia"/>
        </w:rPr>
        <w:instrText>economic factors influencing compliance behavior. Non</w:instrText>
      </w:r>
      <w:r w:rsidR="00A93663">
        <w:rPr>
          <w:rFonts w:hint="eastAsia"/>
        </w:rPr>
        <w:instrText>‐</w:instrText>
      </w:r>
      <w:r w:rsidR="00A93663">
        <w:rPr>
          <w:rFonts w:hint="eastAsia"/>
        </w:rPr>
        <w:instrText>compliance can either be intentional or unintentional. The latter can be assessed by evaluating the food safety culture of a com</w:instrText>
      </w:r>
      <w:r w:rsidR="00A93663">
        <w:instrText>pany. Various models—ranging from qualitative (e.g., focus groups) to quantitative (e.g., scoring)—can be used for this purpose. These models usually include an evaluation of the organizational structure (e.g., management control, communication, commitmen</w:instrText>
      </w:r>
      <w:r w:rsidR="00A93663">
        <w:rPr>
          <w:rFonts w:hint="eastAsia"/>
        </w:rPr>
        <w:instrText>t), the technical food safety environment (e.g., hygienic design, zoning), and employee characteristics (e.g., knowledge, risk awareness). Intentional non</w:instrText>
      </w:r>
      <w:r w:rsidR="00A93663">
        <w:rPr>
          <w:rFonts w:hint="eastAsia"/>
        </w:rPr>
        <w:instrText>‐</w:instrText>
      </w:r>
      <w:r w:rsidR="00A93663">
        <w:rPr>
          <w:rFonts w:hint="eastAsia"/>
        </w:rPr>
        <w:instrText>compliance can be assessed using food fraud vulnerability tools. These tools incorporate factors influencing the likelihood of food fraud at the company, that is, opportunity, motivation, and (lack of) control measures. The literature indicates that either self</w:instrText>
      </w:r>
      <w:r w:rsidR="00A93663">
        <w:rPr>
          <w:rFonts w:hint="eastAsia"/>
        </w:rPr>
        <w:instrText>‐</w:instrText>
      </w:r>
      <w:r w:rsidR="00A93663">
        <w:rPr>
          <w:rFonts w:hint="eastAsia"/>
        </w:rPr>
        <w:instrText>assessment tools or risk matrices are applied. There is no global consensus on the methods to apply for risk</w:instrText>
      </w:r>
      <w:r w:rsidR="00A93663">
        <w:rPr>
          <w:rFonts w:hint="eastAsia"/>
        </w:rPr>
        <w:instrText>‐</w:instrText>
      </w:r>
      <w:r w:rsidR="00A93663">
        <w:rPr>
          <w:rFonts w:hint="eastAsia"/>
        </w:rPr>
        <w:instrText>based inspections. Depending on time and budget available as well as preferred output, one of the presented methods may be applied for prioritizing FBOs.","container-title":"Journal of Food Science","DOI":"10.1111/1750-3841.15978","ISSN":"0022-1147, 1750-3841","issue":"12","journalAbbreviation":"Journal of Food Science","language":"en","page":"5078-5086","source":"DOI.org (Crossref)","title":"Methods to perform risk</w:instrText>
      </w:r>
      <w:r w:rsidR="00A93663">
        <w:rPr>
          <w:rFonts w:hint="eastAsia"/>
        </w:rPr>
        <w:instrText>‐</w:instrText>
      </w:r>
      <w:r w:rsidR="00A93663">
        <w:rPr>
          <w:rFonts w:hint="eastAsia"/>
        </w:rPr>
        <w:instrText>based inspections of food companies","volume":"86","author":[{"family":"Van Asselt","given":"E.D."},{"family":"Hoffmans","given":"Y."},{"family":"Hoek</w:instrText>
      </w:r>
      <w:r w:rsidR="00A93663">
        <w:rPr>
          <w:rFonts w:hint="eastAsia"/>
        </w:rPr>
        <w:instrText>‐</w:instrText>
      </w:r>
      <w:r w:rsidR="00A93663">
        <w:rPr>
          <w:rFonts w:hint="eastAsia"/>
        </w:rPr>
        <w:instrText xml:space="preserve"> Van Den Hil","given":"E.F."},{"family":"Van Der Fels</w:instrText>
      </w:r>
      <w:r w:rsidR="00A93663">
        <w:rPr>
          <w:rFonts w:hint="eastAsia"/>
        </w:rPr>
        <w:instrText>‐</w:instrText>
      </w:r>
      <w:r w:rsidR="00A93663">
        <w:rPr>
          <w:rFonts w:hint="eastAsia"/>
        </w:rPr>
        <w:instrText>Klerx","given":"H.J."}],"issued":{"date-parts":[["2021",12]]}}}],"schema":"https://github.com/citation-style-language/schema</w:instrText>
      </w:r>
      <w:r w:rsidR="00A93663">
        <w:instrText xml:space="preserve">/raw/master/csl-citation.json"} </w:instrText>
      </w:r>
      <w:r w:rsidR="00A93663">
        <w:fldChar w:fldCharType="separate"/>
      </w:r>
      <w:r w:rsidR="00E2692B" w:rsidRPr="00E2692B">
        <w:rPr>
          <w:rFonts w:cs="Times New Roman"/>
        </w:rPr>
        <w:t>(Van Asselt et al., 2021)</w:t>
      </w:r>
      <w:r w:rsidR="00A93663">
        <w:fldChar w:fldCharType="end"/>
      </w:r>
      <w:r w:rsidR="00FA5081" w:rsidRPr="00FA5081">
        <w:rPr>
          <w:rFonts w:hint="eastAsia"/>
        </w:rPr>
        <w:t>，这与受约束</w:t>
      </w:r>
      <w:r w:rsidR="00FA5081" w:rsidRPr="00FA5081">
        <w:rPr>
          <w:rFonts w:hint="eastAsia"/>
        </w:rPr>
        <w:t>MDP</w:t>
      </w:r>
      <w:r w:rsidR="00FA5081" w:rsidRPr="00FA5081">
        <w:rPr>
          <w:rFonts w:hint="eastAsia"/>
        </w:rPr>
        <w:t>对“在约束条件下优化目标”的</w:t>
      </w:r>
      <w:r w:rsidR="00BC7F52">
        <w:rPr>
          <w:rFonts w:hint="eastAsia"/>
        </w:rPr>
        <w:t>解释相一致</w:t>
      </w:r>
      <w:r w:rsidR="00A93663">
        <w:fldChar w:fldCharType="begin"/>
      </w:r>
      <w:r w:rsidR="00A93663">
        <w:instrText xml:space="preserve"> ADDIN ZOTERO_ITEM CSL_CITATION {"citationID":"wFCHJBWe","properties":{"formattedCitation":"(Altman, 2021)","plainCitation":"(Altman, 2021)","noteIndex":0},"citationItems":[{"id":363,"uris":["http://zotero.org/users/17227936/items/BFEZ6C6D"],"itemData":{"id":363,"type":"book","edition":"1","event-place":"Boca Raton","ISBN":"978-1-315-14022-3","language":"en","note":"DOI: 10.1201/9781315140223","publisher":"Routledge","publisher-place":"Boca Raton","source":"DOI.org (Crossref)","title":"Constrained Markov Decision Processes: Stochastic Modeling","title-short":"Constrained Markov Decision Processes","URL":"https://www.taylorfrancis.com/books/9781315140223","author":[{"family":"Altman","given":"Eitan"}],"accessed":{"date-parts":[["2025",12,30]]},"issued":{"date-parts":[["2021",12,13]]}}}],"schema":"https://github.com/citation-style-language/schema/raw/master/csl-citation.json"} </w:instrText>
      </w:r>
      <w:r w:rsidR="00A93663">
        <w:fldChar w:fldCharType="separate"/>
      </w:r>
      <w:r w:rsidR="00E2692B" w:rsidRPr="00E2692B">
        <w:rPr>
          <w:rFonts w:cs="Times New Roman"/>
        </w:rPr>
        <w:t>(Altman, 2021)</w:t>
      </w:r>
      <w:r w:rsidR="00A93663">
        <w:fldChar w:fldCharType="end"/>
      </w:r>
      <w:r w:rsidR="00FA5081" w:rsidRPr="00FA5081">
        <w:rPr>
          <w:rFonts w:hint="eastAsia"/>
        </w:rPr>
        <w:t>。</w:t>
      </w:r>
    </w:p>
    <w:p w14:paraId="673117B7" w14:textId="30C3C7F1" w:rsidR="003104EE" w:rsidRDefault="00497108" w:rsidP="006D5CFC">
      <w:pPr>
        <w:ind w:firstLine="480"/>
      </w:pPr>
      <w:r w:rsidRPr="00881072">
        <w:rPr>
          <w:rFonts w:hint="eastAsia"/>
        </w:rPr>
        <w:t>鉴于</w:t>
      </w:r>
      <w:r w:rsidRPr="00881072">
        <w:t>AFB₁</w:t>
      </w:r>
      <w:r w:rsidRPr="00881072">
        <w:rPr>
          <w:rFonts w:hint="eastAsia"/>
        </w:rPr>
        <w:t>被国际癌症研究机构（</w:t>
      </w:r>
      <w:r w:rsidRPr="00881072">
        <w:t>IARC</w:t>
      </w:r>
      <w:r w:rsidRPr="00881072">
        <w:rPr>
          <w:rFonts w:hint="eastAsia"/>
        </w:rPr>
        <w:t>）归类为</w:t>
      </w:r>
      <w:r w:rsidRPr="00881072">
        <w:t>1</w:t>
      </w:r>
      <w:r w:rsidRPr="00881072">
        <w:rPr>
          <w:rFonts w:hint="eastAsia"/>
        </w:rPr>
        <w:t>类致癌物，具有明确的遗传毒性与致癌性，本研究采用暴露边际（</w:t>
      </w:r>
      <w:r w:rsidRPr="00881072">
        <w:t>Margin of Exposure, MOE</w:t>
      </w:r>
      <w:r w:rsidRPr="00881072">
        <w:rPr>
          <w:rFonts w:hint="eastAsia"/>
        </w:rPr>
        <w:t>）法进行风险特征描述</w:t>
      </w:r>
      <w:r w:rsidR="003E6A6D">
        <w:fldChar w:fldCharType="begin"/>
      </w:r>
      <w:r w:rsidR="003E6A6D">
        <w:instrText xml:space="preserve"> ADDIN ZOTERO_ITEM CSL_CITATION {"citationID":"cBPdPjQ9","properties":{"formattedCitation":"(Wu, 2015)","plainCitation":"(Wu, 2015)","noteIndex":0},"citationItems":[{"id":407,"uris":["http://zotero.org/users/17227936/items/GVAM3B42"],"itemData":{"id":407,"type":"article-journal","container-title":"World Mycotoxin Journal","issue":"2","note":"publisher: Wageningen Academic","page":"137–142","source":"Google Scholar","title":"Global impacts of aflatoxin in maize: trade and human health","title-short":"Global impacts of aflatoxin in maize","volume":"8","author":[{"family":"Wu","given":"Fang"}],"issued":{"date-parts":[["2015"]]}}}],"schema":"https://github.com/citation-style-language/schema/raw/master/csl-citation.json"} </w:instrText>
      </w:r>
      <w:r w:rsidR="003E6A6D">
        <w:fldChar w:fldCharType="separate"/>
      </w:r>
      <w:r w:rsidR="003E6A6D" w:rsidRPr="003E6A6D">
        <w:rPr>
          <w:rFonts w:cs="Times New Roman"/>
        </w:rPr>
        <w:t>(Wu, 2015)</w:t>
      </w:r>
      <w:r w:rsidR="003E6A6D">
        <w:fldChar w:fldCharType="end"/>
      </w:r>
      <w:r w:rsidRPr="00881072">
        <w:rPr>
          <w:rFonts w:hint="eastAsia"/>
        </w:rPr>
        <w:t>。</w:t>
      </w:r>
      <w:r w:rsidRPr="00881072">
        <w:t>MOE</w:t>
      </w:r>
      <w:r w:rsidRPr="00881072">
        <w:rPr>
          <w:rFonts w:hint="eastAsia"/>
        </w:rPr>
        <w:t>是由</w:t>
      </w:r>
      <w:r w:rsidRPr="00881072">
        <w:t>FAO/WHO</w:t>
      </w:r>
      <w:r w:rsidRPr="00881072">
        <w:rPr>
          <w:rFonts w:hint="eastAsia"/>
        </w:rPr>
        <w:t>食品添加剂联合专家委员会（</w:t>
      </w:r>
      <w:r w:rsidRPr="00881072">
        <w:t>JECFA</w:t>
      </w:r>
      <w:r w:rsidRPr="00881072">
        <w:rPr>
          <w:rFonts w:hint="eastAsia"/>
        </w:rPr>
        <w:t>）和</w:t>
      </w:r>
      <w:r w:rsidRPr="00881072">
        <w:t>EFSA</w:t>
      </w:r>
      <w:r w:rsidRPr="00881072">
        <w:rPr>
          <w:rFonts w:hint="eastAsia"/>
        </w:rPr>
        <w:t>推荐的用于评估遗传毒性致癌物风险的首选方法，其优势在于能够避免制定单一的安全阈值，而</w:t>
      </w:r>
      <w:r w:rsidRPr="00881072">
        <w:rPr>
          <w:rFonts w:hint="eastAsia"/>
        </w:rPr>
        <w:lastRenderedPageBreak/>
        <w:t>是通过比率量化暴露水平与毒理学效应点之间的距离</w:t>
      </w:r>
      <w:r>
        <w:fldChar w:fldCharType="begin"/>
      </w:r>
      <w:r w:rsidR="007E451F">
        <w:instrText xml:space="preserve"> ADDIN ZOTERO_ITEM CSL_CITATION {"citationID":"TQN77yUi","properties":{"formattedCitation":"(Benford et al., 2010; EFSA Journal, 2005; FAO/WHO, 2006)","plainCitation":"(Benford et al., 2010; EFSA Journal, 2005; FAO/WHO, 2006)","noteIndex":0},"citationItems":[{"id":340,"uris":["http://zotero.org/users/17227936/items/6FKSG6UU"],"itemData":{"id":340,"type":"article-journal","abstract":"This paper presents the work of an expert group established by the International Life Sciences Institute –European branch (ILSI Europe) to follow up the recommendations of an international conference on ‘‘Risk Assessment of Compounds that are both Genotoxic and Carcinogenic: New Approaches”. Twelve genotoxic and carcinogenic chemicals that can be present in food were selected for calculation of a Margin of Exposure (MOE) between a point of departure on the dose–response for oral carcinogenicity in animal studies and estimates of human dietary exposure. The MOE can be used to support prioritisation of risk management action and, if the MOE is very large, on communication of a low level of human health concern. Depending on the approaches taken in determining the point of departure and the estimation of exposure, it is possible to derive very different values for the MOE. It is therefore essential that the selection of the cancer endpoint and mathematical treatment of the data are clearly described and justiﬁed if the results of the MOE approach are to be trusted and of value to risk managers. An outline framework for calculating an MOE is proposed in order to help to ensure transparency in the results.","container-title":"Food and Chemical Toxicology","DOI":"10.1016/j.fct.2009.11.003","ISSN":"02786915","journalAbbreviation":"Food and Chemical Toxicology","language":"en","page":"S2-S24","source":"DOI.org (Crossref)","title":"Application of the Margin of Exposure (MOE) approach to substances in food that are genotoxic and carcinogenic","volume":"48","author":[{"family":"Benford","given":"Diane"},{"family":"Bolger","given":"P. Michael"},{"family":"Carthew","given":"Philip"},{"family":"Coulet","given":"Myriam"},{"family":"DiNovi","given":"Michael"},{"family":"Leblanc","given":"Jean-Charles"},{"family":"Renwick","given":"Andrew G."},{"family":"Setzer","given":"Woodrow"},{"family":"Schlatter","given":"Josef"},{"family":"Smith","given":"Benjamin"},{"family":"Slob","given":"Wout"},{"family":"Williams","given":"Gary"},{"family":"Wildemann","given":"Tanja"}],"issued":{"date-parts":[["2010",1]]}}},{"id":323,"uris":["http://zotero.org/users/17227936/items/TCPW6MU5"],"itemData":{"id":323,"type":"article-journal","container-title":"EFSA Journal","DOI":"10.2903/j.efsa.2005.282","ISSN":"1831-4732","issue":"10","language":"en","license":"© 2005 European Food Safety Authority","note":"_eprint: https://efsa.onlinelibrary.wiley.com/doi/pdf/10.2903/j.efsa.2005.282","page":"282","source":"Wiley Online Library","title":"Opinion of the Scientific Committee on a request from EFSA related to A Harmonised Approach for Risk Assessment of Substances Which are both Genotoxic and Carcinogenic","volume":"3","author":[{"family":"EFSA Journal","given":"Authority (EFSA)"}],"issued":{"date-parts":[["2005"]]}}},{"id":347,"uris":["http://zotero.org/users/17227936/items/MGN33358"],"itemData":{"id":347,"type":"report","number":"WHO Technical Report Series, No. 930.","title":"Evaluation of certain food contaminants: sixty-fourth report of the Joint FAO/WHO Expert Committee on Food Additives","author":[{"literal":"FAO/WHO"}],"issued":{"date-parts":[["2006"]]}}}],"schema":"https://github.com/citation-style-language/schema/raw/master/csl-citation.json"} </w:instrText>
      </w:r>
      <w:r>
        <w:fldChar w:fldCharType="separate"/>
      </w:r>
      <w:r w:rsidR="00E2692B" w:rsidRPr="00E2692B">
        <w:rPr>
          <w:rFonts w:cs="Times New Roman"/>
        </w:rPr>
        <w:t>(Benford et al., 2010; EFSA Journal, 2005; FAO/WHO, 2006)</w:t>
      </w:r>
      <w:r>
        <w:fldChar w:fldCharType="end"/>
      </w:r>
      <w:r w:rsidRPr="00881072">
        <w:rPr>
          <w:rFonts w:hint="eastAsia"/>
        </w:rPr>
        <w:t>。</w:t>
      </w:r>
      <w:r w:rsidR="00965845" w:rsidRPr="00965845">
        <w:t>但从现有风险导向检查</w:t>
      </w:r>
      <w:r w:rsidR="00965845" w:rsidRPr="00965845">
        <w:t>/</w:t>
      </w:r>
      <w:r w:rsidR="00965845" w:rsidRPr="00965845">
        <w:t>监测方法的综述性证据来看，相关研究更多讨论如何利用历史记录、企业特征与合规</w:t>
      </w:r>
      <w:r w:rsidR="008C3532">
        <w:rPr>
          <w:rFonts w:hint="eastAsia"/>
        </w:rPr>
        <w:t>行为</w:t>
      </w:r>
      <w:r w:rsidR="00965845" w:rsidRPr="00965845">
        <w:t>等进行风险检查设计</w:t>
      </w:r>
      <w:r w:rsidR="00B564C5">
        <w:fldChar w:fldCharType="begin"/>
      </w:r>
      <w:r w:rsidR="00B564C5">
        <w:instrText xml:space="preserve"> ADDIN ZOTERO_ITEM CSL_CITATION {"citationID":"9sIJjG0H","properties":{"formattedCitation":"(Van Asselt et al., 2021)","plainCitation":"(Van Asselt et al., 2021)","noteIndex":0},"citationItems":[{"id":396,"uris":["http://zotero.org/users/17227936/items/8D</w:instrText>
      </w:r>
      <w:r w:rsidR="00B564C5">
        <w:rPr>
          <w:rFonts w:hint="eastAsia"/>
        </w:rPr>
        <w:instrText>NMGWDQ"],"itemData":{"id":396,"type":"article-journal","abstract":"Abstract\n              Risk</w:instrText>
      </w:r>
      <w:r w:rsidR="00B564C5">
        <w:rPr>
          <w:rFonts w:hint="eastAsia"/>
        </w:rPr>
        <w:instrText>‐</w:instrText>
      </w:r>
      <w:r w:rsidR="00B564C5">
        <w:rPr>
          <w:rFonts w:hint="eastAsia"/>
        </w:rPr>
        <w:instrText>based monitoring programs are increasingly applied for cost</w:instrText>
      </w:r>
      <w:r w:rsidR="00B564C5">
        <w:rPr>
          <w:rFonts w:hint="eastAsia"/>
        </w:rPr>
        <w:instrText>‐</w:instrText>
      </w:r>
      <w:r w:rsidR="00B564C5">
        <w:rPr>
          <w:rFonts w:hint="eastAsia"/>
        </w:rPr>
        <w:instrText>effective monitoring of food safety. Such programs ideally consist of three steps: risk</w:instrText>
      </w:r>
      <w:r w:rsidR="00B564C5">
        <w:rPr>
          <w:rFonts w:hint="eastAsia"/>
        </w:rPr>
        <w:instrText>‐</w:instrText>
      </w:r>
      <w:r w:rsidR="00B564C5">
        <w:rPr>
          <w:rFonts w:hint="eastAsia"/>
        </w:rPr>
        <w:instrText>ranking, risk</w:instrText>
      </w:r>
      <w:r w:rsidR="00B564C5">
        <w:rPr>
          <w:rFonts w:hint="eastAsia"/>
        </w:rPr>
        <w:instrText>‐</w:instrText>
      </w:r>
      <w:r w:rsidR="00B564C5">
        <w:rPr>
          <w:rFonts w:hint="eastAsia"/>
        </w:rPr>
        <w:instrText>based inspections, and cost</w:instrText>
      </w:r>
      <w:r w:rsidR="00B564C5">
        <w:rPr>
          <w:rFonts w:hint="eastAsia"/>
        </w:rPr>
        <w:instrText>‐</w:instrText>
      </w:r>
      <w:r w:rsidR="00B564C5">
        <w:rPr>
          <w:rFonts w:hint="eastAsia"/>
        </w:rPr>
        <w:instrText>effective monitoring. Various methods have been described to perform the first step of risk</w:instrText>
      </w:r>
      <w:r w:rsidR="00B564C5">
        <w:rPr>
          <w:rFonts w:hint="eastAsia"/>
        </w:rPr>
        <w:instrText>‐</w:instrText>
      </w:r>
      <w:r w:rsidR="00B564C5">
        <w:rPr>
          <w:rFonts w:hint="eastAsia"/>
        </w:rPr>
        <w:instrText>based monitoring. However, once the risk</w:instrText>
      </w:r>
      <w:r w:rsidR="00B564C5">
        <w:rPr>
          <w:rFonts w:hint="eastAsia"/>
        </w:rPr>
        <w:instrText>‐</w:instrText>
      </w:r>
      <w:r w:rsidR="00B564C5">
        <w:rPr>
          <w:rFonts w:hint="eastAsia"/>
        </w:rPr>
        <w:instrText>ranking has been completed, identifying the hazard</w:instrText>
      </w:r>
      <w:r w:rsidR="00B564C5">
        <w:rPr>
          <w:rFonts w:hint="eastAsia"/>
        </w:rPr>
        <w:instrText>‐</w:instrText>
      </w:r>
      <w:r w:rsidR="00B564C5">
        <w:rPr>
          <w:rFonts w:hint="eastAsia"/>
        </w:rPr>
        <w:instrText>food combinations to monitor, the frequency of inspection needs to be established based on a prioritization of food business operators (FBOs). The aim of this paper is to provide an overview of methods available for risk</w:instrText>
      </w:r>
      <w:r w:rsidR="00B564C5">
        <w:rPr>
          <w:rFonts w:hint="eastAsia"/>
        </w:rPr>
        <w:instrText>‐</w:instrText>
      </w:r>
      <w:r w:rsidR="00B564C5">
        <w:rPr>
          <w:rFonts w:hint="eastAsia"/>
        </w:rPr>
        <w:instrText>based inspections. Literature shows that FBO's food safety compliance can be assessed based on company size, historical monitoring data, and socio</w:instrText>
      </w:r>
      <w:r w:rsidR="00B564C5">
        <w:rPr>
          <w:rFonts w:hint="eastAsia"/>
        </w:rPr>
        <w:instrText>‐</w:instrText>
      </w:r>
      <w:r w:rsidR="00B564C5">
        <w:rPr>
          <w:rFonts w:hint="eastAsia"/>
        </w:rPr>
        <w:instrText>economic factors influencing compliance behavior. Non</w:instrText>
      </w:r>
      <w:r w:rsidR="00B564C5">
        <w:rPr>
          <w:rFonts w:hint="eastAsia"/>
        </w:rPr>
        <w:instrText>‐</w:instrText>
      </w:r>
      <w:r w:rsidR="00B564C5">
        <w:rPr>
          <w:rFonts w:hint="eastAsia"/>
        </w:rPr>
        <w:instrText>compliance can either be intentional or unintentional. The latter can be assessed by evaluating the food safety culture of a com</w:instrText>
      </w:r>
      <w:r w:rsidR="00B564C5">
        <w:instrText>pany. Various models—ranging from qualitative (e.g., focus groups) to quantitative (e.g., scoring)—can be used for this purpose. These models usually include an evaluation of the organizational structure (e.g., management control, communication, commitmen</w:instrText>
      </w:r>
      <w:r w:rsidR="00B564C5">
        <w:rPr>
          <w:rFonts w:hint="eastAsia"/>
        </w:rPr>
        <w:instrText>t), the technical food safety environment (e.g., hygienic design, zoning), and employee characteristics (e.g., knowledge, risk awareness). Intentional non</w:instrText>
      </w:r>
      <w:r w:rsidR="00B564C5">
        <w:rPr>
          <w:rFonts w:hint="eastAsia"/>
        </w:rPr>
        <w:instrText>‐</w:instrText>
      </w:r>
      <w:r w:rsidR="00B564C5">
        <w:rPr>
          <w:rFonts w:hint="eastAsia"/>
        </w:rPr>
        <w:instrText>compliance can be assessed using food fraud vulnerability tools. These tools incorporate factors influencing the likelihood of food fraud at the company, that is, opportunity, motivation, and (lack of) control measures. The literature indicates that either self</w:instrText>
      </w:r>
      <w:r w:rsidR="00B564C5">
        <w:rPr>
          <w:rFonts w:hint="eastAsia"/>
        </w:rPr>
        <w:instrText>‐</w:instrText>
      </w:r>
      <w:r w:rsidR="00B564C5">
        <w:rPr>
          <w:rFonts w:hint="eastAsia"/>
        </w:rPr>
        <w:instrText>assessment tools or risk matrices are applied. There is no global consensus on the methods to apply for risk</w:instrText>
      </w:r>
      <w:r w:rsidR="00B564C5">
        <w:rPr>
          <w:rFonts w:hint="eastAsia"/>
        </w:rPr>
        <w:instrText>‐</w:instrText>
      </w:r>
      <w:r w:rsidR="00B564C5">
        <w:rPr>
          <w:rFonts w:hint="eastAsia"/>
        </w:rPr>
        <w:instrText>based inspections. Depending on time and budget available as well as preferred output, one of the presented methods may be applied for prioritizing FBOs.","container-title":"Journal of Food Science","DOI":"10.1111/1750-3841.15978","ISSN":"0022-1147, 1750-3841","issue":"12","journalAbbreviation":"Journal of Food Science","language":"en","page":"5078-5086","source":"DOI.org (Crossref)","title":"Methods to perform risk</w:instrText>
      </w:r>
      <w:r w:rsidR="00B564C5">
        <w:rPr>
          <w:rFonts w:hint="eastAsia"/>
        </w:rPr>
        <w:instrText>‐</w:instrText>
      </w:r>
      <w:r w:rsidR="00B564C5">
        <w:rPr>
          <w:rFonts w:hint="eastAsia"/>
        </w:rPr>
        <w:instrText>based inspections of food companies","volume":"86","author":[{"family":"Van Asselt","given":"E.D."},{"family":"Hoffmans","given":"Y."},{"family":"Hoek</w:instrText>
      </w:r>
      <w:r w:rsidR="00B564C5">
        <w:rPr>
          <w:rFonts w:hint="eastAsia"/>
        </w:rPr>
        <w:instrText>‐</w:instrText>
      </w:r>
      <w:r w:rsidR="00B564C5">
        <w:rPr>
          <w:rFonts w:hint="eastAsia"/>
        </w:rPr>
        <w:instrText xml:space="preserve"> Van Den Hil","given":"E.F."},{"family":"Van Der Fels</w:instrText>
      </w:r>
      <w:r w:rsidR="00B564C5">
        <w:rPr>
          <w:rFonts w:hint="eastAsia"/>
        </w:rPr>
        <w:instrText>‐</w:instrText>
      </w:r>
      <w:r w:rsidR="00B564C5">
        <w:rPr>
          <w:rFonts w:hint="eastAsia"/>
        </w:rPr>
        <w:instrText>Klerx","given":"H.J."}],"issued":{"date-parts":[["2021",12]]}}}],"schema":"https://github.com/citation-style-language/schema</w:instrText>
      </w:r>
      <w:r w:rsidR="00B564C5">
        <w:instrText xml:space="preserve">/raw/master/csl-citation.json"} </w:instrText>
      </w:r>
      <w:r w:rsidR="00B564C5">
        <w:fldChar w:fldCharType="separate"/>
      </w:r>
      <w:r w:rsidR="00E2692B" w:rsidRPr="00E2692B">
        <w:rPr>
          <w:rFonts w:cs="Times New Roman"/>
        </w:rPr>
        <w:t>(Van Asselt et al., 2021)</w:t>
      </w:r>
      <w:r w:rsidR="00B564C5">
        <w:fldChar w:fldCharType="end"/>
      </w:r>
      <w:r w:rsidR="00965845" w:rsidRPr="00965845">
        <w:t>，而较少将</w:t>
      </w:r>
      <w:r w:rsidR="00965845" w:rsidRPr="00965845">
        <w:t>MOE</w:t>
      </w:r>
      <w:r w:rsidR="00965845" w:rsidRPr="00965845">
        <w:t>这类毒理学风险表征与抽检整数决策、预算硬约束以及信念更新机制在同一动态优化框架中联结起来</w:t>
      </w:r>
      <w:r w:rsidR="00C903B7">
        <w:rPr>
          <w:rFonts w:hint="eastAsia"/>
        </w:rPr>
        <w:t>。</w:t>
      </w:r>
      <w:r w:rsidR="00BD6947" w:rsidRPr="00BD6947">
        <w:rPr>
          <w:rFonts w:hint="eastAsia"/>
        </w:rPr>
        <w:t>因此，本研究以</w:t>
      </w:r>
      <w:r w:rsidR="00BD6947" w:rsidRPr="00BD6947">
        <w:rPr>
          <w:rFonts w:hint="eastAsia"/>
        </w:rPr>
        <w:t>MOE</w:t>
      </w:r>
      <w:r w:rsidR="00BD6947" w:rsidRPr="00BD6947">
        <w:rPr>
          <w:rFonts w:hint="eastAsia"/>
        </w:rPr>
        <w:t>驱动的暴露风险最小化为目标，在预算与产能硬约束下，将抽检建模为</w:t>
      </w:r>
      <w:r w:rsidR="00BD6947">
        <w:rPr>
          <w:rFonts w:hint="eastAsia"/>
        </w:rPr>
        <w:t>包含</w:t>
      </w:r>
      <w:r w:rsidR="00BD6947" w:rsidRPr="00BD6947">
        <w:rPr>
          <w:rFonts w:hint="eastAsia"/>
        </w:rPr>
        <w:t>信息获取与风险干预的动态决策</w:t>
      </w:r>
      <w:r w:rsidR="00BD6947">
        <w:rPr>
          <w:rFonts w:hint="eastAsia"/>
        </w:rPr>
        <w:t>过程</w:t>
      </w:r>
      <w:r w:rsidR="00BD6947" w:rsidRPr="00BD6947">
        <w:rPr>
          <w:rFonts w:hint="eastAsia"/>
        </w:rPr>
        <w:t>，并把</w:t>
      </w:r>
      <w:r w:rsidR="00BD6947" w:rsidRPr="00BD6947">
        <w:rPr>
          <w:rFonts w:hint="eastAsia"/>
        </w:rPr>
        <w:t>MOE</w:t>
      </w:r>
      <w:r w:rsidR="00BD6947" w:rsidRPr="00BD6947">
        <w:rPr>
          <w:rFonts w:hint="eastAsia"/>
        </w:rPr>
        <w:t>风险、抽检与处置成本、以及信念不确定性下降的信息价值</w:t>
      </w:r>
      <w:r w:rsidR="00016CC3">
        <w:rPr>
          <w:rFonts w:hint="eastAsia"/>
        </w:rPr>
        <w:t>整合到动态抽检策略中。</w:t>
      </w:r>
    </w:p>
    <w:p w14:paraId="076A50D4" w14:textId="741866EA" w:rsidR="0009766D" w:rsidRDefault="00127C5A" w:rsidP="003104EE">
      <w:pPr>
        <w:pStyle w:val="2"/>
      </w:pPr>
      <w:bookmarkStart w:id="22" w:name="_Toc218094761"/>
      <w:r w:rsidRPr="00E67EB7">
        <w:t>研究意义</w:t>
      </w:r>
      <w:bookmarkEnd w:id="22"/>
    </w:p>
    <w:p w14:paraId="3688EDA6" w14:textId="77777777" w:rsidR="00A963A7" w:rsidRDefault="00151442" w:rsidP="004F54AE">
      <w:pPr>
        <w:ind w:firstLine="480"/>
      </w:pPr>
      <w:r w:rsidRPr="00151442">
        <w:rPr>
          <w:rFonts w:hint="eastAsia"/>
        </w:rPr>
        <w:t>基于上述现实与理论背景，本研究以花生原料供应链为场景，讨论在预算与抽检产能约束下的动态抽检资源配置问题。</w:t>
      </w:r>
    </w:p>
    <w:p w14:paraId="4BCA110D" w14:textId="59461341" w:rsidR="00A963A7" w:rsidRDefault="00A963A7" w:rsidP="004F54AE">
      <w:pPr>
        <w:ind w:firstLine="480"/>
      </w:pPr>
      <w:r>
        <w:rPr>
          <w:rFonts w:hint="eastAsia"/>
        </w:rPr>
        <w:t>(1)</w:t>
      </w:r>
      <w:r>
        <w:rPr>
          <w:rFonts w:hint="eastAsia"/>
        </w:rPr>
        <w:t>理论意义</w:t>
      </w:r>
    </w:p>
    <w:p w14:paraId="1AC20A83" w14:textId="233CD3DF" w:rsidR="009E75BC" w:rsidRDefault="00A963A7" w:rsidP="004F54AE">
      <w:pPr>
        <w:ind w:firstLine="480"/>
      </w:pPr>
      <w:r w:rsidRPr="00A963A7">
        <w:t>本研究在理论建模与风险表征上实现了对传统监管优化问题的深化。针对真实污染水平对监管者而言不可直接观测的特性，本研究将抽检视为既提供观测信息以更新风险判断</w:t>
      </w:r>
      <w:r w:rsidR="00202B08">
        <w:rPr>
          <w:rFonts w:hint="eastAsia"/>
        </w:rPr>
        <w:t>，</w:t>
      </w:r>
      <w:r w:rsidRPr="00A963A7">
        <w:t>又触发处置行动的复合过程，从而在</w:t>
      </w:r>
      <w:r w:rsidR="00202B08">
        <w:rPr>
          <w:rFonts w:hint="eastAsia"/>
        </w:rPr>
        <w:t>“</w:t>
      </w:r>
      <w:r w:rsidRPr="00A963A7">
        <w:t>信念状态</w:t>
      </w:r>
      <w:r w:rsidR="00202B08">
        <w:rPr>
          <w:rFonts w:hint="eastAsia"/>
        </w:rPr>
        <w:t>”</w:t>
      </w:r>
      <w:r w:rsidRPr="00A963A7">
        <w:t>上将该问题刻画为部分可观测的马尔科夫决策过程</w:t>
      </w:r>
      <w:r w:rsidR="00817089">
        <w:fldChar w:fldCharType="begin"/>
      </w:r>
      <w:r w:rsidR="00817089">
        <w:instrText xml:space="preserve"> ADDIN ZOTERO_ITEM CSL_CITATION {"citationID":"FSLu3OG0","properties":{"formattedCitation":"(Monahan, 1982)","plainCitation":"(Monahan, 1982)","noteIndex":0},"citationItems":[{"id":385,"uris":["http://zotero.org/users/17227936/items/3DXISB2Z"],"itemData":{"id":385,"type":"article-journal","abstract":"This paper surveys models and algorithms dealing with partially observable Markov decision processes. A partially observable Markov decision process (POMDP) is a generalization of a Markov decision process which permits uncertainty regarding the state of a Markov process and allows for state information acquisition. A general framework for finite state and action POMDP's is presented. Next, there is a brief discussion of the development of POMDP's and their relationship with other decision processes. A wide range of models in such areas as quality control, machine maintenance, internal auditing, learning, and optimal stopping are discussed within the POMDP-framework. Lastly, algorithms for computing optimal solutions to POMDP's are presented.","container-title":"Management Science","DOI":"10.1287/mnsc.28.1.1","ISSN":"0025-1909, 1526-5501","issue":"1","journalAbbreviation":"Management Science","language":"en","page":"1-16","source":"DOI.org (Crossref)","title":"State of the Art—A Survey of Partially Observable Markov Decision Processes: Theory, Models, and Algorithms","title-short":"State of the Art—A Survey of Partially Observable Markov Decision Processes","volume":"28","author":[{"family":"Monahan","given":"George E."}],"issued":{"date-parts":[["1982",1]]}}}],"schema":"https://github.com/citation-style-language/schema/raw/master/csl-citation.json"} </w:instrText>
      </w:r>
      <w:r w:rsidR="00817089">
        <w:fldChar w:fldCharType="separate"/>
      </w:r>
      <w:r w:rsidR="00817089" w:rsidRPr="00817089">
        <w:rPr>
          <w:rFonts w:cs="Times New Roman"/>
        </w:rPr>
        <w:t>(Monahan, 1982)</w:t>
      </w:r>
      <w:r w:rsidR="00817089">
        <w:fldChar w:fldCharType="end"/>
      </w:r>
      <w:r w:rsidRPr="00A963A7">
        <w:t>；同时</w:t>
      </w:r>
      <w:r w:rsidR="00F3771C">
        <w:rPr>
          <w:rFonts w:hint="eastAsia"/>
        </w:rPr>
        <w:t>，在优化决策处理上要求</w:t>
      </w:r>
      <w:r w:rsidR="00F3771C" w:rsidRPr="00A963A7">
        <w:t>抽检批次的整数性与硬预算约束</w:t>
      </w:r>
      <w:r w:rsidR="00F3771C">
        <w:rPr>
          <w:rFonts w:hint="eastAsia"/>
        </w:rPr>
        <w:t>，</w:t>
      </w:r>
      <w:r w:rsidRPr="00A963A7">
        <w:t>从而把资源配置的可行性条件内生化到决策逻辑之中</w:t>
      </w:r>
      <w:r w:rsidR="006A73B1">
        <w:fldChar w:fldCharType="begin"/>
      </w:r>
      <w:r w:rsidR="006A73B1">
        <w:instrText xml:space="preserve"> ADDIN ZOTERO_ITEM CSL_CITATION {"citationID":"MMzFMw3o","properties":{"formattedCitation":"(Altman, 2021)","plainCitation":"(Altman, 2021)","noteIndex":0},"citationItems":[{"id":363,"uris":["http://zotero.org/users/17227936/items/BFEZ6C6D"],"itemData":{"id":363,"type":"book","edition":"1","event-place":"Boca Raton","ISBN":"978-1-315-14022-3","language":"en","note":"DOI: 10.1201/9781315140223","publisher":"Routledge","publisher-place":"Boca Raton","source":"DOI.org (Crossref)","title":"Constrained Markov Decision Processes: Stochastic Modeling","title-short":"Constrained Markov Decision Processes","URL":"https://www.taylorfrancis.com/books/9781315140223","author":[{"family":"Altman","given":"Eitan"}],"accessed":{"date-parts":[["2025",12,30]]},"issued":{"date-parts":[["2021",12,13]]}}}],"schema":"https://github.com/citation-style-language/schema/raw/master/csl-citation.json"} </w:instrText>
      </w:r>
      <w:r w:rsidR="006A73B1">
        <w:fldChar w:fldCharType="separate"/>
      </w:r>
      <w:r w:rsidR="006A73B1" w:rsidRPr="006A73B1">
        <w:rPr>
          <w:rFonts w:cs="Times New Roman"/>
        </w:rPr>
        <w:t>(Altman, 2021)</w:t>
      </w:r>
      <w:r w:rsidR="006A73B1">
        <w:fldChar w:fldCharType="end"/>
      </w:r>
      <w:r w:rsidRPr="00A963A7">
        <w:t>。在风险刻画上，本研究将暴露评估与毒理学基准通过</w:t>
      </w:r>
      <w:r w:rsidRPr="00A963A7">
        <w:t>MOE/EDI</w:t>
      </w:r>
      <w:r w:rsidRPr="00A963A7">
        <w:t>进行对接，使监管目标从</w:t>
      </w:r>
      <w:r w:rsidR="00F3771C">
        <w:rPr>
          <w:rFonts w:hint="eastAsia"/>
        </w:rPr>
        <w:t>“</w:t>
      </w:r>
      <w:r w:rsidRPr="00A963A7">
        <w:t>提高检出</w:t>
      </w:r>
      <w:r w:rsidR="00F3771C">
        <w:rPr>
          <w:rFonts w:hint="eastAsia"/>
        </w:rPr>
        <w:t>”</w:t>
      </w:r>
      <w:r w:rsidRPr="00A963A7">
        <w:t>转向</w:t>
      </w:r>
      <w:r w:rsidR="00F3771C">
        <w:rPr>
          <w:rFonts w:hint="eastAsia"/>
        </w:rPr>
        <w:t>“</w:t>
      </w:r>
      <w:r w:rsidRPr="00A963A7">
        <w:t>降低暴露风险</w:t>
      </w:r>
      <w:r w:rsidR="00F3771C">
        <w:rPr>
          <w:rFonts w:hint="eastAsia"/>
        </w:rPr>
        <w:t>”</w:t>
      </w:r>
      <w:r w:rsidRPr="00A963A7">
        <w:t>，并与遗传毒性致癌物风险管理中常用的优先级讨论形成一致的度量基础</w:t>
      </w:r>
      <w:r w:rsidR="006A73B1">
        <w:fldChar w:fldCharType="begin"/>
      </w:r>
      <w:r w:rsidR="006A73B1">
        <w:instrText xml:space="preserve"> ADDIN ZOTERO_ITEM CSL_CITATION {"citationID":"eWaXFoYY","properties":{"formattedCitation":"(Benford et al., 2010; EFSA Scientific Committee, 2005)","plainCitation":"(Benford et al., 2010; EFSA Scientific Committee, 2005)","noteIndex":0},"citationItems":[{"id":340,"uris":["http://zotero.org/users/17227936/items/6FKSG6UU"],"itemData":{"id":340,"type":"article-journal","abstract":"This paper presents the work of an expert group established by the International Life Sciences Institute –European branch (ILSI Europe) to follow up the recommendations of an international conference on ‘‘Risk Assessment of Compounds that are both Genotoxic and Carcinogenic: New Approaches”. Twelve genotoxic and carcinogenic chemicals that can be present in food were selected for calculation of a Margin of Exposure (MOE) between a point of departure on the dose–response for oral carcinogenicity in animal studies and estimates of human dietary exposure. The MOE can be used to support prioritisation of risk management action and, if the MOE is very large, on communication of a low level of human health concern. Depending on the approaches taken in determining the point of departure and the estimation of exposure, it is possible to derive very different values for the MOE. It is therefore essential that the selection of the cancer endpoint and mathematical treatment of the data are clearly described and justiﬁed if the results of the MOE approach are to be trusted and of value to risk managers. An outline framework for calculating an MOE is proposed in order to help to ensure transparency in the results.","container-title":"Food and Chemical Toxicology","DOI":"10.1016/j.fct.2009.11.003","ISSN":"02786915","journalAbbreviation":"Food and Chemical Toxicology","language":"en","page":"S2-S24","source":"DOI.org (Crossref)","title":"Application of the Margin of Exposure (MOE) approach to substances in food that are genotoxic and carcinogenic","volume":"48","author":[{"family":"Benford","given":"Diane"},{"family":"Bolger","given":"P. Michael"},{"family":"Carthew","given":"Philip"},{"family":"Coulet","given":"Myriam"},{"family":"DiNovi","given":"Michael"},{"family":"Leblanc","given":"Jean-Charles"},{"family":"Renwick","given":"Andrew G."},{"family":"Setzer","given":"Woodrow"},{"family":"Schlatter","given":"Josef"},{"family":"Smith","given":"Benjamin"},{"family":"Slob","given":"Wout"},{"family":"Williams","given":"Gary"},{"family":"Wildemann","given":"Tanja"}],"issued":{"date-parts":[["2010",1]]}}},{"id":417,"uris":["http://zotero.org/users/17227936/items/ICTKSSEK"],"itemData":{"id":417,"type":"article-journal","abstract":"Both favourable and adverse effects on health related to food consumption depend on how much we eat of different ingredients and what these ingredients contain.","container-title":"EFSA Journal","DOI":"10.2903/j.efsa.2005.249","ISSN":"1831-4732","issue":"EFSA Journal","language":"en","source":"DOI.org (CSL JSON)","title":"Opinion of the Scientific Committee on a request from EFSA related to Exposure Assessments","URL":"https://data.europa.eu/doi/10.2903/j.efsa.2005.249","author":[{"literal":"EFSA Scientific Committee"}],"accessed":{"date-parts":[["2025",12,30]]},"issued":{"date-parts":[["2005"]]}}}],"schema":"https://github.com/citation-style-language/schema/raw/master/csl-citation.json"} </w:instrText>
      </w:r>
      <w:r w:rsidR="006A73B1">
        <w:fldChar w:fldCharType="separate"/>
      </w:r>
      <w:r w:rsidR="006A73B1" w:rsidRPr="006A73B1">
        <w:rPr>
          <w:rFonts w:cs="Times New Roman"/>
        </w:rPr>
        <w:t>(Benford et al., 2010; EFSA Scientific Committee, 2005)</w:t>
      </w:r>
      <w:r w:rsidR="006A73B1">
        <w:fldChar w:fldCharType="end"/>
      </w:r>
      <w:r w:rsidRPr="00A963A7">
        <w:t>。在求解层面，针对省份与时间维度下高维信念状态和离散受限动作带来的计算瓶颈，采用深度</w:t>
      </w:r>
      <w:r w:rsidRPr="00A963A7">
        <w:t>Q</w:t>
      </w:r>
      <w:r w:rsidRPr="00A963A7">
        <w:t>网络进行近似动态规划，以函数逼近方式学习价值函数并从可观测特征生成抽检配置决策，为大规模受限</w:t>
      </w:r>
      <w:r w:rsidRPr="00A963A7">
        <w:t>POMDP</w:t>
      </w:r>
      <w:r w:rsidRPr="00A963A7">
        <w:t>在食品监管场景中的可计算化提供方法路径</w:t>
      </w:r>
      <w:r w:rsidR="002F274F">
        <w:fldChar w:fldCharType="begin"/>
      </w:r>
      <w:r w:rsidR="002F274F">
        <w:instrText xml:space="preserve"> ADDIN ZOTERO_ITEM CSL_CITATION {"citationID":"YFa7Rg3A","properties":{"formattedCitation":"(Mnih et al., 2015)","plainCitation":"(Mnih et al., 2015)","noteIndex":0},"citationItems":[{"id":384,"uris":["http://zotero.org/users/17227936/items/97AXAPTT"],"itemData":{"id":384,"type":"article-journal","container-title":"Nature","DOI":"10.1038/nature14236","ISSN":"0028-0836, 1476-4687","issue":"7540","journalAbbreviation":"Nature","language":"en","page":"529-533","source":"DOI.org (Crossref)","title":"Human-level control through deep reinforcement learning","volume":"518","author":[{"family":"Mnih","given":"Volodymyr"},{"family":"Kavukcuoglu","given":"Koray"},{"family":"Silver","given":"David"},{"family":"Rusu","given":"Andrei A."},{"family":"Veness","given":"Joel"},{"family":"Bellemare","given":"Marc G."},{"family":"Graves","given":"Alex"},{"family":"Riedmiller","given":"Martin"},{"family":"Fidjeland","given":"Andreas K."},{"family":"Ostrovski","given":"Georg"},{"family":"Petersen","given":"Stig"},{"family":"Beattie","given":"Charles"},{"family":"Sadik","given":"Amir"},{"family":"Antonoglou","given":"Ioannis"},{"family":"King","given":"Helen"},{"family":"Kumaran","given":"Dharshan"},{"family":"Wierstra","given":"Daan"},{"family":"Legg","given":"Shane"},{"family":"Hassabis","given":"Demis"}],"issued":{"date-parts":[["2015",2,26]]}}}],"schema":"https://github.com/citation-style-language/schema/raw/master/csl-citation.json"} </w:instrText>
      </w:r>
      <w:r w:rsidR="002F274F">
        <w:fldChar w:fldCharType="separate"/>
      </w:r>
      <w:r w:rsidR="002F274F" w:rsidRPr="002F274F">
        <w:rPr>
          <w:rFonts w:cs="Times New Roman"/>
        </w:rPr>
        <w:t>(Mnih et al., 2015)</w:t>
      </w:r>
      <w:r w:rsidR="002F274F">
        <w:fldChar w:fldCharType="end"/>
      </w:r>
      <w:r w:rsidRPr="00A963A7">
        <w:t>。</w:t>
      </w:r>
    </w:p>
    <w:p w14:paraId="4F052B96" w14:textId="466F01CC" w:rsidR="00A963A7" w:rsidRDefault="00A963A7" w:rsidP="004F54AE">
      <w:pPr>
        <w:ind w:firstLine="480"/>
      </w:pPr>
      <w:r>
        <w:rPr>
          <w:rFonts w:hint="eastAsia"/>
        </w:rPr>
        <w:t>(2)</w:t>
      </w:r>
      <w:r>
        <w:rPr>
          <w:rFonts w:hint="eastAsia"/>
        </w:rPr>
        <w:t>实践意义</w:t>
      </w:r>
    </w:p>
    <w:p w14:paraId="6D147EA7" w14:textId="1A9C1D2F" w:rsidR="00A963A7" w:rsidRPr="00A963A7" w:rsidRDefault="00A963A7" w:rsidP="004F54AE">
      <w:pPr>
        <w:ind w:firstLine="480"/>
      </w:pPr>
      <w:r w:rsidRPr="00A963A7">
        <w:t>本研究为食品安全监管资源配置提供了科学的方法支撑与决策工具。该框架输出的是一套可执行的动态抽检规则：即在既定预算与产能约束下，系统地权衡暴露风险降低、抽检与处置成本、以及新增抽检带来的不确定性收敛收益。这一机制使得监管资源配置能够从传统的经验调整转向基于数据的可复现实证与情景评估，从而提升监管决策的科学性与有效性。</w:t>
      </w:r>
    </w:p>
    <w:p w14:paraId="14AB8FD6" w14:textId="78CA729B" w:rsidR="00FD740B" w:rsidRPr="00A00C39" w:rsidRDefault="00616E0E" w:rsidP="002024DD">
      <w:pPr>
        <w:pStyle w:val="1"/>
        <w:spacing w:line="300" w:lineRule="auto"/>
      </w:pPr>
      <w:bookmarkStart w:id="23" w:name="_Toc29126"/>
      <w:bookmarkStart w:id="24" w:name="_Toc218094762"/>
      <w:r w:rsidRPr="00A00C39">
        <w:t>文献综述</w:t>
      </w:r>
      <w:bookmarkStart w:id="25" w:name="_Toc42274129"/>
      <w:bookmarkEnd w:id="23"/>
      <w:bookmarkEnd w:id="24"/>
    </w:p>
    <w:p w14:paraId="14B9CEC6" w14:textId="77777777" w:rsidR="00FD740B" w:rsidRDefault="00616E0E" w:rsidP="002024DD">
      <w:pPr>
        <w:pStyle w:val="1"/>
        <w:numPr>
          <w:ilvl w:val="0"/>
          <w:numId w:val="0"/>
        </w:numPr>
        <w:spacing w:line="300" w:lineRule="auto"/>
      </w:pPr>
      <w:bookmarkStart w:id="26" w:name="_Toc218094763"/>
      <w:r>
        <w:t>Identification of the relevant literature</w:t>
      </w:r>
      <w:bookmarkEnd w:id="25"/>
      <w:bookmarkEnd w:id="26"/>
    </w:p>
    <w:p w14:paraId="373E4717" w14:textId="4E70E5F1" w:rsidR="00FD740B" w:rsidRDefault="00EA7C52" w:rsidP="00EA7C52">
      <w:pPr>
        <w:pStyle w:val="2"/>
      </w:pPr>
      <w:bookmarkStart w:id="27" w:name="_Toc218094764"/>
      <w:r w:rsidRPr="00EA7C52">
        <w:t>质量监管、抽检与召回的激励机制</w:t>
      </w:r>
      <w:bookmarkEnd w:id="27"/>
    </w:p>
    <w:p w14:paraId="6B3A09EE" w14:textId="6D9B1E49" w:rsidR="0009766D" w:rsidRDefault="00EA7C52">
      <w:pPr>
        <w:adjustRightInd w:val="0"/>
        <w:snapToGrid w:val="0"/>
        <w:ind w:firstLine="480"/>
        <w:rPr>
          <w:rFonts w:cs="Times New Roman"/>
        </w:rPr>
      </w:pPr>
      <w:r w:rsidRPr="00EA7C52">
        <w:rPr>
          <w:rFonts w:cs="Times New Roman"/>
        </w:rPr>
        <w:t>在信息不对称的市场环境下，抽样检验不仅是质量验证的手段，更是通过信息获取与激励约束影响供给侧行为的关键机制。</w:t>
      </w:r>
      <w:r w:rsidRPr="00EA7C52">
        <w:rPr>
          <w:rFonts w:cs="Times New Roman"/>
        </w:rPr>
        <w:t>Starbird</w:t>
      </w:r>
      <w:r w:rsidRPr="00EA7C52">
        <w:rPr>
          <w:rFonts w:cs="Times New Roman"/>
        </w:rPr>
        <w:t>（</w:t>
      </w:r>
      <w:r w:rsidRPr="00EA7C52">
        <w:rPr>
          <w:rFonts w:cs="Times New Roman"/>
        </w:rPr>
        <w:t>2005</w:t>
      </w:r>
      <w:r w:rsidRPr="00EA7C52">
        <w:rPr>
          <w:rFonts w:cs="Times New Roman"/>
        </w:rPr>
        <w:t>）基于委托</w:t>
      </w:r>
      <w:r w:rsidRPr="00EA7C52">
        <w:rPr>
          <w:rFonts w:cs="Times New Roman"/>
        </w:rPr>
        <w:t>—</w:t>
      </w:r>
      <w:r w:rsidRPr="00EA7C52">
        <w:rPr>
          <w:rFonts w:cs="Times New Roman"/>
        </w:rPr>
        <w:t>代理框架指出，由</w:t>
      </w:r>
      <w:r w:rsidRPr="00EA7C52">
        <w:rPr>
          <w:rFonts w:cs="Times New Roman"/>
        </w:rPr>
        <w:lastRenderedPageBreak/>
        <w:t>于抽样误差的存在，买方无法完全观测供应商的食品安全努力，这使得抽检强度与责任分担等制度安排不再是单纯的外生变量，而是与企业的质量投入水平通过策略互动形成内生关联。</w:t>
      </w:r>
      <w:r w:rsidR="00A2454D" w:rsidRPr="00A2454D">
        <w:rPr>
          <w:rFonts w:cs="Times New Roman"/>
        </w:rPr>
        <w:t>当企业将抽检风险与处罚后果纳入决策考量时，监管策略能有效改变其利益权衡，促使企业主动调整行为以降低风险，而非仅仅停留在发现当下的不合格产品</w:t>
      </w:r>
      <w:r w:rsidRPr="00A2454D">
        <w:rPr>
          <w:rFonts w:cs="Times New Roman"/>
        </w:rPr>
        <w:fldChar w:fldCharType="begin"/>
      </w:r>
      <w:r w:rsidRPr="00A2454D">
        <w:rPr>
          <w:rFonts w:cs="Times New Roman"/>
        </w:rPr>
        <w:instrText xml:space="preserve"> ADDIN ZOTERO_ITEM CSL_CITATION {"citationID":"i1Bvz1FM","properties":{"formattedCitation":"(Starbird, 2005)","plainCitation":"(Starbird, 2005)","noteIndex":0},"citationItems":[{"id":393,"uris":["http://zotero.org/users/17227936/items/HWQINFPF"],"itemData":{"id":393,"type":"article-journal","abstract":"Abstract\n            Buyers have imperfect information about the food safety efforts exerted by suppliers. To gather information about safety, buyers often employ sampling inspection. Sampling inspection e</w:instrText>
      </w:r>
      <w:r w:rsidRPr="00A2454D">
        <w:rPr>
          <w:rFonts w:cs="Times New Roman" w:hint="eastAsia"/>
        </w:rPr>
        <w:instrText>xhibits sampling error so some unsafe product passes inspection and some safe product does not. This uncertainty influences buyer and supplier behavior. In this article, I use a principal</w:instrText>
      </w:r>
      <w:r w:rsidRPr="00A2454D">
        <w:rPr>
          <w:rFonts w:cs="Times New Roman" w:hint="eastAsia"/>
        </w:rPr>
        <w:instrText>‐</w:instrText>
      </w:r>
      <w:r w:rsidRPr="00A2454D">
        <w:rPr>
          <w:rFonts w:cs="Times New Roman" w:hint="eastAsia"/>
        </w:rPr>
        <w:instrText>agent model to examine how sampling inspection policies influence f</w:instrText>
      </w:r>
      <w:r w:rsidRPr="00A2454D">
        <w:rPr>
          <w:rFonts w:cs="Times New Roman"/>
        </w:rPr>
        <w:instrText xml:space="preserve">ood safety. I use the model to examine the sampling inspection policies in the 1996 Pathogen Reduction/Hazard Analysis Critical Control Point Act. I conclude that the regulation of sampling inspection procedures is an effective tool for policy makers who wish to improve food safety.","container-title":"American Journal of Agricultural Economics","DOI":"10.1111/j.0002-9092.2005.00698.x","ISSN":"0002-9092, 1467-8276","issue":"1","journalAbbreviation":"American J Agri Economics","language":"en","license":"http://onlinelibrary.wiley.com/termsAndConditions#vor","page":"15-27","source":"DOI.org (Crossref)","title":"Moral Hazard, Inspection Policy, and Food Safety","volume":"87","author":[{"family":"Starbird","given":"S. Andrew"}],"issued":{"date-parts":[["2005",2]]}}}],"schema":"https://github.com/citation-style-language/schema/raw/master/csl-citation.json"} </w:instrText>
      </w:r>
      <w:r w:rsidRPr="00A2454D">
        <w:rPr>
          <w:rFonts w:cs="Times New Roman"/>
        </w:rPr>
        <w:fldChar w:fldCharType="separate"/>
      </w:r>
      <w:r w:rsidR="00E2692B" w:rsidRPr="00E2692B">
        <w:rPr>
          <w:rFonts w:cs="Times New Roman"/>
        </w:rPr>
        <w:t>(Starbird, 2005)</w:t>
      </w:r>
      <w:r w:rsidRPr="00A2454D">
        <w:rPr>
          <w:rFonts w:cs="Times New Roman"/>
        </w:rPr>
        <w:fldChar w:fldCharType="end"/>
      </w:r>
      <w:r w:rsidRPr="00A2454D">
        <w:rPr>
          <w:rFonts w:cs="Times New Roman"/>
        </w:rPr>
        <w:t>。</w:t>
      </w:r>
    </w:p>
    <w:p w14:paraId="1B65645B" w14:textId="70F44C51" w:rsidR="00E114BD" w:rsidRDefault="00E114BD">
      <w:pPr>
        <w:adjustRightInd w:val="0"/>
        <w:snapToGrid w:val="0"/>
        <w:ind w:firstLine="480"/>
        <w:rPr>
          <w:rFonts w:cs="Times New Roman"/>
        </w:rPr>
      </w:pPr>
      <w:r w:rsidRPr="00E114BD">
        <w:rPr>
          <w:rFonts w:cs="Times New Roman"/>
        </w:rPr>
        <w:t>针对检查结果与后续质量表现的关联，实证研究表明监管行为具有显著的跨期效应。</w:t>
      </w:r>
      <w:r w:rsidRPr="00E114BD">
        <w:rPr>
          <w:rFonts w:cs="Times New Roman"/>
        </w:rPr>
        <w:t>Ball</w:t>
      </w:r>
      <w:r w:rsidRPr="00E114BD">
        <w:rPr>
          <w:rFonts w:cs="Times New Roman"/>
        </w:rPr>
        <w:t>等（</w:t>
      </w:r>
      <w:r w:rsidRPr="00E114BD">
        <w:rPr>
          <w:rFonts w:cs="Times New Roman"/>
        </w:rPr>
        <w:t>2017</w:t>
      </w:r>
      <w:r w:rsidRPr="00E114BD">
        <w:rPr>
          <w:rFonts w:cs="Times New Roman"/>
        </w:rPr>
        <w:t>）通过分析工厂检查记录与未来召回事件的关联，发现检查结果及检查者经验对后续质量风险具有预测作用。这表明监管投入的效果不仅体现为当期的违规检出，更在于通过组织学习、合规关注与威慑效应重塑企业的未来风险路径。因此，在资源受限的情形下，若仅依据静态检出率或历史平均风险分配抽检资源，将难以捕捉监管介入对企业行为的动态反馈影响</w:t>
      </w:r>
      <w:r>
        <w:rPr>
          <w:rFonts w:cs="Times New Roman"/>
        </w:rPr>
        <w:fldChar w:fldCharType="begin"/>
      </w:r>
      <w:r>
        <w:rPr>
          <w:rFonts w:cs="Times New Roman"/>
        </w:rPr>
        <w:instrText xml:space="preserve"> ADDIN ZOTERO_ITEM CSL_CITATION {"citationID":"2P5nWwp2","properties":{"formattedCitation":"(Ball et al., 2017)","plainCitation":"(Ball et al., 2017)","noteIndex":0},"citationItems":[{"id":369,"uris":["http://zotero.org/users/17227936/items/W8EBT55Z"],"itemData":{"id":369,"type":"article-journal","abstract":"Plant inspections enable ﬁrms to manage their quality risk in global supply chains. However, surprisingly little research examines the relationship between such inspections and future product quality. In this paper, we study how well plant inspection outcomes predict the hazard of a future recall and analyze how investigator experience aﬀects this predictive relationship. Using secondary data spanning a seven-year period in the medical device industry and a recurrent-event Cox proportional hazard model, our analysis shows that inspection outcomes reliably predict future product recalls. However, inspection outcomes become an unreliable predictor of recalls with an increase in sitespeciﬁc investigator experience. Through post hoc analysis, we also show that the hazard of a recall at a plant increases with site-speciﬁc experience, independent of the inspection outcome. Compared to the ﬁrst visit by an investigator, the recall hazard increases by 21% the second time the investigator visits a speciﬁc plant, and by 57% on the third visit. We propose investigator rotation and investigator sequencing as two policies to help mitigate this increased recall risk.","container-title":"Manufacturing &amp; Service Operations Management","DOI":"10.1287/msom.2017.0661","ISSN":"1523-4614, 1526-5498","issue":"4","journalAbbreviation":"M&amp;SOM","language":"en","page":"534-550","source":"DOI.org (Crossref)","title":"Do Plant Inspections Predict Future Quality? The Role of Investigator Experience","title-short":"Do Plant Inspections Predict Future Quality?","volume":"19","author":[{"family":"Ball","given":"George"},{"family":"Siemsen","given":"Enno"},{"family":"Shah","given":"Rachna"}],"issued":{"date-parts":[["2017",10]]}}}],"schema":"https://github.com/citation-style-language/schema/raw/master/csl-citation.json"} </w:instrText>
      </w:r>
      <w:r>
        <w:rPr>
          <w:rFonts w:cs="Times New Roman"/>
        </w:rPr>
        <w:fldChar w:fldCharType="separate"/>
      </w:r>
      <w:r w:rsidR="00E2692B" w:rsidRPr="00E2692B">
        <w:rPr>
          <w:rFonts w:cs="Times New Roman"/>
        </w:rPr>
        <w:t>(Ball et al., 2017)</w:t>
      </w:r>
      <w:r>
        <w:rPr>
          <w:rFonts w:cs="Times New Roman"/>
        </w:rPr>
        <w:fldChar w:fldCharType="end"/>
      </w:r>
      <w:r w:rsidRPr="00E114BD">
        <w:rPr>
          <w:rFonts w:cs="Times New Roman"/>
        </w:rPr>
        <w:t>。</w:t>
      </w:r>
    </w:p>
    <w:p w14:paraId="59D2FF2D" w14:textId="343293CA" w:rsidR="00BC7A3A" w:rsidRDefault="00BC7A3A">
      <w:pPr>
        <w:adjustRightInd w:val="0"/>
        <w:snapToGrid w:val="0"/>
        <w:ind w:firstLine="480"/>
        <w:rPr>
          <w:rFonts w:cs="Times New Roman"/>
        </w:rPr>
      </w:pPr>
      <w:r w:rsidRPr="00BC7A3A">
        <w:rPr>
          <w:rFonts w:cs="Times New Roman"/>
        </w:rPr>
        <w:t>此外，产品召回机制构成了</w:t>
      </w:r>
      <w:r w:rsidR="00292016">
        <w:rPr>
          <w:rFonts w:cs="Times New Roman" w:hint="eastAsia"/>
        </w:rPr>
        <w:t>“</w:t>
      </w:r>
      <w:r w:rsidRPr="00BC7A3A">
        <w:rPr>
          <w:rFonts w:cs="Times New Roman"/>
        </w:rPr>
        <w:t>下游发现</w:t>
      </w:r>
      <w:r w:rsidR="00FB24B2">
        <w:rPr>
          <w:rFonts w:cs="Times New Roman" w:hint="eastAsia"/>
        </w:rPr>
        <w:t>—</w:t>
      </w:r>
      <w:r w:rsidRPr="00BC7A3A">
        <w:rPr>
          <w:rFonts w:cs="Times New Roman"/>
        </w:rPr>
        <w:t>上游担责</w:t>
      </w:r>
      <w:r w:rsidR="00292016">
        <w:rPr>
          <w:rFonts w:cs="Times New Roman" w:hint="eastAsia"/>
        </w:rPr>
        <w:t>”</w:t>
      </w:r>
      <w:r w:rsidRPr="00BC7A3A">
        <w:rPr>
          <w:rFonts w:cs="Times New Roman"/>
        </w:rPr>
        <w:t>的关键闭环。召回事件不仅是对特定质量问题的纠偏，更能通过责任追溯与供应链关系重构影响供给网络的长期行为。</w:t>
      </w:r>
      <w:r w:rsidRPr="00BC7A3A">
        <w:rPr>
          <w:rFonts w:cs="Times New Roman"/>
        </w:rPr>
        <w:t>Zou</w:t>
      </w:r>
      <w:r w:rsidRPr="00BC7A3A">
        <w:rPr>
          <w:rFonts w:cs="Times New Roman"/>
        </w:rPr>
        <w:t>等（</w:t>
      </w:r>
      <w:r w:rsidRPr="00BC7A3A">
        <w:rPr>
          <w:rFonts w:cs="Times New Roman"/>
        </w:rPr>
        <w:t>2023</w:t>
      </w:r>
      <w:r w:rsidRPr="00BC7A3A">
        <w:rPr>
          <w:rFonts w:cs="Times New Roman"/>
        </w:rPr>
        <w:t>）的研究强调了召回后果对供应端创新行为的溢出效应，指出质量风险在主体间具有传导性与长期联动性。这一逻辑支持将召回损失显式纳入监管目标函数：抽检策略与召回机制并非独立的治理模块，二者通过对上游激励的共同作用，构成了治理体系中的动态反馈回路</w:t>
      </w:r>
      <w:r w:rsidR="00AC714A">
        <w:rPr>
          <w:rFonts w:cs="Times New Roman"/>
        </w:rPr>
        <w:fldChar w:fldCharType="begin"/>
      </w:r>
      <w:r w:rsidR="00AC714A">
        <w:rPr>
          <w:rFonts w:cs="Times New Roman"/>
        </w:rPr>
        <w:instrText xml:space="preserve"> ADDIN ZOTERO_ITEM CSL_CITATION {"citationID":"T9OEjsfI","properties":{"formattedCitation":"(Zou et al., 2023)","plainCitation":"(Zou et al., 2023)","noteIndex":0},"citationItems":[{"id":406,"uris":["http://zotero.org/users/17227936/items/E267C7PK"],"itemData":{"id":406,"type":"article-journal","abstract":"Problem definition: Suppliers are increasingly involved in innovation activities that contribute to a firm’s product quality and introduce risks to firms’ quality control, leading to quality failures and recalls. This quality trade-off suggests the possibility of a nonlinear relationship between supplier innovation and product recalls, which is the focus of this research. Recall literature focuses on firms’ internal drivers of recalls, whereas anecdotal evidence increasingly points to the role of external drivers, such as suppliers. We contribute to the literature by examining supplier innovation as an external driver leading to recalls via quality and risk spillovers. Methodology/results: We collect and assemble a unique panel data set of consumer product recalls from firms and their supply bases (i.e., first tier suppliers). We estimate econometric models to examine the nonlinear relationship between supply base innovation, measured by research and development (R&amp;D) intensity of the supply bases, and the likelihood of product recalls. We find a quadratic (i.e., U-shaped) relationship between the probability of recalls and supply base R&amp;D intensity. We also find that this nonlinear relationship is critically related to three specific sources of risk: radicalness of supplier innovation, technological distance between firms and their suppliers, and complexity of supply base. Managerial implications: Our findings suggest that firms should be mindful of the quality trade-offs in encouraging supplier innovation to reduce product recalls. Further, to minimize recall risks, firms should better evaluate and manage the risks associated with external supplier knowledge that is novel and different and closely work with global suppliers to reduce coordination challenges in knowledge transfer and integration.\n            Supplemental Material: The online appendix is available at https://doi.org/10.1287/msom.2023.1213 .","container-title":"Manufacturing &amp; Service Operations Management","DOI":"10.1287/msom.2023.1213","ISSN":"1523-4614, 1526-5498","issue":"5","journalAbbreviation":"M&amp;SOM","language":"en","page":"1931-1946","source":"DOI.org (Crossref)","title":"Product Recalls and Supply Base Innovation","volume":"25","author":[{"family":"Zou","given":"Fan"},{"family":"Dong","given":"Yan"},{"family":"Song","given":"Sining"},{"family":"Rungtusanatham","given":"Manus"}],"issued":{"date-parts":[["2023",9]]}}}],"schema":"https://github.com/citation-style-language/schema/raw/master/csl-citation.json"} </w:instrText>
      </w:r>
      <w:r w:rsidR="00AC714A">
        <w:rPr>
          <w:rFonts w:cs="Times New Roman"/>
        </w:rPr>
        <w:fldChar w:fldCharType="separate"/>
      </w:r>
      <w:r w:rsidR="00E2692B" w:rsidRPr="00E2692B">
        <w:rPr>
          <w:rFonts w:cs="Times New Roman"/>
        </w:rPr>
        <w:t>(Zou et al., 2023)</w:t>
      </w:r>
      <w:r w:rsidR="00AC714A">
        <w:rPr>
          <w:rFonts w:cs="Times New Roman"/>
        </w:rPr>
        <w:fldChar w:fldCharType="end"/>
      </w:r>
      <w:r w:rsidR="00C55D78">
        <w:rPr>
          <w:rFonts w:cs="Times New Roman" w:hint="eastAsia"/>
        </w:rPr>
        <w:t>。</w:t>
      </w:r>
      <w:r w:rsidR="008A17F1" w:rsidRPr="008A17F1">
        <w:rPr>
          <w:rFonts w:cs="Times New Roman"/>
        </w:rPr>
        <w:t>相关研究表明，召回决策的及时性与主动性受高管特征、供应链结构及外部监管压力的共同调节，且逆向召回带来的成本分担机制能有效倒逼上游供应商提升质量</w:t>
      </w:r>
      <w:r w:rsidR="008A17F1">
        <w:rPr>
          <w:rFonts w:cs="Times New Roman"/>
        </w:rPr>
        <w:fldChar w:fldCharType="begin"/>
      </w:r>
      <w:r w:rsidR="00200251">
        <w:rPr>
          <w:rFonts w:cs="Times New Roman"/>
        </w:rPr>
        <w:instrText xml:space="preserve"> ADDIN ZOTERO_ITEM CSL_CITATION {"citationID":"lVGK1YE5","properties":{"formattedCitation":"(Astvansh et al., 2022; Wowak et al., 2021)","plainCitation":"(Astvansh et al., 2022; Wowak et al., 2021)","noteIndex":0},"citationItems":[{"id":364,"uris":["http://zotero.org/users/17227936/items/KJAMKAQA"],"itemData":{"id":364,"type":"article-journal","abstract":"Problem definition: There is a concerted effort across multiple academic disciplines to understand the recall decision-making process. Specifically, what steps does a manufacturer take following a product defect discovery and resulting in the product recall decision? This effort has often been limited to case studies within a particular manufacturer, largely due to the absence of consistent and comparable data across firms. Methodology/results: This data paper provides a foundation for future research on recall decisions by processing and coding textual disclosures on 2,120 recalls initiated in the United States by 27 automobile manufacturers from 2009 to 2018. For each recall, the data set provides the time the firm took to make the recall decision by comparing the defect awareness date to the recall decision date, whether the recall was associated with a supplier, the number of events in the recall decision-making process, and the date and description of each event. Managerial implications: Not only can these data enhance product recall research by providing key recall decision-making variables unavailable in related research, but an additional indication of the value of our data set also comes from National Highway Traffic Safety Administration (NHTSA), the automobile regulator in the United States. We held discussions with a senior leader at the NHTSA’s Recall Management Division related to this data set. This discussion revealed that the NHTSA does not have these data in an analyzable form and that they might be interested in using our data set for their reports, such as the NHTSA’s biennial reports to the U.S. Congress. This signal suggests that regulators, as well as researchers, practitioners, and other safety advocates, may find our data set useful.","container-title":"Manufacturing &amp; Service Operations Management","DOI":"10.1287/msom.2022.1085","ISSN":"1523-4614, 1526-5498","issue":"3","journalAbbreviation":"M&amp;SOM","language":"en","page":"1457-1473","source":"DOI.org (Crossref)","title":"The Recall Decision Exposed: Automobile Recall Timing and Process Data Set","title-short":"The Recall Decision Exposed","volume":"24","author":[{"family":"Astvansh","given":"Vivek"},{"family":"Ball","given":"George P."},{"family":"Josefy","given":"Matthew"}],"issued":{"date-parts":[["2022",5]]}}},{"id":403,"uris":["http://zotero.org/users/17227936/items/7QURRCKQ"],"itemData":{"id":403,"type":"article-journal","abstract":"Problem definition: The influence of female directors on firm decision-making and performance is a frequently studied research topic but has received limited attention in operations management. We investigate if adding female directors to a firm’s board of directors changes whether and how quickly the firm recalls defective products. Academic/practical relevance: By demonstrating a relationship between an increase in female directors and more rule-conscious, customer-focused recall decisions, we highlight that adding female directors may enable more societally beneficial operational decisions. Methodology: We analyze 4,271 medical product recalls from 2002 to 2013 across 92 publicly traded firms regulated by the Food and Drug Administration using negative binomial and ordinary least squares fixed effect regression models. In robustness checks, we include an instrumental variable analysis, propensity score matching models, and reverse causality regression models. Results: As boards add female directors, recall decisions change. Firms initiate more medical product recalls that are low in severity and hence easier for firms to avoid initiating, highlighting the increased rule-following brought to bear by adding female directors. Firms also make faster recall decisions for the most serious defects that are high in severity and dangerous for customers, highlighting the increased stakeholder responsiveness resulting from adding female directors. Managerial implications: Firms may more closely align recall decisions with regulatory rules and become more sensitized to customer health and safety by adding female directors. Further, at least two female directors may be required to speed up recall decisions for the most serious, life-threatening defects.","container-title":"Manufacturing &amp; Service Operations Management","DOI":"10.1287/msom.2019.0841","ISSN":"1523-4614, 1526-5498","issue":"4","journalAbbreviation":"M&amp;SOM","language":"en","page":"895-913","source":"DOI.org (Crossref)","title":"The Influence of Female Directors on Product Recall Decisions","volume":"23","author":[{"family":"Wowak","given":"Kaitlin D."},{"family":"Ball","given":"George P."},{"family":"Post","given":"Corinne"},{"family":"Ketchen","given":"David J."}],"issued":{"date-parts":[["2021",7]]}}}],"schema":"https://github.com/citation-style-language/schema/raw/master/csl-citation.json"} </w:instrText>
      </w:r>
      <w:r w:rsidR="008A17F1">
        <w:rPr>
          <w:rFonts w:cs="Times New Roman"/>
        </w:rPr>
        <w:fldChar w:fldCharType="separate"/>
      </w:r>
      <w:r w:rsidR="00200251" w:rsidRPr="00200251">
        <w:rPr>
          <w:rFonts w:cs="Times New Roman"/>
        </w:rPr>
        <w:t>(Astvansh et al., 2022; Wowak et al., 2021)</w:t>
      </w:r>
      <w:r w:rsidR="008A17F1">
        <w:rPr>
          <w:rFonts w:cs="Times New Roman"/>
        </w:rPr>
        <w:fldChar w:fldCharType="end"/>
      </w:r>
      <w:r w:rsidR="008A17F1">
        <w:rPr>
          <w:rFonts w:cs="Times New Roman" w:hint="eastAsia"/>
        </w:rPr>
        <w:t>。</w:t>
      </w:r>
    </w:p>
    <w:p w14:paraId="7BA1FE8C" w14:textId="77777777" w:rsidR="00B25AA1" w:rsidRDefault="00B25AA1" w:rsidP="00B25AA1">
      <w:pPr>
        <w:pStyle w:val="2"/>
      </w:pPr>
      <w:bookmarkStart w:id="28" w:name="_Toc218094765"/>
      <w:bookmarkStart w:id="29" w:name="_Toc42274130"/>
      <w:r w:rsidRPr="00B25AA1">
        <w:rPr>
          <w:rFonts w:hint="eastAsia"/>
        </w:rPr>
        <w:t>风险导向监测与毒理学风险度量（</w:t>
      </w:r>
      <w:r w:rsidRPr="00B25AA1">
        <w:rPr>
          <w:rFonts w:hint="eastAsia"/>
        </w:rPr>
        <w:t>MOE/EDI</w:t>
      </w:r>
      <w:r w:rsidRPr="00B25AA1">
        <w:rPr>
          <w:rFonts w:hint="eastAsia"/>
        </w:rPr>
        <w:t>）</w:t>
      </w:r>
      <w:bookmarkEnd w:id="28"/>
    </w:p>
    <w:p w14:paraId="51EBA7AE" w14:textId="247DA15D" w:rsidR="00C72ACE" w:rsidRDefault="00F64B7F" w:rsidP="005C5EBB">
      <w:pPr>
        <w:ind w:firstLine="480"/>
      </w:pPr>
      <w:r>
        <w:rPr>
          <w:rFonts w:hint="eastAsia"/>
        </w:rPr>
        <w:t>在预算约束与检测能力受限的条件下，“风险导向”已成为食品安全监管资源配置的主流范式。现有的风险导向</w:t>
      </w:r>
      <w:r w:rsidR="00995EC2">
        <w:rPr>
          <w:rFonts w:hint="eastAsia"/>
        </w:rPr>
        <w:t>研究</w:t>
      </w:r>
      <w:r>
        <w:rPr>
          <w:rFonts w:hint="eastAsia"/>
        </w:rPr>
        <w:t>主要依赖企业规模、历史监测记录以及社会经济因素等代理指标来评估违规概率，并据此制定差异化的检查方案</w:t>
      </w:r>
      <w:r w:rsidR="003B1B0E">
        <w:fldChar w:fldCharType="begin"/>
      </w:r>
      <w:r w:rsidR="003B1B0E">
        <w:instrText xml:space="preserve"> ADDIN ZOTERO_ITEM CSL_CITATION {"citationID":"QeFOjhWj","properties":{"formattedCitation":"(Van Asselt et al., 2021)","plainCitation":"(Van Asselt et al., 2021)","noteIndex":0},"citationItems":[{"id":396,"uris":["http://zotero.org/users/17227936/items/8D</w:instrText>
      </w:r>
      <w:r w:rsidR="003B1B0E">
        <w:rPr>
          <w:rFonts w:hint="eastAsia"/>
        </w:rPr>
        <w:instrText>NMGWDQ"],"itemData":{"id":396,"type":"article-journal","abstract":"Abstract\n              Risk</w:instrText>
      </w:r>
      <w:r w:rsidR="003B1B0E">
        <w:rPr>
          <w:rFonts w:hint="eastAsia"/>
        </w:rPr>
        <w:instrText>‐</w:instrText>
      </w:r>
      <w:r w:rsidR="003B1B0E">
        <w:rPr>
          <w:rFonts w:hint="eastAsia"/>
        </w:rPr>
        <w:instrText>based monitoring programs are increasingly applied for cost</w:instrText>
      </w:r>
      <w:r w:rsidR="003B1B0E">
        <w:rPr>
          <w:rFonts w:hint="eastAsia"/>
        </w:rPr>
        <w:instrText>‐</w:instrText>
      </w:r>
      <w:r w:rsidR="003B1B0E">
        <w:rPr>
          <w:rFonts w:hint="eastAsia"/>
        </w:rPr>
        <w:instrText>effective monitoring of food safety. Such programs ideally consist of three steps: risk</w:instrText>
      </w:r>
      <w:r w:rsidR="003B1B0E">
        <w:rPr>
          <w:rFonts w:hint="eastAsia"/>
        </w:rPr>
        <w:instrText>‐</w:instrText>
      </w:r>
      <w:r w:rsidR="003B1B0E">
        <w:rPr>
          <w:rFonts w:hint="eastAsia"/>
        </w:rPr>
        <w:instrText>ranking, risk</w:instrText>
      </w:r>
      <w:r w:rsidR="003B1B0E">
        <w:rPr>
          <w:rFonts w:hint="eastAsia"/>
        </w:rPr>
        <w:instrText>‐</w:instrText>
      </w:r>
      <w:r w:rsidR="003B1B0E">
        <w:rPr>
          <w:rFonts w:hint="eastAsia"/>
        </w:rPr>
        <w:instrText>based inspections, and cost</w:instrText>
      </w:r>
      <w:r w:rsidR="003B1B0E">
        <w:rPr>
          <w:rFonts w:hint="eastAsia"/>
        </w:rPr>
        <w:instrText>‐</w:instrText>
      </w:r>
      <w:r w:rsidR="003B1B0E">
        <w:rPr>
          <w:rFonts w:hint="eastAsia"/>
        </w:rPr>
        <w:instrText>effective monitoring. Various methods have been described to perform the first step of risk</w:instrText>
      </w:r>
      <w:r w:rsidR="003B1B0E">
        <w:rPr>
          <w:rFonts w:hint="eastAsia"/>
        </w:rPr>
        <w:instrText>‐</w:instrText>
      </w:r>
      <w:r w:rsidR="003B1B0E">
        <w:rPr>
          <w:rFonts w:hint="eastAsia"/>
        </w:rPr>
        <w:instrText>based monitoring. However, once the risk</w:instrText>
      </w:r>
      <w:r w:rsidR="003B1B0E">
        <w:rPr>
          <w:rFonts w:hint="eastAsia"/>
        </w:rPr>
        <w:instrText>‐</w:instrText>
      </w:r>
      <w:r w:rsidR="003B1B0E">
        <w:rPr>
          <w:rFonts w:hint="eastAsia"/>
        </w:rPr>
        <w:instrText>ranking has been completed, identifying the hazard</w:instrText>
      </w:r>
      <w:r w:rsidR="003B1B0E">
        <w:rPr>
          <w:rFonts w:hint="eastAsia"/>
        </w:rPr>
        <w:instrText>‐</w:instrText>
      </w:r>
      <w:r w:rsidR="003B1B0E">
        <w:rPr>
          <w:rFonts w:hint="eastAsia"/>
        </w:rPr>
        <w:instrText>food combinations to monitor, the frequency of inspection needs to be established based on a prioritization of food business operators (FBOs). The aim of this paper is to provide an overview of methods available for risk</w:instrText>
      </w:r>
      <w:r w:rsidR="003B1B0E">
        <w:rPr>
          <w:rFonts w:hint="eastAsia"/>
        </w:rPr>
        <w:instrText>‐</w:instrText>
      </w:r>
      <w:r w:rsidR="003B1B0E">
        <w:rPr>
          <w:rFonts w:hint="eastAsia"/>
        </w:rPr>
        <w:instrText>based inspections. Literature shows that FBO's food safety compliance can be assessed based on company size, historical monitoring data, and socio</w:instrText>
      </w:r>
      <w:r w:rsidR="003B1B0E">
        <w:rPr>
          <w:rFonts w:hint="eastAsia"/>
        </w:rPr>
        <w:instrText>‐</w:instrText>
      </w:r>
      <w:r w:rsidR="003B1B0E">
        <w:rPr>
          <w:rFonts w:hint="eastAsia"/>
        </w:rPr>
        <w:instrText>economic factors influencing compliance behavior. Non</w:instrText>
      </w:r>
      <w:r w:rsidR="003B1B0E">
        <w:rPr>
          <w:rFonts w:hint="eastAsia"/>
        </w:rPr>
        <w:instrText>‐</w:instrText>
      </w:r>
      <w:r w:rsidR="003B1B0E">
        <w:rPr>
          <w:rFonts w:hint="eastAsia"/>
        </w:rPr>
        <w:instrText>compliance can either be intentional or unintentional. The latter can be assessed by evaluating the food safety culture of a com</w:instrText>
      </w:r>
      <w:r w:rsidR="003B1B0E">
        <w:instrText>pany. Various models—ranging from qualitative (e.g., focus groups) to quantitative (e.g., scoring)—can be used for this purpose. These models usually include an evaluation of the organizational structure (e.g., management control, communication, commitmen</w:instrText>
      </w:r>
      <w:r w:rsidR="003B1B0E">
        <w:rPr>
          <w:rFonts w:hint="eastAsia"/>
        </w:rPr>
        <w:instrText>t), the technical food safety environment (e.g., hygienic design, zoning), and employee characteristics (e.g., knowledge, risk awareness). Intentional non</w:instrText>
      </w:r>
      <w:r w:rsidR="003B1B0E">
        <w:rPr>
          <w:rFonts w:hint="eastAsia"/>
        </w:rPr>
        <w:instrText>‐</w:instrText>
      </w:r>
      <w:r w:rsidR="003B1B0E">
        <w:rPr>
          <w:rFonts w:hint="eastAsia"/>
        </w:rPr>
        <w:instrText>compliance can be assessed using food fraud vulnerability tools. These tools incorporate factors influencing the likelihood of food fraud at the company, that is, opportunity, motivation, and (lack of) control measures. The literature indicates that either self</w:instrText>
      </w:r>
      <w:r w:rsidR="003B1B0E">
        <w:rPr>
          <w:rFonts w:hint="eastAsia"/>
        </w:rPr>
        <w:instrText>‐</w:instrText>
      </w:r>
      <w:r w:rsidR="003B1B0E">
        <w:rPr>
          <w:rFonts w:hint="eastAsia"/>
        </w:rPr>
        <w:instrText>assessment tools or risk matrices are applied. There is no global consensus on the methods to apply for risk</w:instrText>
      </w:r>
      <w:r w:rsidR="003B1B0E">
        <w:rPr>
          <w:rFonts w:hint="eastAsia"/>
        </w:rPr>
        <w:instrText>‐</w:instrText>
      </w:r>
      <w:r w:rsidR="003B1B0E">
        <w:rPr>
          <w:rFonts w:hint="eastAsia"/>
        </w:rPr>
        <w:instrText>based inspections. Depending on time and budget available as well as preferred output, one of the presented methods may be applied for prioritizing FBOs.","container-title":"Journal of Food Science","DOI":"10.1111/1750-3841.15978","ISSN":"0022-1147, 1750-3841","issue":"12","journalAbbreviation":"Journal of Food Science","language":"en","page":"5078-5086","source":"DOI.org (Crossref)","title":"Methods to perform risk</w:instrText>
      </w:r>
      <w:r w:rsidR="003B1B0E">
        <w:rPr>
          <w:rFonts w:hint="eastAsia"/>
        </w:rPr>
        <w:instrText>‐</w:instrText>
      </w:r>
      <w:r w:rsidR="003B1B0E">
        <w:rPr>
          <w:rFonts w:hint="eastAsia"/>
        </w:rPr>
        <w:instrText>based inspections of food companies","volume":"86","author":[{"family":"Van Asselt","given":"E.D."},{"family":"Hoffmans","given":"Y."},{"family":"Hoek</w:instrText>
      </w:r>
      <w:r w:rsidR="003B1B0E">
        <w:rPr>
          <w:rFonts w:hint="eastAsia"/>
        </w:rPr>
        <w:instrText>‐</w:instrText>
      </w:r>
      <w:r w:rsidR="003B1B0E">
        <w:rPr>
          <w:rFonts w:hint="eastAsia"/>
        </w:rPr>
        <w:instrText xml:space="preserve"> Van Den Hil","given":"E.F."},{"family":"Van Der Fels</w:instrText>
      </w:r>
      <w:r w:rsidR="003B1B0E">
        <w:rPr>
          <w:rFonts w:hint="eastAsia"/>
        </w:rPr>
        <w:instrText>‐</w:instrText>
      </w:r>
      <w:r w:rsidR="003B1B0E">
        <w:rPr>
          <w:rFonts w:hint="eastAsia"/>
        </w:rPr>
        <w:instrText>Klerx","given":"H.J."}],"issued":{"date-parts":[["2021",12]]}}}],"schema":"https://github.com/citation-style-language/schema</w:instrText>
      </w:r>
      <w:r w:rsidR="003B1B0E">
        <w:instrText xml:space="preserve">/raw/master/csl-citation.json"} </w:instrText>
      </w:r>
      <w:r w:rsidR="003B1B0E">
        <w:fldChar w:fldCharType="separate"/>
      </w:r>
      <w:r w:rsidR="00E2692B" w:rsidRPr="00E2692B">
        <w:rPr>
          <w:rFonts w:cs="Times New Roman"/>
        </w:rPr>
        <w:t>(Van Asselt et al., 2021)</w:t>
      </w:r>
      <w:r w:rsidR="003B1B0E">
        <w:fldChar w:fldCharType="end"/>
      </w:r>
      <w:r>
        <w:rPr>
          <w:rFonts w:hint="eastAsia"/>
        </w:rPr>
        <w:t>。</w:t>
      </w:r>
    </w:p>
    <w:p w14:paraId="22E74DF0" w14:textId="37B90194" w:rsidR="00F64B7F" w:rsidRDefault="00F64B7F" w:rsidP="005C5EBB">
      <w:pPr>
        <w:ind w:firstLine="480"/>
      </w:pPr>
      <w:r>
        <w:rPr>
          <w:rFonts w:hint="eastAsia"/>
        </w:rPr>
        <w:t>为了将监管目标从“合规监管”提升至“健康效益”层面，</w:t>
      </w:r>
      <w:r w:rsidR="000D7AE5">
        <w:rPr>
          <w:rFonts w:hint="eastAsia"/>
        </w:rPr>
        <w:t>需要</w:t>
      </w:r>
      <w:r>
        <w:rPr>
          <w:rFonts w:hint="eastAsia"/>
        </w:rPr>
        <w:t>将暴露评估与毒理学基准纳入量化指标。对于遗传毒性致癌物，暴露限值（</w:t>
      </w:r>
      <w:r>
        <w:rPr>
          <w:rFonts w:hint="eastAsia"/>
        </w:rPr>
        <w:t>Margin of Exposure, MOE</w:t>
      </w:r>
      <w:r>
        <w:rPr>
          <w:rFonts w:hint="eastAsia"/>
        </w:rPr>
        <w:t>）作为表征人群膳食暴露量与毒理学效应观察点（</w:t>
      </w:r>
      <w:r>
        <w:rPr>
          <w:rFonts w:hint="eastAsia"/>
        </w:rPr>
        <w:t>Point of Departure</w:t>
      </w:r>
      <w:r>
        <w:rPr>
          <w:rFonts w:hint="eastAsia"/>
        </w:rPr>
        <w:t>）之间距离的关键指标，被广泛用于风险表征与优先级管理</w:t>
      </w:r>
      <w:r w:rsidR="00B3656F">
        <w:fldChar w:fldCharType="begin"/>
      </w:r>
      <w:r w:rsidR="00B3656F">
        <w:instrText xml:space="preserve"> ADDIN ZOTERO_ITEM CSL_CITATION {"citationID":"USUrnHhE","properties":{"formattedCitation":"(Benford et al., 2010; EFSA Scientific Committee, 2005)","plainCitation":"(Benford et al., 2010; EFSA Scientific Committee, 2005)","noteIndex":0},"citationItems":[{"id":340,"uris":["http://zotero.org/users/17227936/items/6FKSG6UU"],"itemData":{"id":340,"type":"article-journal","abstract":"This paper presents the work of an expert group established by the International Life Sciences Institute –European branch (ILSI Europe) to follow up the recommendations of an international conference on ‘‘Risk Assessment of Compounds that are both Genotoxic and Carcinogenic: New Approaches”. Twelve genotoxic and carcinogenic chemicals that can be present in food were selected for calculation of a Margin of Exposure (MOE) between a point of departure on the dose–response for oral carcinogenicity in animal studies and estimates of human dietary exposure. The MOE can be used to support prioritisation of risk management action and, if the MOE is very large, on communication of a low level of human health concern. Depending on the approaches taken in determining the point of departure and the estimation of exposure, it is possible to derive very different values for the MOE. It is therefore essential that the selection of the cancer endpoint and mathematical treatment of the data are clearly described and justiﬁed if the results of the MOE approach are to be trusted and of value to risk managers. An outline framework for calculating an MOE is proposed in order to help to ensure transparency in the results.","container-title":"Food and Chemical Toxicology","DOI":"10.1016/j.fct.2009.11.003","ISSN":"02786915","journalAbbreviation":"Food and Chemical Toxicology","language":"en","page":"S2-S24","source":"DOI.org (Crossref)","title":"Application of the Margin of Exposure (MOE) approach to substances in food that are genotoxic and carcinogenic","volume":"48","author":[{"family":"Benford","given":"Diane"},{"family":"Bolger","given":"P. Michael"},{"family":"Carthew","given":"Philip"},{"family":"Coulet","given":"Myriam"},{"family":"DiNovi","given":"Michael"},{"family":"Leblanc","given":"Jean-Charles"},{"family":"Renwick","given":"Andrew G."},{"family":"Setzer","given":"Woodrow"},{"family":"Schlatter","given":"Josef"},{"family":"Smith","given":"Benjamin"},{"family":"Slob","given":"Wout"},{"family":"Williams","given":"Gary"},{"family":"Wildemann","given":"Tanja"}],"issued":{"date-parts":[["2010",1]]}}},{"id":417,"uris":["http://zotero.org/users/17227936/items/ICTKSSEK"],"itemData":{"id":417,"type":"article-journal","abstract":"Both favourable and adverse effects on health related to food consumption depend on how much we eat of different ingredients and what these ingredients contain.","container-title":"EFSA Journal","DOI":"10.2903/j.efsa.2005.249","ISSN":"1831-4732","issue":"EFSA Journal","language":"en","source":"DOI.org (CSL JSON)","title":"Opinion of the Scientific Committee on a request from EFSA related to Exposure Assessments","URL":"https://data.europa.eu/doi/10.2903/j.efsa.2005.249","author":[{"literal":"EFSA Scientific Committee"}],"accessed":{"date-parts":[["2025",12,30]]},"issued":{"date-parts":[["2005"]]}}}],"schema":"https://github.com/citation-style-language/schema/raw/master/csl-citation.json"} </w:instrText>
      </w:r>
      <w:r w:rsidR="00B3656F">
        <w:fldChar w:fldCharType="separate"/>
      </w:r>
      <w:r w:rsidR="00E2692B" w:rsidRPr="00E2692B">
        <w:rPr>
          <w:rFonts w:cs="Times New Roman"/>
        </w:rPr>
        <w:t>(Benford et al., 2010; EFSA Scientific Committee, 2005)</w:t>
      </w:r>
      <w:r w:rsidR="00B3656F">
        <w:fldChar w:fldCharType="end"/>
      </w:r>
      <w:r>
        <w:rPr>
          <w:rFonts w:hint="eastAsia"/>
        </w:rPr>
        <w:t>。在政策实践中，监管机构通常设定特定的</w:t>
      </w:r>
      <w:r>
        <w:rPr>
          <w:rFonts w:hint="eastAsia"/>
        </w:rPr>
        <w:t>MOE</w:t>
      </w:r>
      <w:r>
        <w:rPr>
          <w:rFonts w:hint="eastAsia"/>
        </w:rPr>
        <w:t>阈值（如</w:t>
      </w:r>
      <w:r>
        <w:rPr>
          <w:rFonts w:hint="eastAsia"/>
        </w:rPr>
        <w:t>10,000</w:t>
      </w:r>
      <w:r>
        <w:rPr>
          <w:rFonts w:hint="eastAsia"/>
        </w:rPr>
        <w:t>）来界定“公共卫生关注度”，使毒理学指标能够以标准化的方式转化为具体的政策行动与决策</w:t>
      </w:r>
      <w:r w:rsidR="001039FD">
        <w:fldChar w:fldCharType="begin"/>
      </w:r>
      <w:r w:rsidR="001039FD">
        <w:instrText xml:space="preserve"> ADDIN ZOTERO_ITEM CSL_CITATION {"citationID":"Sks4SxPW","properties":{"formattedCitation":"(EFSA Scientific Committee, 2005)","plainCitation":"(EFSA Scientific Committee, 2005)","noteIndex":0},"citationItems":[{"id":417,"uris":["http://zotero.org/users/17227936/items/ICTKSSEK"],"itemData":{"id":417,"type":"article-journal","abstract":"Both favourable and adverse effects on health related to food consumption depend on how much we eat of different ingredients and what these ingredients contain.","container-title":"EFSA Journal","DOI":"10.2903/j.efsa.2005.249","ISSN":"1831-4732","issue":"EFSA Journal","language":"en","source":"DOI.org (CSL JSON)","title":"Opinion of the Scientific Committee on a request from EFSA related to Exposure Assessments","URL":"https://data.europa.eu/doi/10.2903/j.efsa.2005.249","author":[{"literal":"EFSA Scientific Committee"}],"accessed":{"date-parts":[["2025",12,30]]},"issued":{"date-parts":[["2005"]]}}}],"schema":"https://github.com/citation-style-language/schema/raw/master/csl-citation.json"} </w:instrText>
      </w:r>
      <w:r w:rsidR="001039FD">
        <w:fldChar w:fldCharType="separate"/>
      </w:r>
      <w:r w:rsidR="00E2692B" w:rsidRPr="00E2692B">
        <w:rPr>
          <w:rFonts w:cs="Times New Roman"/>
        </w:rPr>
        <w:t>(EFSA Scientific Committee, 2005)</w:t>
      </w:r>
      <w:r w:rsidR="001039FD">
        <w:fldChar w:fldCharType="end"/>
      </w:r>
      <w:r>
        <w:rPr>
          <w:rFonts w:hint="eastAsia"/>
        </w:rPr>
        <w:t>。</w:t>
      </w:r>
    </w:p>
    <w:p w14:paraId="2A55F611" w14:textId="6CA0EB5C" w:rsidR="00073B1D" w:rsidRDefault="00073B1D" w:rsidP="00073B1D">
      <w:pPr>
        <w:pStyle w:val="2"/>
      </w:pPr>
      <w:bookmarkStart w:id="30" w:name="_Toc218094766"/>
      <w:r w:rsidRPr="00073B1D">
        <w:t>部分可观测决策与受限优化（</w:t>
      </w:r>
      <w:r w:rsidRPr="00073B1D">
        <w:t>POMDP/CMDP</w:t>
      </w:r>
      <w:r w:rsidRPr="00073B1D">
        <w:t>）</w:t>
      </w:r>
      <w:bookmarkEnd w:id="30"/>
    </w:p>
    <w:p w14:paraId="2F0245FD" w14:textId="0B0B306B" w:rsidR="00073B1D" w:rsidRDefault="00DE2D7F" w:rsidP="00912EB5">
      <w:pPr>
        <w:ind w:firstLine="480"/>
      </w:pPr>
      <w:r w:rsidRPr="00C926FF">
        <w:t>在食品安全监管的真实场景中，监管机构面临的首要结构性难题是信息的非完备性与状态的隐蔽性。由于受监管对象的真实污染水平（隐状态）无法被直接观测，监管者仅能通过抽样检验获取含有随机噪声的有限信号。针对这一特征，</w:t>
      </w:r>
      <w:r w:rsidRPr="00C926FF">
        <w:t>Smallwood</w:t>
      </w:r>
      <w:r w:rsidRPr="00C926FF">
        <w:t>与</w:t>
      </w:r>
      <w:r w:rsidRPr="00C926FF">
        <w:t>Sondik</w:t>
      </w:r>
      <w:r w:rsidRPr="00C926FF">
        <w:t>（</w:t>
      </w:r>
      <w:r w:rsidRPr="00C926FF">
        <w:t>1973</w:t>
      </w:r>
      <w:r w:rsidRPr="00C926FF">
        <w:t>）在有限视域下确立了部分可观测马尔可夫决策过程（</w:t>
      </w:r>
      <w:r w:rsidRPr="00C926FF">
        <w:t>POMDP</w:t>
      </w:r>
      <w:r w:rsidRPr="00C926FF">
        <w:t>）的最优控制框架。</w:t>
      </w:r>
      <w:r w:rsidRPr="00C926FF">
        <w:lastRenderedPageBreak/>
        <w:t>该理论证明，尽管物理状态不可见，但通过维护一个关于系统状态的概率分布（即</w:t>
      </w:r>
      <w:r w:rsidR="00C926FF">
        <w:rPr>
          <w:rFonts w:hint="eastAsia"/>
        </w:rPr>
        <w:t>“</w:t>
      </w:r>
      <w:r w:rsidRPr="00C926FF">
        <w:t>信念状态</w:t>
      </w:r>
      <w:r w:rsidR="00C926FF">
        <w:rPr>
          <w:rFonts w:hint="eastAsia"/>
        </w:rPr>
        <w:t>”</w:t>
      </w:r>
      <w:r w:rsidRPr="00C926FF">
        <w:t>），可以将原本不可观测的优化问题转化为信念空间上的完全观测问题，且其最优值函数呈现分段线性凸函数（</w:t>
      </w:r>
      <w:r w:rsidRPr="00C926FF">
        <w:t>PWLC</w:t>
      </w:r>
      <w:r w:rsidRPr="00C926FF">
        <w:t>）的结构特征</w:t>
      </w:r>
      <w:r w:rsidR="0011634D">
        <w:fldChar w:fldCharType="begin"/>
      </w:r>
      <w:r w:rsidR="0011634D">
        <w:instrText xml:space="preserve"> ADDIN ZOTERO_ITEM CSL_CITATION {"citationID":"vUZWimEG","properties":{"formattedCitation":"(Smallwood &amp; Sondik, 1973)","plainCitation":"(Smallwood &amp; Sondik, 1973)","noteIndex":0},"citationItems":[{"id":389,"uris":["http://zotero.org/users/17227936/items/Z6KQVQBU"],"itemData":{"id":389,"type":"article-journal","abstract":"This paper formulates the optimal control problem for a class of mathematical models in which the system to be controlled is characterized by a finite-state discrete-time Markov process. The states of this internal process are not directly observable by the controller; rather, he has available a set of observable outputs that are only probabilistically related to the internal state of the system. The formulation is illustrated by a simple machine-maintenance example, and other specific application areas are also discussed. The paper demonstrates that, if there are only a finite number of control intervals remaining, then the optimal payoff function is a piecewise-linear, convex function of the current state probabilities of the internal Markov process. In addition, an algorithm for utilizing this property to calculate the optimal control policy and payoff function for any finite horizon is outlined. These results are illustrated by a numerical example for the machine-maintenance problem.","container-title":"Operations Research","DOI":"10.1287/opre.21.5.1071","ISSN":"0030-364X, 1526-5463","issue":"5","journalAbbreviation":"Operations Research","language":"en","page":"1071-1088","source":"DOI.org (Crossref)","title":"The Optimal Control of Partially Observable Markov Processes over a Finite Horizon","volume":"21","author":[{"family":"Smallwood","given":"Richard D."},{"family":"Sondik","given":"Edward J."}],"issued":{"date-parts":[["1973",10]]}}}],"schema":"https://github.com/citation-style-language/schema/raw/master/csl-citation.json"} </w:instrText>
      </w:r>
      <w:r w:rsidR="0011634D">
        <w:fldChar w:fldCharType="separate"/>
      </w:r>
      <w:r w:rsidR="00E2692B" w:rsidRPr="00E2692B">
        <w:rPr>
          <w:rFonts w:cs="Times New Roman"/>
        </w:rPr>
        <w:t>(Smallwood &amp; Sondik, 1973)</w:t>
      </w:r>
      <w:r w:rsidR="0011634D">
        <w:fldChar w:fldCharType="end"/>
      </w:r>
      <w:r w:rsidRPr="00C926FF">
        <w:t>。</w:t>
      </w:r>
      <w:r w:rsidRPr="00C926FF">
        <w:t>Monahan</w:t>
      </w:r>
      <w:r w:rsidRPr="00C926FF">
        <w:t>（</w:t>
      </w:r>
      <w:r w:rsidRPr="00C926FF">
        <w:t>1982</w:t>
      </w:r>
      <w:r w:rsidRPr="00C926FF">
        <w:t>）进一步从算法实现角度指出，信念状态构成了历史观测与行动的充分统计量。</w:t>
      </w:r>
      <w:r w:rsidR="00382947" w:rsidRPr="00382947">
        <w:rPr>
          <w:rFonts w:hint="eastAsia"/>
        </w:rPr>
        <w:t>在这一框架下，抽检不再仅仅是判定合格与否的静态动作，而是既作为针对当期风险的直接控制手段，又作为动态的信息获取机制，通过贝叶斯更新修正后验概率以降低系统的认知不确定性</w:t>
      </w:r>
      <w:r w:rsidR="006F5F88">
        <w:fldChar w:fldCharType="begin"/>
      </w:r>
      <w:r w:rsidR="001E7021">
        <w:instrText xml:space="preserve"> ADDIN ZOTERO_ITEM CSL_CITATION {"citationID":"o1OIW4yr","properties":{"formattedCitation":"(Kaelbling et al., 1998; Monahan, 1982)","plainCitation":"(Kaelbling et al., 1998; Monahan, 1982)","noteIndex":0},"citationItems":[{"id":380,"uris":["http://zotero.org/users/17227936/items/M46CZJE7"],"itemData":{"id":380,"type":"article-journal","abstract":"In this paper, we bring techniques from operations research to bear on the problem of choosing optimal actions in partially observable stochastic domains. We begin by introducing the theory of Markov decision processes (MDPS) and partially observable MDPS (POMDPS). We then outline a novel algorithm for solving POMDPS off line and show how, in some cases, a finite-memory controller can be extracted from the solution to a POMDP. We conclude with a discussion of how our approach relates to previous work, the complexity of finding exact solutions to POMDPS, and of some possibilities for finding approximate solutions. 0 1998 Elsevier Science B.V. All rights reserved.","container-title":"Artificial Intelligence","DOI":"10.1016/S0004-3702(98)00023-X","ISSN":"00043702","issue":"1-2","journalAbbreviation":"Artificial Intelligence","language":"en","license":"https://www.elsevier.com/tdm/userlicense/1.0/","page":"99-134","source":"DOI.org (Crossref)","title":"Planning and acting in partially observable stochastic domains","volume":"101","author":[{"family":"Kaelbling","given":"Leslie Pack"},{"family":"Littman","given":"Michael L."},{"family":"Cassandra","given":"Anthony R."}],"issued":{"date-parts":[["1998",5]]}}},{"id":385,"uris":["http://zotero.org/users/17227936/items/3DXISB2Z"],"itemData":{"id":385,"type":"article-journal","abstract":"This paper surveys models and algorithms dealing with partially observable Markov decision processes. A partially observable Markov decision process (POMDP) is a generalization of a Markov decision process which permits uncertainty regarding the state of a Markov process and allows for state information acquisition. A general framework for finite state and action POMDP's is presented. Next, there is a brief discussion of the development of POMDP's and their relationship with other decision processes. A wide range of models in such areas as quality control, machine maintenance, internal auditing, learning, and optimal stopping are discussed within the POMDP-framework. Lastly, algorithms for computing optimal solutions to POMDP's are presented.","container-title":"Management Science","DOI":"10.1287/mnsc.28.1.1","ISSN":"0025-1909, 1526-5501","issue":"1","journalAbbreviation":"Management Science","language":"en","page":"1-16","source":"DOI.org (Crossref)","title":"State of the Art—A Survey of Partially Observable Markov Decision Processes: Theory, Models, and Algorithms","title-short":"State of the Art—A Survey of Partially Observable Markov Decision Processes","volume":"28","author":[{"family":"Monahan","given":"George E."}],"issued":{"date-parts":[["1982",1]]}}}],"schema":"https://github.com/citation-style-language/schema/raw/master/csl-citation.json"} </w:instrText>
      </w:r>
      <w:r w:rsidR="006F5F88">
        <w:fldChar w:fldCharType="separate"/>
      </w:r>
      <w:r w:rsidR="001E7021" w:rsidRPr="001E7021">
        <w:rPr>
          <w:rFonts w:cs="Times New Roman"/>
        </w:rPr>
        <w:t>(Kaelbling et al., 1998; Monahan, 1982)</w:t>
      </w:r>
      <w:r w:rsidR="006F5F88">
        <w:fldChar w:fldCharType="end"/>
      </w:r>
      <w:r w:rsidRPr="00C926FF">
        <w:t>。</w:t>
      </w:r>
      <w:r w:rsidR="003F192C" w:rsidRPr="00D909BF">
        <w:t>因此，构建信念</w:t>
      </w:r>
      <w:r w:rsidR="003F192C" w:rsidRPr="00D909BF">
        <w:t>MDP</w:t>
      </w:r>
      <w:r w:rsidR="003F192C" w:rsidRPr="00D909BF">
        <w:t>（</w:t>
      </w:r>
      <w:r w:rsidR="003F192C" w:rsidRPr="00D909BF">
        <w:t>Belief-MDP</w:t>
      </w:r>
      <w:r w:rsidR="003F192C" w:rsidRPr="00D909BF">
        <w:t>）模型，能够为</w:t>
      </w:r>
      <w:r w:rsidR="00BB678E">
        <w:rPr>
          <w:rFonts w:hint="eastAsia"/>
        </w:rPr>
        <w:t>“</w:t>
      </w:r>
      <w:r w:rsidR="003F192C" w:rsidRPr="00D909BF">
        <w:t>观测</w:t>
      </w:r>
      <w:r w:rsidR="00403C6E">
        <w:rPr>
          <w:rFonts w:hint="eastAsia"/>
        </w:rPr>
        <w:t>—</w:t>
      </w:r>
      <w:r w:rsidR="003F192C" w:rsidRPr="00D909BF">
        <w:t>信念更新</w:t>
      </w:r>
      <w:r w:rsidR="00403C6E">
        <w:rPr>
          <w:rFonts w:hint="eastAsia"/>
        </w:rPr>
        <w:t>—</w:t>
      </w:r>
      <w:r w:rsidR="003F192C" w:rsidRPr="00D909BF">
        <w:t>动态决策</w:t>
      </w:r>
      <w:r w:rsidR="00BB678E">
        <w:rPr>
          <w:rFonts w:hint="eastAsia"/>
        </w:rPr>
        <w:t>”</w:t>
      </w:r>
      <w:r w:rsidR="003F192C" w:rsidRPr="00D909BF">
        <w:t>这一闭环反馈机制提供严谨的数学描述</w:t>
      </w:r>
      <w:r w:rsidR="00E5434C">
        <w:fldChar w:fldCharType="begin"/>
      </w:r>
      <w:r w:rsidR="00E5434C">
        <w:instrText xml:space="preserve"> ADDIN ZOTERO_ITEM CSL_CITATION {"citationID":"Zb4mul2d","properties":{"formattedCitation":"(Chad\\uc0\\u232{}s et al., 2008)","plainCitation":"(Chadès et al., 2008)","noteIndex":0},"citationItems":[{"id":372,"uris":["http://zotero.org/users/17227936/items/KBR3UEKH"],"itemData":{"id":372,"type":"article-journal","abstract":"Threatened species become increasingly difficult to detect as their populations decline. Managers of such cryptic threatened species face several dilemmas: if they are not sure the species is present, should they continue to manage for that species or invest the limited resources in surveying? We find optimal solutions to this problem using a Partially Observable Markov Decision Process and rules of thumb derived from an analytical approximation. We discover that managing a protected area for a cryptic threatened species can be optimal even if we are not sure the species is present. The more threatened and valuable the species is, relative to the costs of management, the more likely we are to manage this species without determining its continued persistence by using surveys. If a species remains unseen, our belief in the persistence of the species declines to a point where the optimal strategy is to shift resources from saving the species to surveying for it. Finally, when surveys lead to a sufficiently low belief that the species is extant, we surrender resources to other conservation actions. We illustrate our findings with a case study using parameters based on the critically endangered Sumatran tiger (\n              Panthera tigris sumatrae\n              ), and we generate rules of thumb on how to allocate conservation effort for any cryptic species. Using Partially Observable Markov Decision Processes in conservation science, we determine the conditions under which it is better to abandon management for that species because our belief that it continues to exist is too low.","container-title":"Proceedings of the National Academy of Sciences","DOI":"10.1073/pnas.0805265105","ISSN":"0027-8424, 1091-6490","issue":"37","journalAbbreviation":"Proc. Natl. Acad. Sci. U.S.A.","language":"en","page":"13936-13940","source":"DOI.org (Crossref)","title":"When to stop managing or surveying cryptic threatened species","volume":"105","author":[{"family":"Chadès","given":"Iadine"},{"family":"McDonald-Madden","given":"Eve"},{"family":"McCarthy","given":"Michael A."},{"family":"Wintle","given":"Brendan"},{"family":"Linkie","given":"Matthew"},{"family":"Possingham","given":"Hugh P."}],"issued":{"date-parts":[["2008",9,16]]}}}],"schema":"https://github.com/citation-style-language/schema/raw/master/csl-citation.json"} </w:instrText>
      </w:r>
      <w:r w:rsidR="00E5434C">
        <w:fldChar w:fldCharType="separate"/>
      </w:r>
      <w:r w:rsidR="00E5434C" w:rsidRPr="00E5434C">
        <w:rPr>
          <w:rFonts w:cs="Times New Roman"/>
          <w:kern w:val="0"/>
        </w:rPr>
        <w:t>(Chadès et al., 2008)</w:t>
      </w:r>
      <w:r w:rsidR="00E5434C">
        <w:fldChar w:fldCharType="end"/>
      </w:r>
      <w:r w:rsidR="003F192C" w:rsidRPr="003F192C">
        <w:t>。</w:t>
      </w:r>
    </w:p>
    <w:p w14:paraId="38319F57" w14:textId="712E49A0" w:rsidR="00E43C5B" w:rsidRDefault="00E43C5B" w:rsidP="00E43C5B">
      <w:pPr>
        <w:pStyle w:val="2"/>
      </w:pPr>
      <w:bookmarkStart w:id="31" w:name="_Toc218094767"/>
      <w:r>
        <w:rPr>
          <w:rFonts w:hint="eastAsia"/>
        </w:rPr>
        <w:t>食品安全抽检资源分配</w:t>
      </w:r>
      <w:bookmarkEnd w:id="31"/>
      <w:r w:rsidR="001D7702">
        <w:rPr>
          <w:rFonts w:hint="eastAsia"/>
        </w:rPr>
        <w:t>方法</w:t>
      </w:r>
    </w:p>
    <w:p w14:paraId="7308EB23" w14:textId="1DF3B2C4" w:rsidR="00E43C5B" w:rsidRPr="00E43C5B" w:rsidRDefault="00E43C5B" w:rsidP="00E43C5B">
      <w:pPr>
        <w:ind w:firstLine="480"/>
      </w:pPr>
      <w:r w:rsidRPr="00483A31">
        <w:rPr>
          <w:rFonts w:hint="eastAsia"/>
        </w:rPr>
        <w:t>食品安全抽检（监测）资源分配的核心难点在于：在预算受限条件下，决策者需要同时在采样位置、抽样策略、样本量与检测频次等多个维度上进行联合决策，并将监测表现明确映射到公共健康保护或风险降低目标上。现有研究通常将该问题形式化为预算约束下的优化设计，主要分为两类路径。一类研究侧重于“在给定预算下最大化监测绩效”，利用数学规划方法在供应链的多个控制点与多种危害之间分配检测资源。例如，</w:t>
      </w:r>
      <w:r w:rsidRPr="00483A31">
        <w:rPr>
          <w:rFonts w:hint="eastAsia"/>
        </w:rPr>
        <w:t>Wang et al.(2020)</w:t>
      </w:r>
      <w:r w:rsidRPr="00483A31">
        <w:rPr>
          <w:rFonts w:hint="eastAsia"/>
        </w:rPr>
        <w:t>在乳制品供应链多化学物质监测情景下，将各环节的样本收集与检测数量设为决策变量，采用混合整数非线性规划（</w:t>
      </w:r>
      <w:r w:rsidRPr="00483A31">
        <w:rPr>
          <w:rFonts w:hint="eastAsia"/>
        </w:rPr>
        <w:t>MINLP</w:t>
      </w:r>
      <w:r w:rsidRPr="00483A31">
        <w:rPr>
          <w:rFonts w:hint="eastAsia"/>
        </w:rPr>
        <w:t>）来最大化监测对健康风险（以伤残调整寿命年</w:t>
      </w:r>
      <w:r w:rsidRPr="00483A31">
        <w:rPr>
          <w:rFonts w:hint="eastAsia"/>
        </w:rPr>
        <w:t>DALYs</w:t>
      </w:r>
      <w:r w:rsidRPr="00483A31">
        <w:rPr>
          <w:rFonts w:hint="eastAsia"/>
        </w:rPr>
        <w:t>表征）的降低效果。另一类研究则强调不确定性与实施规则（如分层抽样、合并样策略）的组合复杂性，常将蒙特卡洛仿真与优化算法相结合，比较不同采样策略的成本效果，并输出不同预算水平下的最优方案</w:t>
      </w:r>
      <w:r>
        <w:fldChar w:fldCharType="begin"/>
      </w:r>
      <w:r>
        <w:instrText xml:space="preserve"> ADDIN ZOTERO_ITEM CSL_CITATION {"citationID":"bienoVkA","properties":{"formattedCitation":"(Focker et al., 2019; Powell, 2014)","plainCitation":"(Focker et al., 2019; Powell, 2014)","noteIndex":0},"citationItems":[{"id":305,"uris":["http://zotero.org/use</w:instrText>
      </w:r>
      <w:r>
        <w:rPr>
          <w:rFonts w:hint="eastAsia"/>
        </w:rPr>
        <w:instrText>rs/17227936/items/UAXADJUQ"],"itemData":{"id":305,"type":"article-journal","abstract":"Abstract\n            An optimization model was used to gain insight into cost</w:instrText>
      </w:r>
      <w:r>
        <w:rPr>
          <w:rFonts w:hint="eastAsia"/>
        </w:rPr>
        <w:instrText>‐</w:instrText>
      </w:r>
      <w:r>
        <w:rPr>
          <w:rFonts w:hint="eastAsia"/>
        </w:rPr>
        <w:instrText>effective monitoring plans for aflatoxins along the maize supply chain. The model was bas</w:instrText>
      </w:r>
      <w:r>
        <w:instrText>ed on a typical Dutch maize chain, with maize grown in the Black Sea region, and transported by ship to the Netherlands for use as an ingredient in compound feed for dairy cattle. Six different scenarios, with different aflatoxin concentrations at harvest and possible aflatoxin production during transport, were used. By minimizing the costs and using parameters such as the concentration, the variance of the sampling plan, and the monitoring and replacement costs, the model optimized the control points (CP</w:instrText>
      </w:r>
      <w:r>
        <w:rPr>
          <w:rFonts w:hint="eastAsia"/>
        </w:rPr>
        <w:instrText>s; e.g., after harvest, before or after transport by sea ship), the number of batches sampled at the CP, and the number of samples per batch. This optimization approach led to an end</w:instrText>
      </w:r>
      <w:r>
        <w:rPr>
          <w:rFonts w:hint="eastAsia"/>
        </w:rPr>
        <w:instrText>‐</w:instrText>
      </w:r>
      <w:r>
        <w:rPr>
          <w:rFonts w:hint="eastAsia"/>
        </w:rPr>
        <w:instrText>of</w:instrText>
      </w:r>
      <w:r>
        <w:rPr>
          <w:rFonts w:hint="eastAsia"/>
        </w:rPr>
        <w:instrText>‐</w:instrText>
      </w:r>
      <w:r>
        <w:rPr>
          <w:rFonts w:hint="eastAsia"/>
        </w:rPr>
        <w:instrText>chain aflatoxin concentration below the predetermined limit. The model showed that, when postharvest aflatoxin production was not possible, it was most cost</w:instrText>
      </w:r>
      <w:r>
        <w:rPr>
          <w:rFonts w:hint="eastAsia"/>
        </w:rPr>
        <w:instrText>‐</w:instrText>
      </w:r>
      <w:r>
        <w:rPr>
          <w:rFonts w:hint="eastAsia"/>
        </w:rPr>
        <w:instrText>effective to collect samples from all batches and replace contaminated batches directly after the harvest, since the replacement costs were the lowest at the origin of the chain. When there was aflatoxin production during storage, it was most cost</w:instrText>
      </w:r>
      <w:r>
        <w:rPr>
          <w:rFonts w:hint="eastAsia"/>
        </w:rPr>
        <w:instrText>‐</w:instrText>
      </w:r>
      <w:r>
        <w:rPr>
          <w:rFonts w:hint="eastAsia"/>
        </w:rPr>
        <w:instrText>effective to collect samples and replace contaminated batches after storage and transport to avoid the duplicate before and after monitoring and replacement costs. Further al</w:instrText>
      </w:r>
      <w:r>
        <w:instrText>ong the chain a contaminated batch is detected, the more stakeholders are involved, the more expensive the replacement costs and possible recall costs become.","container-title":"Risk Analysis","DOI":"10.1111/risa.13364","ISSN":"0272-4332, 1539-6924","issue":"10","journalAbbreviation":"Risk Analysis","language":"en","page":"2227-2236","source":"DOI.org (Crossref)","title":"Optimization of the Aflatoxin Monitoring Costs along the Maize Supply Chain","volume":"39","author":[{"family":"Focker","given":"M."},</w:instrText>
      </w:r>
      <w:r>
        <w:rPr>
          <w:rFonts w:hint="eastAsia"/>
        </w:rPr>
        <w:instrText>{"family":"Van Der Fels</w:instrText>
      </w:r>
      <w:r>
        <w:rPr>
          <w:rFonts w:hint="eastAsia"/>
        </w:rPr>
        <w:instrText>‐</w:instrText>
      </w:r>
      <w:r>
        <w:rPr>
          <w:rFonts w:hint="eastAsia"/>
        </w:rPr>
        <w:instrText>Klerx","given":"H. J."},{"family":"Oude Lansink","given":"A. G. J. M."}],"issued":{"date-parts":[["2019",10]]}}},{"id":246,"uris":["http://zotero.org/users/17227936/items/Y2LJIJJJ"],"itemData":{"id":246,"type":"article-journal","ab</w:instrText>
      </w:r>
      <w:r>
        <w:instrText xml:space="preserve">stract":"Much of the literature regarding food safety sampling plans implicitly assumes that all lots entering commerce are tested. In practice, however, only a fraction of lots may be tested due to a budget constraint. In such a case, there is a tradeoff between the number of lots tested and the number of samples per lot. To illustrate this tradeoff, a simple model is presented in which the optimal number of samples per lot depends on the prevalence of sample units that do not conform to microbiological specifications and the relative costs of sampling a lot and of drawing and testing a sample unit from a lot. The assumed objective is to maximize the number of nonconforming lots that are rejected subject to a food safety sampling budget constraint. If the ratio of the cost per lot to the cost per sample unit is substantial, the optimal number of samples per lot increases as prevalence decreases. However, if the ratio of the cost per lot to the cost per sample unit is sufficiently small, the optimal number of samples per lot reduces to one (i.e., simple random sampling), regardless of prevalence. In practice, the cost per sample unit may be large relative to the cost per lot due to the expense of laboratory testing and other factors. Designing effective compliance assurance measures depends on economic, legal, and other factors in addition to microbiology and statistics.","container-title":"Risk Analysis","DOI":"10.1111/risa.12054","ISSN":"0272-4332, 1539-6924","issue":"1","journalAbbreviation":"Risk Analysis","language":"en","license":"http://onlinelibrary.wiley.com/termsAndConditions#vor","page":"93-100","source":"DOI.org (Crossref)","title":"Optimal Food Safety Sampling Under a Budget Constraint","volume":"34","author":[{"family":"Powell","given":"Mark R."}],"issued":{"date-parts":[["2014",1]]}}}],"schema":"https://github.com/citation-style-language/schema/raw/master/csl-citation.json"} </w:instrText>
      </w:r>
      <w:r>
        <w:fldChar w:fldCharType="separate"/>
      </w:r>
      <w:r w:rsidR="00E2692B" w:rsidRPr="00E2692B">
        <w:rPr>
          <w:rFonts w:cs="Times New Roman"/>
        </w:rPr>
        <w:t>(Focker et al., 2019; Powell, 2014)</w:t>
      </w:r>
      <w:r>
        <w:fldChar w:fldCharType="end"/>
      </w:r>
      <w:r w:rsidRPr="00483A31">
        <w:rPr>
          <w:rFonts w:hint="eastAsia"/>
        </w:rPr>
        <w:t>。此外，随着预测技术的发展，面向“高风险批次”识别的机器学习模型也被纳入监测流程，形成了“预测</w:t>
      </w:r>
      <w:r w:rsidR="00F0064C">
        <w:rPr>
          <w:rFonts w:hint="eastAsia"/>
        </w:rPr>
        <w:t>—</w:t>
      </w:r>
      <w:r w:rsidRPr="00483A31">
        <w:rPr>
          <w:rFonts w:hint="eastAsia"/>
        </w:rPr>
        <w:t>抽检—成本”串联的决策框架</w:t>
      </w:r>
      <w:r>
        <w:fldChar w:fldCharType="begin"/>
      </w:r>
      <w:r>
        <w:instrText xml:space="preserve"> ADDIN ZOTERO_ITEM CSL_CITATION {"citationID":"RXE22QsM","properties":{"formattedCitation":"(X. Wang et al., 2022)","plainCitation":"(X. Wang et al., 2022)","noteIndex":0},"citationItems":[{"id":308,"uris":["http://zotero.org/users/17227936/items/F9HQI6QG"],"itemData":{"id":308,"type":"article-journal","abstract":"Abstract\n            Agricultural commodities used for feed and food production are frequently contaminated with mycotoxins, such as Aflatoxin B1 (AFB1). In Europe, both the government and companies have monitoring programs in place for the presence of AFB1. With limited resources and following risk-based monitoring as prescribed in EU Regulation 2017/625, these monitoring programs focus on batches with the highest probability of being contaminated. This study explored the use of machine learning algorithms (ML) to design risk-based monitoring programs for AFB1 in feed products, considering both monitoring cost and model performance. Historical monitoring data for the presence of AFB1 in feed products (2005–2018; 5605 records in total) were used. Four different ML algorithms, including Decision tree, Logistic regression, Support vector machine and Extreme gradient boosting (XGB), were applied and compared to predict the high-risk feed batches to be considered for further AFB1 sampling and analysis. The monitoring cost included the cost of: sampling and analysis, disease burden, storage, and of recalling and destroying contaminated feed batches. The ML algorithms were able to predict the high-risk batches, with an AUC, recall, and accuracy higher than 0.8, 0.6, and 0.9, respectively. The XGB algorithm outperformed the other three investigated ML. Its incorporation would result into up to 96% reduction in monitoring cost in 2016–2018, as compared to the official monitoring program. The proposed approach for designing risk based monitoring programs can support authorities and industries to reduce the monitoring cost for other food safety hazards as well.","container-title":"npj Science of Food","DOI":"10.1038/s41538-022-00154-2","ISSN":"2396-8370","issue":"1","journalAbbreviation":"npj Sci Food","language":"en","page":"40","source":"DOI.org (Crossref)","title":"Designing a monitoring program for aflatoxin B1 in feed products using machine learning","volume":"6","author":[{"family":"Wang","given":"X."},{"family":"Bouzembrak","given":"Y."},{"family":"Oude Lansink","given":"A. G. J. M."},{"family":"Van Der Fels-Klerx","given":"H. J."}],"issued":{"date-parts":[["2022",9,1]]}}}],"schema":"https://github.com/citation-style-language/schema/raw/master/csl-citation.json"} </w:instrText>
      </w:r>
      <w:r>
        <w:fldChar w:fldCharType="separate"/>
      </w:r>
      <w:r w:rsidR="00E2692B" w:rsidRPr="00E2692B">
        <w:rPr>
          <w:rFonts w:cs="Times New Roman"/>
        </w:rPr>
        <w:t>(X. Wang et al., 2022)</w:t>
      </w:r>
      <w:r>
        <w:fldChar w:fldCharType="end"/>
      </w:r>
      <w:r w:rsidRPr="00483A31">
        <w:rPr>
          <w:rFonts w:hint="eastAsia"/>
        </w:rPr>
        <w:t>。</w:t>
      </w:r>
      <w:r w:rsidR="001D3423">
        <w:rPr>
          <w:rFonts w:hint="eastAsia"/>
        </w:rPr>
        <w:t>相关研究</w:t>
      </w:r>
      <w:r w:rsidRPr="00483A31">
        <w:rPr>
          <w:rFonts w:hint="eastAsia"/>
        </w:rPr>
        <w:t>进一步将风险监测流程结构化为“风险排序—抽样对象选择—抽样策略</w:t>
      </w:r>
      <w:r w:rsidRPr="00483A31">
        <w:rPr>
          <w:rFonts w:hint="eastAsia"/>
        </w:rPr>
        <w:t>/</w:t>
      </w:r>
      <w:r w:rsidRPr="00483A31">
        <w:rPr>
          <w:rFonts w:hint="eastAsia"/>
        </w:rPr>
        <w:t>样本量确定”三个步骤，这为将先进的优化算法嵌入抽检流程提供了</w:t>
      </w:r>
      <w:r>
        <w:rPr>
          <w:rFonts w:hint="eastAsia"/>
        </w:rPr>
        <w:t>逻辑思路</w:t>
      </w:r>
      <w:r w:rsidR="008A4D9A">
        <w:fldChar w:fldCharType="begin"/>
      </w:r>
      <w:r w:rsidR="008A4D9A">
        <w:instrText xml:space="preserve"> ADDIN ZOTERO_ITEM CSL_CITATION {"citationID":"K5Sqjfs9","properties":{"formattedCitation":"(Focker et al., 2023)","plainCitation":"(Focker et al., 2023)","noteIndex":0},"citationItems":[{"id":314,"uris":["http://zotero.org/users/17227936/items/LYKQSIIR"],"itemData":{"id":314,"type":"article-journal","abstract":"Governmental food safety monitoring is moving towards risk-based monitoring. Three steps are needed to design an optimal risk-based monitoring plan for pathogens. First pathogen-product combinations need to be ranked, according to their probability of contamination of the sampled product, consequences to human health, or the combination of one or more of these aspects. Second, food business operators (FBO) that will be sampled need to be selected. FBOs can be selected based on historical data but also on socio-economic factors. These include both internal factors, such as the company size, the perception of the likelihood and the consequence of producing unsafe food, the social pressure, as well as external factors, such as the legislation in place, or the budget available. Third, for the selected pathogen-product combinations and FBOs, an optimal sampling strategy needs to be determined. The optimal number of lots to be sampled and the optimal number of samples per lot depend on the prevalence of the pathogen, the distribution of the pathogen between and within lots, and the available resources. Furthermore, the sampling strategy in terms of where and how the samples need to be collected from the lot is relevant to define. To the best of our knowledge, the three steps to design an optimal risk-based monitoring plan for microbiological hazards, as proposed in this study, have not yet been considered together. This study thus provides a basis to further optimize the risk-based monitoring process.","container-title":"Food Control","DOI":"10.1016/j.foodcont.2022.109319","ISSN":"09567135","journalAbbreviation":"Food Control","language":"en","page":"109319","source":"DOI.org (Crossref)","title":"Designing a risk-based monitoring plan for pathogens in food: A review","title-short":"Designing a risk-based monitoring plan for pathogens in food","volume":"143","author":[{"family":"Focker","given":"M."},{"family":"Van Asselt","given":"E.D."},{"family":"Van Der Fels-Klerx","given":"H.J."}],"issued":{"date-parts":[["2023",1]]}}}],"schema":"https://github.com/citation-style-language/schema/raw/master/csl-citation.json"} </w:instrText>
      </w:r>
      <w:r w:rsidR="008A4D9A">
        <w:fldChar w:fldCharType="separate"/>
      </w:r>
      <w:r w:rsidR="008A4D9A" w:rsidRPr="008A4D9A">
        <w:rPr>
          <w:rFonts w:cs="Times New Roman"/>
        </w:rPr>
        <w:t>(Focker et al., 2023)</w:t>
      </w:r>
      <w:r w:rsidR="008A4D9A">
        <w:fldChar w:fldCharType="end"/>
      </w:r>
      <w:r w:rsidRPr="00483A31">
        <w:rPr>
          <w:rFonts w:hint="eastAsia"/>
        </w:rPr>
        <w:t>。</w:t>
      </w:r>
    </w:p>
    <w:p w14:paraId="0D04CAE4" w14:textId="0B13AB84" w:rsidR="00CE28D2" w:rsidRDefault="00EC551C" w:rsidP="00CE28D2">
      <w:pPr>
        <w:pStyle w:val="2"/>
      </w:pPr>
      <w:bookmarkStart w:id="32" w:name="_Toc218094768"/>
      <w:r w:rsidRPr="00EC551C">
        <w:t>强化学习与动态策略的可行性求解</w:t>
      </w:r>
      <w:bookmarkEnd w:id="32"/>
    </w:p>
    <w:p w14:paraId="3EF656E0" w14:textId="1DC54233" w:rsidR="00162274" w:rsidRDefault="00162274" w:rsidP="00162274">
      <w:pPr>
        <w:ind w:firstLine="480"/>
      </w:pPr>
      <w:r>
        <w:rPr>
          <w:rFonts w:hint="eastAsia"/>
        </w:rPr>
        <w:t>尽管部分可观测马尔可夫决策过程（</w:t>
      </w:r>
      <w:r>
        <w:rPr>
          <w:rFonts w:hint="eastAsia"/>
        </w:rPr>
        <w:t>Partially Observable Markov Decision Process, POMDP</w:t>
      </w:r>
      <w:r>
        <w:rPr>
          <w:rFonts w:hint="eastAsia"/>
        </w:rPr>
        <w:t>）与受限马尔可夫决策过程（</w:t>
      </w:r>
      <w:r>
        <w:rPr>
          <w:rFonts w:hint="eastAsia"/>
        </w:rPr>
        <w:t>Constrained Markov Decision Process, CMDP</w:t>
      </w:r>
      <w:r>
        <w:rPr>
          <w:rFonts w:hint="eastAsia"/>
        </w:rPr>
        <w:t>）为不确定环境下的监管决策提供了理论框架，但在涉及多地区、跨时段及离散整数动作的高维状态空间中，传统动态规划方法面临严重的维数灾难，导致精确求解在计算上不可行。深度强化学习（</w:t>
      </w:r>
      <w:r>
        <w:rPr>
          <w:rFonts w:hint="eastAsia"/>
        </w:rPr>
        <w:t>Deep Reinforcement Learning, DRL</w:t>
      </w:r>
      <w:r>
        <w:rPr>
          <w:rFonts w:hint="eastAsia"/>
        </w:rPr>
        <w:t>）通过引入深度神经网络作为函数逼近器来拟合价值函数或策略函数，为高维状态空间与离散动作空间下的复杂序贯决策提供了可扩展的求解路径</w:t>
      </w:r>
      <w:r w:rsidR="00ED1C6F">
        <w:fldChar w:fldCharType="begin"/>
      </w:r>
      <w:r w:rsidR="00460358">
        <w:instrText xml:space="preserve"> ADDIN ZOTERO_ITEM CSL_CITATION {"citationID":"8yZPtgNa","properties":{"formattedCitation":"(Chen et al., 2021; Mnih et al., 2015; J. Wang et al., 2025)","plainCitation":"(Chen et al., 2021; Mnih et al., 2015; J. Wang et al., 2025)","noteIndex":0},"citationItems":[{"id":123,"uris":["http://zotero.org/users/17227936/items/2ZA4URTX"],"itemData":{"id":123,"type":"article-journal","abstract":"In agri-food supply chains (ASCs), consumers pay for agri-food products produced by farmers. During this process, consumers emphasize the importance of agri-food safety while farmers expect to increase their proﬁts. Due to the complexity and dynamics of ASCs, the effective traceability and management for agri-food products face huge challenges. However, most of the existing solutions cannot well meet the requirements of traceability and management in ASCs. To address these challenges, we ﬁrst design a blockchain-based ASC framework to provide product traceability, which guarantees decentralized security for the agri-food tracing data in ASCs. Next, a Deep Reinforcement learning based Supply Chain Management (DR-SCM) method is proposed to make effective decisions on the production and storage of agri-food products for proﬁt optimization. The extensive simulation experiments are conducted to demonstrate the effectiveness of the proposed blockchain-based framework and the DR-SCM method under different ASC environments. The results show that reliable product traceability is well guaranteed by using the proposed blockchain-based ASC framework. Moreover, the DR-SCM can achieve higher product proﬁts than heuristic and Q-learning methods.","container-title":"IEEE Access","DOI":"10.1109/ACCESS.2021.3062410","ISSN":"2169-3536","journalAbbreviation":"IEEE Access","language":"en","license":"https://creativecommons.org/licenses/by/4.0/legalcode","page":"36008-36018","source":"DOI.org (Crossref)","title":"Effective Management for Blockchain-Based Agri-Food Supply Chains Using Deep Reinforcement Learning","volume":"9","author":[{"family":"Chen","given":"Huilin"},{"family":"Chen","given":"Zheyi"},{"family":"Lin","given":"Feiting"},{"family":"Zhuang","given":"Peifen"}],"issued":{"date-parts":[["2021"]]}}},{"id":384,"uris":["http://zotero.org/users/17227936/items/97AXAPTT"],"itemData":{"id":384,"type":"article-journal","container-title":"Nature","DOI":"10.1038/nature14236","ISSN":"0028-0836, 1476-4687","issue":"7540","journalAbbreviation":"Nature","language":"en","page":"529-533","source":"DOI.org (Crossref)","title":"Human-level control through deep reinforcement learning","volume":"518","author":[{"family":"Mnih","given":"Volodymyr"},{"family":"Kavukcuoglu","given":"Koray"},{"family":"Silver","given":"David"},{"family":"Rusu","given":"Andrei A."},{"family":"Veness","given":"Joel"},{"family":"Bellemare","given":"Marc G."},{"family":"Graves","given":"Alex"},{"family":"Riedmiller","given":"Martin"},{"family":"Fidjeland","given":"Andreas K."},{"family":"Ostrovski","given":"Georg"},{"family":"Petersen","given":"Stig"},{"family":"Beattie","given":"Charles"},{"family":"Sadik","given":"Amir"},{"family":"Antonoglou","given":"Ioannis"},{"family":"King","given":"Helen"},{"family":"Kumaran","given":"Dharshan"},{"family":"Wierstra","given":"Daan"},{"family":"Legg","given":"Shane"},{"family":"Hassabis","given":"Demis"}],"issued":{"date-parts":[["2015",2,26]]}}},{"id":353,"uris":["http://zotero.org/users/17227936/items/39XN9JYM"],"itemData":{"id":353,"type":"article-journal","abstract":"Emerging infectious diseases and biological invasions pose increasing threats to public and ecosystems health. Proactive measures—such as prevention and surveillance taken before initial detection of the pathogen or species—are essential to ensure minimal spread prior to first detection. We developed an optimization model to determine where, when, and how much effort should be allocated to prevention versus surveillance. The model accounts for imperfect detection, system dynamics, spatial heterogeneity in risk and costs and is scalable to large landscapes. We found that the most cost-effective strategy is to maintain the prevention and surveillance efforts at stable equilibrium for the majority of the time, with deviations occurring only initially to steer the system toward the equilibrium. The equilibrium effort is jointly determined by the introduction risk, management costs, and total budget. Application of this model to chronic wasting disease in New York State suggests that the optimal strategy could reduce the cumulative disease cases before initial detection by an average of 22% compared to current practice. The optimal surveillance strategy could detect the disease on average over 8 mo earlier than the current strategy.","container-title":"Proceedings of the National Academy of Sciences","DOI":"10.1073/pnas.2507202122","ISSN":"0027-8424, 1091-6490","issue":"39","journalAbbreviation":"Proc. Natl. Acad. Sci. U.S.A.","language":"en","page":"e2507202122","source":"DOI.org (Crossref)","title":"Strategic planning of prevention and surveillance for emerging diseases and invasive species","volume":"122","author":[{"family":"Wang","given":"Jue"},{"family":"Hanley","given":"Brenda J."},{"family":"Thompson","given":"Noelle E."},{"family":"Gong","given":"Yu"},{"family":"Walsh","given":"Daniel P."},{"family":"Gonzalez-Crespo","given":"Carlos"},{"family":"Huang","given":"Yitong"},{"family":"Booth","given":"James G."},{"family":"Caudell","given":"Joe N."},{"family":"Miller","given":"Landon A."},{"family":"Schuler","given":"Krysten L."}],"issued":{"date-parts":[["2025",9,30]]}}}],"schema":"https://github.com/citation-style-language/schema/raw/master/csl-citation.json"} </w:instrText>
      </w:r>
      <w:r w:rsidR="00ED1C6F">
        <w:fldChar w:fldCharType="separate"/>
      </w:r>
      <w:r w:rsidR="00460358" w:rsidRPr="00460358">
        <w:rPr>
          <w:rFonts w:cs="Times New Roman"/>
        </w:rPr>
        <w:t>(Chen et al., 2021; Mnih et al., 2015; J. Wang et al., 2025)</w:t>
      </w:r>
      <w:r w:rsidR="00ED1C6F">
        <w:fldChar w:fldCharType="end"/>
      </w:r>
      <w:r>
        <w:rPr>
          <w:rFonts w:hint="eastAsia"/>
        </w:rPr>
        <w:t>。</w:t>
      </w:r>
    </w:p>
    <w:p w14:paraId="0FC8590A" w14:textId="4F7FEA13" w:rsidR="00162274" w:rsidRDefault="00162274" w:rsidP="00162274">
      <w:pPr>
        <w:ind w:firstLine="480"/>
      </w:pPr>
      <w:r>
        <w:rPr>
          <w:rFonts w:hint="eastAsia"/>
        </w:rPr>
        <w:t>在供应链与运营管理</w:t>
      </w:r>
      <w:r w:rsidR="003714D2">
        <w:rPr>
          <w:rFonts w:hint="eastAsia"/>
        </w:rPr>
        <w:t>相关研究中</w:t>
      </w:r>
      <w:r>
        <w:rPr>
          <w:rFonts w:hint="eastAsia"/>
        </w:rPr>
        <w:t>，</w:t>
      </w:r>
      <w:r>
        <w:rPr>
          <w:rFonts w:hint="eastAsia"/>
        </w:rPr>
        <w:t>DRL</w:t>
      </w:r>
      <w:r>
        <w:rPr>
          <w:rFonts w:hint="eastAsia"/>
        </w:rPr>
        <w:t>已被证实是解决复杂动态控制问题的有效工具。</w:t>
      </w:r>
      <w:r>
        <w:rPr>
          <w:rFonts w:hint="eastAsia"/>
        </w:rPr>
        <w:t>Oroojlooyjadid</w:t>
      </w:r>
      <w:r>
        <w:rPr>
          <w:rFonts w:hint="eastAsia"/>
        </w:rPr>
        <w:t>等（</w:t>
      </w:r>
      <w:r>
        <w:rPr>
          <w:rFonts w:hint="eastAsia"/>
        </w:rPr>
        <w:t>2022</w:t>
      </w:r>
      <w:r>
        <w:rPr>
          <w:rFonts w:hint="eastAsia"/>
        </w:rPr>
        <w:t>）在经典的动态供应链博弈环境中验证了深度</w:t>
      </w:r>
      <w:r>
        <w:rPr>
          <w:rFonts w:hint="eastAsia"/>
        </w:rPr>
        <w:t>Q</w:t>
      </w:r>
      <w:r>
        <w:rPr>
          <w:rFonts w:hint="eastAsia"/>
        </w:rPr>
        <w:t>网络（</w:t>
      </w:r>
      <w:r>
        <w:rPr>
          <w:rFonts w:hint="eastAsia"/>
        </w:rPr>
        <w:t>Deep Q-Network, DQN</w:t>
      </w:r>
      <w:r>
        <w:rPr>
          <w:rFonts w:hint="eastAsia"/>
        </w:rPr>
        <w:t>）类算法处理</w:t>
      </w:r>
      <w:r w:rsidR="008513C3">
        <w:rPr>
          <w:rFonts w:hint="eastAsia"/>
        </w:rPr>
        <w:t>多阶段动态</w:t>
      </w:r>
      <w:r>
        <w:rPr>
          <w:rFonts w:hint="eastAsia"/>
        </w:rPr>
        <w:t>决策的可行性，表明其能够捕捉系统内复杂的</w:t>
      </w:r>
      <w:r>
        <w:rPr>
          <w:rFonts w:hint="eastAsia"/>
        </w:rPr>
        <w:lastRenderedPageBreak/>
        <w:t>非线性动态</w:t>
      </w:r>
      <w:r w:rsidR="003C566F">
        <w:fldChar w:fldCharType="begin"/>
      </w:r>
      <w:r w:rsidR="003C566F">
        <w:instrText xml:space="preserve"> ADDIN ZOTERO_ITEM CSL_CITATION {"citationID":"eslfVnsT","properties":{"formattedCitation":"(Oroojlooyjadid et al., 2022)","plainCitation":"(Oroojlooyjadid et al., 2022)","noteIndex":0},"citationItems":[{"id":360,"uris":["http://zotero.org/users/17227936/items/EKQSQT8U"],"itemData":{"id":360,"type":"article-journal","abstract":"Problem definition: The beer game is widely used in supply chain management classes to demonstrate the bullwhip effect and the importance of supply chain coordination. The game is a decentralized, multiagent, cooperative problem that can be modeled as a serial supply chain network in which agents choose order quantities while cooperatively attempting to minimize the network’s total cost, although each agent only observes local information. Academic/practical relevance: Under some conditions, a base-stock replenishment policy is optimal. However, in a decentralized supply chain in which some agents act irrationally, there is no known optimal policy for an agent wishing to act optimally. Methodology: We propose a deep reinforcement learning (RL) algorithm to play the beer game. Our algorithm makes no assumptions about costs or other settings. As with any deep RL algorithm, training is computationally intensive, but once trained, the algorithm executes in real time. We propose a transfer-learning approach so that training performed for one agent can be adapted quickly for other agents and settings. Results: When playing with teammates who follow a base-stock policy, our algorithm obtains near-optimal order quantities. More important, it performs significantly better than a base-stock policy when other agents use a more realistic model of human ordering behavior. We observe similar results using a real-world data set. Sensitivity analysis shows that a trained model is robust to changes in the cost coefficients. Finally, applying transfer learning reduces the training time by one order of magnitude. Managerial implications: This paper shows how artificial intelligence can be applied to inventory optimization. Our approach can be extended to other supply chain optimization problems, especially those in which supply chain partners act in irrational or unpredictable ways. Our RL agent has been integrated into a new online beer game, which has been played more than 17,000 times by more than 4,000 people.","container-title":"Manufacturing &amp; Service Operations Management","DOI":"10.1287/msom.2020.0939","ISSN":"1523-4614, 1526-5498","issue":"1","journalAbbreviation":"M&amp;SOM","language":"en","page":"285-304","source":"DOI.org (Crossref)","title":"A Deep Q-Network for the Beer Game: Deep Reinforcement Learning for Inventory Optimization","title-short":"A Deep Q-Network for the Beer Game","volume":"24","author":[{"family":"Oroojlooyjadid","given":"Afshin"},{"family":"Nazari","given":"MohammadReza"},{"family":"Snyder","given":"Lawrence V."},{"family":"Takáč","given":"Martin"}],"issued":{"date-parts":[["2022",1]]}}}],"schema":"https://github.com/citation-style-language/schema/raw/master/csl-citation.json"} </w:instrText>
      </w:r>
      <w:r w:rsidR="003C566F">
        <w:fldChar w:fldCharType="separate"/>
      </w:r>
      <w:r w:rsidR="00E2692B" w:rsidRPr="00E2692B">
        <w:rPr>
          <w:rFonts w:cs="Times New Roman"/>
        </w:rPr>
        <w:t>(Oroojlooyjadid et al., 2022)</w:t>
      </w:r>
      <w:r w:rsidR="003C566F">
        <w:fldChar w:fldCharType="end"/>
      </w:r>
      <w:r>
        <w:rPr>
          <w:rFonts w:hint="eastAsia"/>
        </w:rPr>
        <w:t>。然而，将</w:t>
      </w:r>
      <w:r>
        <w:rPr>
          <w:rFonts w:hint="eastAsia"/>
        </w:rPr>
        <w:t>DRL</w:t>
      </w:r>
      <w:r>
        <w:rPr>
          <w:rFonts w:hint="eastAsia"/>
        </w:rPr>
        <w:t>从理论模型推向落地应用仍需克服算法设计与适用性评估的挑战。</w:t>
      </w:r>
      <w:r>
        <w:rPr>
          <w:rFonts w:hint="eastAsia"/>
        </w:rPr>
        <w:t>Boute</w:t>
      </w:r>
      <w:r>
        <w:rPr>
          <w:rFonts w:hint="eastAsia"/>
        </w:rPr>
        <w:t>等（</w:t>
      </w:r>
      <w:r>
        <w:rPr>
          <w:rFonts w:hint="eastAsia"/>
        </w:rPr>
        <w:t>2022</w:t>
      </w:r>
      <w:r>
        <w:rPr>
          <w:rFonts w:hint="eastAsia"/>
        </w:rPr>
        <w:t>）系统论述了</w:t>
      </w:r>
      <w:r>
        <w:rPr>
          <w:rFonts w:hint="eastAsia"/>
        </w:rPr>
        <w:t>DRL</w:t>
      </w:r>
      <w:r>
        <w:rPr>
          <w:rFonts w:hint="eastAsia"/>
        </w:rPr>
        <w:t>在库存控制等序贯问题中的设计范式，强调算法架构必须适配问题的特定结构以保证实践中的稳健性</w:t>
      </w:r>
      <w:r w:rsidR="00B2686C">
        <w:fldChar w:fldCharType="begin"/>
      </w:r>
      <w:r w:rsidR="00B2686C">
        <w:instrText xml:space="preserve"> ADDIN ZOTERO_ITEM CSL_CITATION {"citationID":"WifJII4g","properties":{"formattedCitation":"(Boute et al., 2022)","plainCitation":"(Boute et al., 2022)","noteIndex":0},"citationItems":[{"id":371,"uris":["http://zotero.org/users/17227936/items/RKUUAG39"],"itemData":{"id":371,"type":"article-journal","abstract":"Deep reinforcement learning (DRL) has shown great potential for sequential decision-making, including early developments in inventory control. Yet, the abundance of choices that come with designing a DRL algorithm, combined with the intense computational effort to tune and evaluate each choice, may hamper their application in practice. This paper describes the key design choices of DRL algorithms to facilitate their implementation in inventory control. We also shed light on possible future research avenues that may elevate the current state-of-the-art of DRL applications for inventory control and broaden their scope by leveraging and improving on the structural policy insights within inventory research. Our discussion and roadmap may also spur future research in other domains within operations management.","container-title":"European Journal of Operational Research","DOI":"10.1016/j.ejor.2021.07.016","ISSN":"03772217","issue":"2","journalAbbreviation":"European Journal of Operational Research","language":"en","page":"401-412","source":"DOI.org (Crossref)","title":"Deep reinforcement learning for inventory control: A roadmap","title-short":"Deep reinforcement learning for inventory control","volume":"298","author":[{"family":"Boute","given":"Robert N."},{"family":"Gijsbrechts","given":"Joren"},{"family":"Van Jaarsveld","given":"Willem"},{"family":"Vanvuchelen","given":"Nathalie"}],"issued":{"date-parts":[["2022",4]]}}}],"schema":"https://github.com/citation-style-language/schema/raw/master/csl-citation.json"} </w:instrText>
      </w:r>
      <w:r w:rsidR="00B2686C">
        <w:fldChar w:fldCharType="separate"/>
      </w:r>
      <w:r w:rsidR="00E2692B" w:rsidRPr="00E2692B">
        <w:rPr>
          <w:rFonts w:cs="Times New Roman"/>
        </w:rPr>
        <w:t>(Boute et al., 2022)</w:t>
      </w:r>
      <w:r w:rsidR="00B2686C">
        <w:fldChar w:fldCharType="end"/>
      </w:r>
      <w:r>
        <w:rPr>
          <w:rFonts w:hint="eastAsia"/>
        </w:rPr>
        <w:t>。</w:t>
      </w:r>
    </w:p>
    <w:p w14:paraId="4F487520" w14:textId="25602CE7" w:rsidR="001025FF" w:rsidRPr="00162274" w:rsidRDefault="00162274" w:rsidP="00162274">
      <w:pPr>
        <w:ind w:firstLine="480"/>
      </w:pPr>
      <w:r>
        <w:rPr>
          <w:rFonts w:hint="eastAsia"/>
        </w:rPr>
        <w:t>针对食品抽检监管的特殊性，应用</w:t>
      </w:r>
      <w:r>
        <w:rPr>
          <w:rFonts w:hint="eastAsia"/>
        </w:rPr>
        <w:t>DRL</w:t>
      </w:r>
      <w:r>
        <w:rPr>
          <w:rFonts w:hint="eastAsia"/>
        </w:rPr>
        <w:t>的核心难点在于将“策略可行性”与“风险敏感性”内生于求解过程。一方面，预算上限与检测产能构成了每期决策的硬约束，要求算法在探索与利用过程中必须严格遵守动作空间的可行边界；另一方面，食品安全风险（如召回或爆发事件）通常具有显著的尾部特征，这意味着目标函数不能仅关注期望收益，还需对高风险状态下的极端损失保持高度敏感。因此，本研究采用</w:t>
      </w:r>
      <w:r w:rsidR="003A390C">
        <w:rPr>
          <w:rFonts w:hint="eastAsia"/>
        </w:rPr>
        <w:t>受限</w:t>
      </w:r>
      <w:r w:rsidR="00BC5718">
        <w:rPr>
          <w:rFonts w:hint="eastAsia"/>
        </w:rPr>
        <w:t>部分可观测马尔可夫决策过程</w:t>
      </w:r>
      <w:r>
        <w:rPr>
          <w:rFonts w:hint="eastAsia"/>
        </w:rPr>
        <w:t>的</w:t>
      </w:r>
      <w:r>
        <w:rPr>
          <w:rFonts w:hint="eastAsia"/>
        </w:rPr>
        <w:t>DRL</w:t>
      </w:r>
      <w:r>
        <w:rPr>
          <w:rFonts w:hint="eastAsia"/>
        </w:rPr>
        <w:t>框架，通过提取可观测特征来表征风险信念与不确定性，并在动作选择阶段显式构建满足约束的可行域。这一设计旨在将模型的优化能力转化为满足监管制度约束、且具备抗尾部风险能力的动态抽检规则。</w:t>
      </w:r>
    </w:p>
    <w:p w14:paraId="536ED272" w14:textId="77777777" w:rsidR="00CE28D2" w:rsidRPr="005606EC" w:rsidRDefault="00CE28D2" w:rsidP="00CE28D2">
      <w:pPr>
        <w:ind w:firstLine="480"/>
      </w:pPr>
    </w:p>
    <w:p w14:paraId="2C9BE1BA" w14:textId="15BFD6D9" w:rsidR="00FD740B" w:rsidRDefault="0009766D" w:rsidP="002024DD">
      <w:pPr>
        <w:pStyle w:val="1"/>
        <w:spacing w:line="300" w:lineRule="auto"/>
      </w:pPr>
      <w:bookmarkStart w:id="33" w:name="_Toc218094769"/>
      <w:r>
        <w:rPr>
          <w:rFonts w:hint="eastAsia"/>
        </w:rPr>
        <w:t>问题描述与模型假设</w:t>
      </w:r>
      <w:bookmarkEnd w:id="33"/>
    </w:p>
    <w:p w14:paraId="732F768E" w14:textId="15FAF8FC" w:rsidR="00FD740B" w:rsidRDefault="0009766D" w:rsidP="002024DD">
      <w:pPr>
        <w:pStyle w:val="1"/>
        <w:numPr>
          <w:ilvl w:val="0"/>
          <w:numId w:val="0"/>
        </w:numPr>
        <w:spacing w:line="300" w:lineRule="auto"/>
      </w:pPr>
      <w:bookmarkStart w:id="34" w:name="_Toc218094770"/>
      <w:r>
        <w:t>P</w:t>
      </w:r>
      <w:r>
        <w:rPr>
          <w:rFonts w:hint="eastAsia"/>
        </w:rPr>
        <w:t>roblem</w:t>
      </w:r>
      <w:r>
        <w:t xml:space="preserve"> </w:t>
      </w:r>
      <w:r>
        <w:rPr>
          <w:rFonts w:hint="eastAsia"/>
        </w:rPr>
        <w:t>descriptions</w:t>
      </w:r>
      <w:r>
        <w:t xml:space="preserve"> </w:t>
      </w:r>
      <w:r>
        <w:rPr>
          <w:rFonts w:hint="eastAsia"/>
        </w:rPr>
        <w:t>and</w:t>
      </w:r>
      <w:r>
        <w:t xml:space="preserve"> model </w:t>
      </w:r>
      <w:r w:rsidR="000E45CD">
        <w:t>assumptions</w:t>
      </w:r>
      <w:bookmarkEnd w:id="34"/>
    </w:p>
    <w:p w14:paraId="7EE42B8E" w14:textId="205688F7" w:rsidR="00FD740B" w:rsidRDefault="00311D10" w:rsidP="00311D10">
      <w:pPr>
        <w:pStyle w:val="2"/>
      </w:pPr>
      <w:bookmarkStart w:id="35" w:name="_Toc218094771"/>
      <w:r w:rsidRPr="00311D10">
        <w:t>问题描述：预算约束下的跨省</w:t>
      </w:r>
      <w:r w:rsidRPr="00311D10">
        <w:t>×</w:t>
      </w:r>
      <w:r w:rsidRPr="00311D10">
        <w:t>跨期抽检动态配置</w:t>
      </w:r>
      <w:bookmarkEnd w:id="35"/>
    </w:p>
    <w:p w14:paraId="7C05EAE1" w14:textId="1A818E78" w:rsidR="00311D10" w:rsidRPr="00311D10" w:rsidRDefault="00311D10" w:rsidP="0011654C">
      <w:pPr>
        <w:ind w:firstLine="480"/>
      </w:pPr>
      <w:r w:rsidRPr="00311D10">
        <w:t>将花生原料供应链的抽检过程刻画为政府（</w:t>
      </w:r>
      <w:r w:rsidRPr="00311D10">
        <w:t>G</w:t>
      </w:r>
      <w:r w:rsidRPr="00311D10">
        <w:t>）在月度时间尺度上对</w:t>
      </w:r>
      <w:r>
        <w:rPr>
          <w:rFonts w:hint="eastAsia"/>
        </w:rPr>
        <w:t>“</w:t>
      </w:r>
      <w:r w:rsidRPr="00311D10">
        <w:t>源头</w:t>
      </w:r>
      <w:r w:rsidRPr="00311D10">
        <w:t>/</w:t>
      </w:r>
      <w:r w:rsidRPr="00311D10">
        <w:t>初加工（</w:t>
      </w:r>
      <w:r w:rsidRPr="00311D10">
        <w:t>S</w:t>
      </w:r>
      <w:r w:rsidRPr="00311D10">
        <w:t>）</w:t>
      </w:r>
      <w:r>
        <w:rPr>
          <w:rFonts w:hint="eastAsia"/>
        </w:rPr>
        <w:t>”</w:t>
      </w:r>
      <w:r w:rsidRPr="00311D10">
        <w:t>与</w:t>
      </w:r>
      <w:r>
        <w:rPr>
          <w:rFonts w:hint="eastAsia"/>
        </w:rPr>
        <w:t>“</w:t>
      </w:r>
      <w:r w:rsidRPr="00311D10">
        <w:t>加工</w:t>
      </w:r>
      <w:r w:rsidRPr="00311D10">
        <w:t>/</w:t>
      </w:r>
      <w:r w:rsidRPr="00311D10">
        <w:t>流通（</w:t>
      </w:r>
      <w:r w:rsidRPr="00311D10">
        <w:t>M</w:t>
      </w:r>
      <w:r w:rsidRPr="00311D10">
        <w:t>）</w:t>
      </w:r>
      <w:r>
        <w:rPr>
          <w:rFonts w:hint="eastAsia"/>
        </w:rPr>
        <w:t>”</w:t>
      </w:r>
      <w:r w:rsidRPr="00311D10">
        <w:t>两类关键环节进行抽检资源配置的序贯决策问题，其中政府是唯一需要求解（学习）的决策主体，供应端质量努力与流通端筛检强度作为环境内生响应，进入真实风险的动态反馈通道，从而使抽检策略能够在供应链动态过程中形成可解释的影响机制</w:t>
      </w:r>
      <w:r w:rsidR="00E906EE">
        <w:fldChar w:fldCharType="begin"/>
      </w:r>
      <w:r w:rsidR="00E906EE">
        <w:instrText xml:space="preserve"> ADDIN ZOTERO_ITEM CSL_CITATION {"citationID":"oYmH3xPu","properties":{"formattedCitation":"(Ball et al., 2017; Starbird, 2005)","plainCitation":"(Ball et al., 2017; Starbird, 2005)","noteIndex":0},"citationItems":[{"id":369,"uris":["http://zotero.org/users/17227936/items/W8EBT55Z"],"itemData":{"id":369,"type":"article-journal","abstract":"Plant inspections enable ﬁrms to manage their quality risk in global supply chains. However, surprisingly little research examines the relationship between such inspections and future product quality. In this paper, we study how well plant inspection outcomes predict the hazard of a future recall and analyze how investigator experience aﬀects this predictive relationship. Using secondary data spanning a seven-year period in the medical device industry and a recurrent-event Cox proportional hazard model, our analysis shows that inspection outcomes reliably predict future product recalls. However, inspection outcomes become an unreliable predictor of recalls with an increase in sitespeciﬁc investigator experience. Through post hoc analysis, we also show that the hazard of a recall at a plant increases with site-speciﬁc experience, independent of the inspection outcome. Compared to the ﬁrst visit by an investigator, the recall hazard increases by 21% the second time the investigator visits a speciﬁc plant, and by 57% on the third visit. We propose investigator rotation and investigator sequencing as two policies to help mitigate this increased recall risk.","container-title":"Manufacturing &amp; Service Operations Management","DOI":"10.1287/msom.2017.0661","ISSN":"1523-4614, 1526-5498","issue":"4","journalAbbreviation":"M&amp;SOM","language":"en","page":"534-550","source":"DOI.org (Crossref)","title":"Do Plant Inspections Predict Future Quality? The Role of Investigator Experience","title-short":"Do Plant Inspections Predict Future Quality?","volume":"19","author":[{"family":"Ball","given":"George"},{"family":"Siemsen","given":"Enno"},{"family":"Shah","given":"Rachna"}],"issued":{"date-parts":[["2017",10]]}}},{"id":393,"uris":["http://zotero.org/users/17227936/items/HWQINFPF"],"itemData":{"id":393,"type":"article-journal","abstract":"Abstract\n            Buyers have imperfect information about the food safety efforts exerted by suppliers. To gather information about safety, buyers often employ sampling inspection. Sampling inspection exhibits sampling error so some unsafe product passes inspection and some safe product does not. This uncertainty influences buyer and supplier beha</w:instrText>
      </w:r>
      <w:r w:rsidR="00E906EE">
        <w:rPr>
          <w:rFonts w:hint="eastAsia"/>
        </w:rPr>
        <w:instrText>vior. In this article, I use a principal</w:instrText>
      </w:r>
      <w:r w:rsidR="00E906EE">
        <w:rPr>
          <w:rFonts w:hint="eastAsia"/>
        </w:rPr>
        <w:instrText>‐</w:instrText>
      </w:r>
      <w:r w:rsidR="00E906EE">
        <w:rPr>
          <w:rFonts w:hint="eastAsia"/>
        </w:rPr>
        <w:instrText xml:space="preserve">agent model to examine how sampling inspection policies influence food safety. I use the model to examine the sampling inspection policies in the 1996 Pathogen Reduction/Hazard Analysis Critical Control Point Act. </w:instrText>
      </w:r>
      <w:r w:rsidR="00E906EE">
        <w:instrText xml:space="preserve">I conclude that the regulation of sampling inspection procedures is an effective tool for policy makers who wish to improve food safety.","container-title":"American Journal of Agricultural Economics","DOI":"10.1111/j.0002-9092.2005.00698.x","ISSN":"0002-9092, 1467-8276","issue":"1","journalAbbreviation":"American J Agri Economics","language":"en","license":"http://onlinelibrary.wiley.com/termsAndConditions#vor","page":"15-27","source":"DOI.org (Crossref)","title":"Moral Hazard, Inspection Policy, and Food Safety","volume":"87","author":[{"family":"Starbird","given":"S. Andrew"}],"issued":{"date-parts":[["2005",2]]}}}],"schema":"https://github.com/citation-style-language/schema/raw/master/csl-citation.json"} </w:instrText>
      </w:r>
      <w:r w:rsidR="00E906EE">
        <w:fldChar w:fldCharType="separate"/>
      </w:r>
      <w:r w:rsidR="00E2692B" w:rsidRPr="00E2692B">
        <w:rPr>
          <w:rFonts w:cs="Times New Roman"/>
        </w:rPr>
        <w:t>(Ball et al., 2017; Starbird, 2005)</w:t>
      </w:r>
      <w:r w:rsidR="00E906EE">
        <w:fldChar w:fldCharType="end"/>
      </w:r>
      <w:r w:rsidRPr="00311D10">
        <w:t>。</w:t>
      </w:r>
    </w:p>
    <w:p w14:paraId="76B63A7A" w14:textId="7712931B" w:rsidR="00311D10" w:rsidRPr="003C65C9" w:rsidRDefault="00311D10" w:rsidP="0011654C">
      <w:pPr>
        <w:ind w:firstLine="480"/>
      </w:pPr>
      <w:r w:rsidRPr="00311D10">
        <w:t>设全国共有</w:t>
      </w:r>
      <m:oMath>
        <m:r>
          <w:rPr>
            <w:rFonts w:ascii="Cambria Math" w:hAnsi="Cambria Math"/>
          </w:rPr>
          <m:t>I</m:t>
        </m:r>
      </m:oMath>
      <w:r w:rsidRPr="00311D10">
        <w:t>个省份</w:t>
      </w:r>
      <m:oMath>
        <m:r>
          <w:rPr>
            <w:rFonts w:ascii="Cambria Math" w:hAnsi="Cambria Math"/>
          </w:rPr>
          <m:t>i=1,…,I</m:t>
        </m:r>
      </m:oMath>
      <w:r w:rsidRPr="00311D10">
        <w:t>，时间以月推进</w:t>
      </w:r>
      <m:oMath>
        <m:r>
          <w:rPr>
            <w:rFonts w:ascii="Cambria Math" w:hAnsi="Cambria Math"/>
          </w:rPr>
          <m:t>t=1,…,T</m:t>
        </m:r>
      </m:oMath>
      <w:r w:rsidRPr="00311D10">
        <w:t>。政府在每期对每省两环节分别配置整数抽检批次</w:t>
      </w:r>
      <m:oMath>
        <m:sSub>
          <m:sSubPr>
            <m:ctrlPr>
              <w:rPr>
                <w:rFonts w:ascii="Cambria Math" w:hAnsi="Cambria Math"/>
              </w:rPr>
            </m:ctrlPr>
          </m:sSubPr>
          <m:e>
            <m:r>
              <w:rPr>
                <w:rFonts w:ascii="Cambria Math" w:hAnsi="Cambria Math"/>
              </w:rPr>
              <m:t>n</m:t>
            </m:r>
          </m:e>
          <m:sub>
            <m:r>
              <w:rPr>
                <w:rFonts w:ascii="Cambria Math" w:hAnsi="Cambria Math"/>
              </w:rPr>
              <m:t>i,S,t</m:t>
            </m:r>
          </m:sub>
        </m:sSub>
      </m:oMath>
      <w:r w:rsidRPr="00311D10">
        <w:t>与</w:t>
      </w:r>
      <m:oMath>
        <m:sSub>
          <m:sSubPr>
            <m:ctrlPr>
              <w:rPr>
                <w:rFonts w:ascii="Cambria Math" w:hAnsi="Cambria Math"/>
              </w:rPr>
            </m:ctrlPr>
          </m:sSubPr>
          <m:e>
            <m:r>
              <w:rPr>
                <w:rFonts w:ascii="Cambria Math" w:hAnsi="Cambria Math"/>
              </w:rPr>
              <m:t>n</m:t>
            </m:r>
          </m:e>
          <m:sub>
            <m:r>
              <w:rPr>
                <w:rFonts w:ascii="Cambria Math" w:hAnsi="Cambria Math"/>
              </w:rPr>
              <m:t>i,M,t</m:t>
            </m:r>
          </m:sub>
        </m:sSub>
      </m:oMath>
      <w:r w:rsidRPr="00311D10">
        <w:t>，并在预算与产能（制度上限）约束下，最小化以暴露风险（</w:t>
      </w:r>
      <w:r w:rsidRPr="00311D10">
        <w:t>MOE</w:t>
      </w:r>
      <w:r w:rsidRPr="00311D10">
        <w:t>表征）为核心的社会损失，同时将抽检成本、处置</w:t>
      </w:r>
      <w:r w:rsidRPr="00311D10">
        <w:t>/</w:t>
      </w:r>
      <w:r w:rsidRPr="00311D10">
        <w:t>召回损失与信息价值纳入同一目标函数框架，</w:t>
      </w:r>
      <w:r w:rsidR="003C65C9" w:rsidRPr="003C65C9">
        <w:t>从而实现从抽检观测到信息更新、再到风险干预这一完整闭环的动态优化</w:t>
      </w:r>
      <w:r w:rsidRPr="003C65C9">
        <w:t>。</w:t>
      </w:r>
    </w:p>
    <w:p w14:paraId="1267DE1A" w14:textId="455D164A" w:rsidR="0009766D" w:rsidRDefault="0011654C" w:rsidP="0011654C">
      <w:pPr>
        <w:pStyle w:val="2"/>
      </w:pPr>
      <w:bookmarkStart w:id="36" w:name="_Toc218094772"/>
      <w:r w:rsidRPr="0011654C">
        <w:t>不完全信息：隐状态、观测与信念（</w:t>
      </w:r>
      <w:r w:rsidRPr="0011654C">
        <w:t>belief</w:t>
      </w:r>
      <w:r w:rsidRPr="0011654C">
        <w:t>）</w:t>
      </w:r>
      <w:bookmarkEnd w:id="36"/>
    </w:p>
    <w:p w14:paraId="7108C1C3" w14:textId="7ACC7AA4" w:rsidR="0011654C" w:rsidRPr="0011654C" w:rsidRDefault="0011654C" w:rsidP="0011654C">
      <w:pPr>
        <w:ind w:firstLine="480"/>
      </w:pPr>
      <w:r w:rsidRPr="0011654C">
        <w:t>本研究面对的关键不确定性在于：省份</w:t>
      </w:r>
      <w:r w:rsidR="00C94FD4">
        <w:rPr>
          <w:rFonts w:hint="eastAsia"/>
        </w:rPr>
        <w:t>—</w:t>
      </w:r>
      <w:r w:rsidRPr="0011654C">
        <w:t>环节层面的真实污染风险并不可直接观测，监管者无法在决策时刻获得</w:t>
      </w:r>
      <w:r w:rsidR="0046127F">
        <w:rPr>
          <w:rFonts w:hint="eastAsia"/>
        </w:rPr>
        <w:t>“</w:t>
      </w:r>
      <w:r w:rsidRPr="0011654C">
        <w:t>真实污染率</w:t>
      </w:r>
      <w:r w:rsidRPr="0011654C">
        <w:t>/</w:t>
      </w:r>
      <w:r w:rsidRPr="0011654C">
        <w:t>非合规概率</w:t>
      </w:r>
      <w:r w:rsidR="0046127F">
        <w:rPr>
          <w:rFonts w:hint="eastAsia"/>
        </w:rPr>
        <w:t>”</w:t>
      </w:r>
      <w:r w:rsidRPr="0011654C">
        <w:t>的确切取值。为此，将省份</w:t>
      </w:r>
      <m:oMath>
        <m:r>
          <w:rPr>
            <w:rFonts w:ascii="Cambria Math" w:hAnsi="Cambria Math"/>
          </w:rPr>
          <m:t>i</m:t>
        </m:r>
      </m:oMath>
      <w:r w:rsidRPr="0011654C">
        <w:t>在月份</w:t>
      </w:r>
      <m:oMath>
        <m:r>
          <w:rPr>
            <w:rFonts w:ascii="Cambria Math" w:hAnsi="Cambria Math"/>
          </w:rPr>
          <m:t>t</m:t>
        </m:r>
      </m:oMath>
      <w:r w:rsidRPr="0011654C">
        <w:t>的真实风险状态表示为</w:t>
      </w:r>
      <m:oMath>
        <m:sSub>
          <m:sSubPr>
            <m:ctrlPr>
              <w:rPr>
                <w:rFonts w:ascii="Cambria Math" w:hAnsi="Cambria Math"/>
              </w:rPr>
            </m:ctrlPr>
          </m:sSubPr>
          <m:e>
            <m:r>
              <w:rPr>
                <w:rFonts w:ascii="Cambria Math" w:hAnsi="Cambria Math"/>
              </w:rPr>
              <m:t>θ</m:t>
            </m:r>
          </m:e>
          <m:sub>
            <m:r>
              <w:rPr>
                <w:rFonts w:ascii="Cambria Math" w:hAnsi="Cambria Math"/>
              </w:rPr>
              <m:t>i,S,t</m:t>
            </m:r>
          </m:sub>
        </m:sSub>
      </m:oMath>
      <w:r w:rsidRPr="0011654C">
        <w:t>与</w:t>
      </w:r>
      <m:oMath>
        <m:sSub>
          <m:sSubPr>
            <m:ctrlPr>
              <w:rPr>
                <w:rFonts w:ascii="Cambria Math" w:hAnsi="Cambria Math"/>
              </w:rPr>
            </m:ctrlPr>
          </m:sSubPr>
          <m:e>
            <m:r>
              <w:rPr>
                <w:rFonts w:ascii="Cambria Math" w:hAnsi="Cambria Math"/>
              </w:rPr>
              <m:t>θ</m:t>
            </m:r>
          </m:e>
          <m:sub>
            <m:r>
              <w:rPr>
                <w:rFonts w:ascii="Cambria Math" w:hAnsi="Cambria Math"/>
              </w:rPr>
              <m:t>i,M,t</m:t>
            </m:r>
          </m:sub>
        </m:sSub>
      </m:oMath>
      <w:r w:rsidRPr="0011654C">
        <w:t>（分别对应源头</w:t>
      </w:r>
      <w:r w:rsidRPr="0011654C">
        <w:t>/</w:t>
      </w:r>
      <w:r w:rsidRPr="0011654C">
        <w:t>初加工</w:t>
      </w:r>
      <m:oMath>
        <m:r>
          <w:rPr>
            <w:rFonts w:ascii="Cambria Math" w:hAnsi="Cambria Math"/>
          </w:rPr>
          <m:t>S</m:t>
        </m:r>
      </m:oMath>
      <w:r w:rsidRPr="0011654C">
        <w:t>与加工</w:t>
      </w:r>
      <w:r w:rsidRPr="0011654C">
        <w:t>/</w:t>
      </w:r>
      <w:r w:rsidRPr="0011654C">
        <w:t>流通</w:t>
      </w:r>
      <m:oMath>
        <m:r>
          <w:rPr>
            <w:rFonts w:ascii="Cambria Math" w:hAnsi="Cambria Math"/>
          </w:rPr>
          <m:t>M</m:t>
        </m:r>
      </m:oMath>
      <w:r w:rsidRPr="0011654C">
        <w:t>），并将其视为隐状态（</w:t>
      </w:r>
      <w:r w:rsidRPr="0011654C">
        <w:t>hidden</w:t>
      </w:r>
      <w:r w:rsidR="0098727A">
        <w:rPr>
          <w:rFonts w:hint="eastAsia"/>
        </w:rPr>
        <w:t xml:space="preserve"> </w:t>
      </w:r>
      <w:r w:rsidRPr="0011654C">
        <w:t>state</w:t>
      </w:r>
      <w:r w:rsidRPr="0011654C">
        <w:t>）。监管者能够获得的仅是抽检带来的有限信号：当期在环节</w:t>
      </w:r>
      <m:oMath>
        <m:r>
          <w:rPr>
            <w:rFonts w:ascii="Cambria Math" w:hAnsi="Cambria Math"/>
          </w:rPr>
          <m:t>e∈{S,M}</m:t>
        </m:r>
      </m:oMath>
      <w:r w:rsidRPr="0011654C">
        <w:t>对省份</w:t>
      </w:r>
      <m:oMath>
        <m:r>
          <w:rPr>
            <w:rFonts w:ascii="Cambria Math" w:hAnsi="Cambria Math"/>
          </w:rPr>
          <m:t>i</m:t>
        </m:r>
      </m:oMath>
      <w:r w:rsidRPr="0011654C">
        <w:t>投入</w:t>
      </w:r>
      <m:oMath>
        <m:sSub>
          <m:sSubPr>
            <m:ctrlPr>
              <w:rPr>
                <w:rFonts w:ascii="Cambria Math" w:hAnsi="Cambria Math"/>
              </w:rPr>
            </m:ctrlPr>
          </m:sSubPr>
          <m:e>
            <m:r>
              <w:rPr>
                <w:rFonts w:ascii="Cambria Math" w:hAnsi="Cambria Math"/>
              </w:rPr>
              <m:t>n</m:t>
            </m:r>
          </m:e>
          <m:sub>
            <m:r>
              <w:rPr>
                <w:rFonts w:ascii="Cambria Math" w:hAnsi="Cambria Math"/>
              </w:rPr>
              <m:t>i,e,t</m:t>
            </m:r>
          </m:sub>
        </m:sSub>
      </m:oMath>
      <w:r w:rsidRPr="0011654C">
        <w:t>个抽检批次后，观测到的检出（不合格）批次数</w:t>
      </w:r>
      <m:oMath>
        <m:sSub>
          <m:sSubPr>
            <m:ctrlPr>
              <w:rPr>
                <w:rFonts w:ascii="Cambria Math" w:hAnsi="Cambria Math"/>
              </w:rPr>
            </m:ctrlPr>
          </m:sSubPr>
          <m:e>
            <m:r>
              <w:rPr>
                <w:rFonts w:ascii="Cambria Math" w:hAnsi="Cambria Math"/>
              </w:rPr>
              <m:t>y</m:t>
            </m:r>
          </m:e>
          <m:sub>
            <m:r>
              <w:rPr>
                <w:rFonts w:ascii="Cambria Math" w:hAnsi="Cambria Math"/>
              </w:rPr>
              <m:t>i,e,t</m:t>
            </m:r>
          </m:sub>
        </m:sSub>
      </m:oMath>
      <w:r w:rsidRPr="0011654C">
        <w:t>服从二</w:t>
      </w:r>
      <w:r w:rsidRPr="0011654C">
        <w:lastRenderedPageBreak/>
        <w:t>项抽样过程</w:t>
      </w:r>
      <m:oMath>
        <m:sSub>
          <m:sSubPr>
            <m:ctrlPr>
              <w:rPr>
                <w:rFonts w:ascii="Cambria Math" w:hAnsi="Cambria Math"/>
              </w:rPr>
            </m:ctrlPr>
          </m:sSubPr>
          <m:e>
            <m:r>
              <w:rPr>
                <w:rFonts w:ascii="Cambria Math" w:hAnsi="Cambria Math"/>
              </w:rPr>
              <m:t>y</m:t>
            </m:r>
          </m:e>
          <m:sub>
            <m:r>
              <w:rPr>
                <w:rFonts w:ascii="Cambria Math" w:hAnsi="Cambria Math"/>
              </w:rPr>
              <m:t>i,e,t</m:t>
            </m:r>
          </m:sub>
        </m:sSub>
        <m:r>
          <w:rPr>
            <w:rFonts w:ascii="Cambria Math" w:hAnsi="Cambria Math"/>
          </w:rPr>
          <m:t>∼</m:t>
        </m:r>
        <m:r>
          <m:rPr>
            <m:nor/>
          </m:rPr>
          <m:t>Binomial</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i,e,t</m:t>
            </m:r>
          </m:sub>
        </m:sSub>
        <m:r>
          <w:rPr>
            <w:rFonts w:ascii="Cambria Math" w:hAnsi="Cambria Math"/>
          </w:rPr>
          <m:t>)</m:t>
        </m:r>
      </m:oMath>
      <w:r w:rsidRPr="0011654C">
        <w:t>。这一设定把抽检结果明确为</w:t>
      </w:r>
      <w:r w:rsidR="003C7806">
        <w:rPr>
          <w:rFonts w:hint="eastAsia"/>
        </w:rPr>
        <w:t>“</w:t>
      </w:r>
      <w:r w:rsidRPr="0011654C">
        <w:t>在给定抽检强度下对隐状态的随机观测</w:t>
      </w:r>
      <w:r w:rsidR="003C7806">
        <w:rPr>
          <w:rFonts w:hint="eastAsia"/>
        </w:rPr>
        <w:t>”</w:t>
      </w:r>
      <w:r w:rsidRPr="0011654C">
        <w:t>，从而使抽检既具有识别风险的统计含义，也天然带有抽样噪声与有限样本的不确定性来源</w:t>
      </w:r>
      <w:r w:rsidR="00263649">
        <w:fldChar w:fldCharType="begin"/>
      </w:r>
      <w:r w:rsidR="00263649">
        <w:instrText xml:space="preserve"> ADDIN ZOTERO_ITEM CSL_CITATION {"citationID":"5oFxU3jb","properties":{"formattedCitation":"(Monahan, 1982; Smallwood &amp; Sondik, 1973)","plainCitation":"(Monahan, 1982; Smallwood &amp; Sondik, 1973)","noteIndex":0},"citationItems":[{"id":385,"uris":["http://zotero.org/users/17227936/items/3DXISB2Z"],"itemData":{"id":385,"type":"article-journal","abstract":"This paper surveys models and algorithms dealing with partially observable Markov decision processes. A partially observable Markov decision process (POMDP) is a generalization of a Markov decision process which permits uncertainty regarding the state of a Markov process and allows for state information acquisition. A general framework for finite state and action POMDP's is presented. Next, there is a brief discussion of the development of POMDP's and their relationship with other decision processes. A wide range of models in such areas as quality control, machine maintenance, internal auditing, learning, and optimal stopping are discussed within the POMDP-framework. Lastly, algorithms for computing optimal solutions to POMDP's are presented.","container-title":"Management Science","DOI":"10.1287/mnsc.28.1.1","ISSN":"0025-1909, 1526-5501","issue":"1","journalAbbreviation":"Management Science","language":"en","page":"1-16","source":"DOI.org (Crossref)","title":"State of the Art—A Survey of Partially Observable Markov Decision Processes: Theory, Models, and Algorithms","title-short":"State of the Art—A Survey of Partially Observable Markov Decision Processes","volume":"28","author":[{"family":"Monahan","given":"George E."}],"issued":{"date-parts":[["1982",1]]}}},{"id":389,"uris":["http://zotero.org/users/17227936/items/Z6KQVQBU"],"itemData":{"id":389,"type":"article-journal","abstract":"This paper formulates the optimal control problem for a class of mathematical models in which the system to be controlled is characterized by a finite-state discrete-time Markov process. The states of this internal process are not directly observable by the controller; rather, he has available a set of observable outputs that are only probabilistically related to the internal state of the system. The formulation is illustrated by a simple machine-maintenance example, and other specific application areas are also discussed. The paper demonstrates that, if there are only a finite number of control intervals remaining, then the optimal payoff function is a piecewise-linear, convex function of the current state probabilities of the internal Markov process. In addition, an algorithm for utilizing this property to calculate the optimal control policy and payoff function for any finite horizon is outlined. These results are illustrated by a numerical example for the machine-maintenance problem.","container-title":"Operations Research","DOI":"10.1287/opre.21.5.1071","ISSN":"0030-364X, 1526-5463","issue":"5","journalAbbreviation":"Operations Research","language":"en","page":"1071-1088","source":"DOI.org (Crossref)","title":"The Optimal Control of Partially Observable Markov Processes over a Finite Horizon","volume":"21","author":[{"family":"Smallwood","given":"Richard D."},{"family":"Sondik","given":"Edward J."}],"issued":{"date-parts":[["1973",10]]}}}],"schema":"https://github.com/citation-style-language/schema/raw/master/csl-citation.json"} </w:instrText>
      </w:r>
      <w:r w:rsidR="00263649">
        <w:fldChar w:fldCharType="separate"/>
      </w:r>
      <w:r w:rsidR="00E2692B" w:rsidRPr="00E2692B">
        <w:rPr>
          <w:rFonts w:cs="Times New Roman"/>
        </w:rPr>
        <w:t>(Monahan, 1982; Smallwood &amp; Sondik, 1973)</w:t>
      </w:r>
      <w:r w:rsidR="00263649">
        <w:fldChar w:fldCharType="end"/>
      </w:r>
      <w:r w:rsidRPr="0011654C">
        <w:t>。</w:t>
      </w:r>
    </w:p>
    <w:p w14:paraId="0B413B28" w14:textId="10DDF00B" w:rsidR="00055B89" w:rsidRPr="00055B89" w:rsidRDefault="0011654C" w:rsidP="00055B89">
      <w:pPr>
        <w:ind w:firstLine="480"/>
      </w:pPr>
      <w:r w:rsidRPr="0011654C">
        <w:t>在此不完全信息结构下，监管者对风险的认知以信念分布（</w:t>
      </w:r>
      <w:r w:rsidRPr="0011654C">
        <w:t>belief</w:t>
      </w:r>
      <w:r w:rsidRPr="0011654C">
        <w:t>）而非点估计表述。具体地，对每个</w:t>
      </w:r>
      <m:oMath>
        <m:d>
          <m:dPr>
            <m:ctrlPr>
              <w:rPr>
                <w:rFonts w:ascii="Cambria Math" w:hAnsi="Cambria Math"/>
                <w:i/>
              </w:rPr>
            </m:ctrlPr>
          </m:dPr>
          <m:e>
            <m:r>
              <w:rPr>
                <w:rFonts w:ascii="Cambria Math" w:hAnsi="Cambria Math"/>
              </w:rPr>
              <m:t>i,e</m:t>
            </m:r>
          </m:e>
        </m:d>
      </m:oMath>
      <w:r w:rsidRPr="0011654C">
        <w:t>采用共轭的</w:t>
      </w:r>
      <w:r w:rsidRPr="0011654C">
        <w:t>Beta–Binomial</w:t>
      </w:r>
      <w:r w:rsidRPr="0011654C">
        <w:t>更新机制：在期初以</w:t>
      </w:r>
      <m:oMath>
        <m:sSub>
          <m:sSubPr>
            <m:ctrlPr>
              <w:rPr>
                <w:rFonts w:ascii="Cambria Math" w:hAnsi="Cambria Math"/>
              </w:rPr>
            </m:ctrlPr>
          </m:sSubPr>
          <m:e>
            <m:r>
              <w:rPr>
                <w:rFonts w:ascii="Cambria Math" w:hAnsi="Cambria Math"/>
              </w:rPr>
              <m:t>θ</m:t>
            </m:r>
          </m:e>
          <m:sub>
            <m:r>
              <w:rPr>
                <w:rFonts w:ascii="Cambria Math" w:hAnsi="Cambria Math"/>
              </w:rPr>
              <m:t>i,e,t</m:t>
            </m:r>
          </m:sub>
        </m:sSub>
        <m:r>
          <w:rPr>
            <w:rFonts w:ascii="Cambria Math" w:hAnsi="Cambria Math"/>
          </w:rPr>
          <m:t>∼</m:t>
        </m:r>
        <m:r>
          <m:rPr>
            <m:nor/>
          </m:rPr>
          <m:t>Beta</m:t>
        </m:r>
        <m:d>
          <m:dPr>
            <m:ctrlPr>
              <w:rPr>
                <w:rFonts w:ascii="Cambria Math" w:hAnsi="Cambria Math"/>
                <w:i/>
              </w:rPr>
            </m:ctrlPr>
          </m:dPr>
          <m:e>
            <m:sSub>
              <m:sSubPr>
                <m:ctrlPr>
                  <w:rPr>
                    <w:rFonts w:ascii="Cambria Math" w:hAnsi="Cambria Math"/>
                  </w:rPr>
                </m:ctrlPr>
              </m:sSubPr>
              <m:e>
                <m:r>
                  <w:rPr>
                    <w:rFonts w:ascii="Cambria Math" w:hAnsi="Cambria Math"/>
                  </w:rPr>
                  <m:t>α</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i,e,t</m:t>
                </m:r>
              </m:sub>
            </m:sSub>
          </m:e>
        </m:d>
      </m:oMath>
      <w:r w:rsidRPr="0011654C">
        <w:t>表示对当期真实污染率的先验信念，当观测到</w:t>
      </w:r>
      <m:oMath>
        <m:d>
          <m:dPr>
            <m:ctrlPr>
              <w:rPr>
                <w:rFonts w:ascii="Cambria Math" w:hAnsi="Cambria Math"/>
                <w:i/>
              </w:rPr>
            </m:ctrlPr>
          </m:dPr>
          <m:e>
            <m:sSub>
              <m:sSubPr>
                <m:ctrlPr>
                  <w:rPr>
                    <w:rFonts w:ascii="Cambria Math" w:hAnsi="Cambria Math"/>
                  </w:rPr>
                </m:ctrlPr>
              </m:sSubPr>
              <m:e>
                <m:r>
                  <w:rPr>
                    <w:rFonts w:ascii="Cambria Math" w:hAnsi="Cambria Math"/>
                  </w:rPr>
                  <m:t>n</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i,e,t</m:t>
                </m:r>
              </m:sub>
            </m:sSub>
          </m:e>
        </m:d>
      </m:oMath>
      <w:r w:rsidRPr="0011654C">
        <w:t>后，后验仍为</w:t>
      </w:r>
      <w:r w:rsidRPr="0011654C">
        <w:t>Beta</w:t>
      </w:r>
      <w:r w:rsidRPr="0011654C">
        <w:t>分布并更新为</w:t>
      </w:r>
      <m:oMath>
        <m:r>
          <m:rPr>
            <m:nor/>
          </m:rPr>
          <m:t>Beta</m:t>
        </m:r>
        <m:d>
          <m:dPr>
            <m:ctrlPr>
              <w:rPr>
                <w:rFonts w:ascii="Cambria Math" w:hAnsi="Cambria Math"/>
                <w:i/>
              </w:rPr>
            </m:ctrlPr>
          </m:dPr>
          <m:e>
            <m:sSub>
              <m:sSubPr>
                <m:ctrlPr>
                  <w:rPr>
                    <w:rFonts w:ascii="Cambria Math" w:hAnsi="Cambria Math"/>
                  </w:rPr>
                </m:ctrlPr>
              </m:sSubPr>
              <m:e>
                <m:r>
                  <w:rPr>
                    <w:rFonts w:ascii="Cambria Math" w:hAnsi="Cambria Math"/>
                  </w:rPr>
                  <m:t>α</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i,e,t</m:t>
                </m:r>
              </m:sub>
            </m:sSub>
          </m:e>
        </m:d>
      </m:oMath>
      <w:r w:rsidRPr="0011654C">
        <w:t>。由此得到的后验均值</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i,e,t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i,e,t</m:t>
                </m:r>
              </m:sub>
            </m:sSub>
            <m:ctrlPr>
              <w:rPr>
                <w:rFonts w:ascii="Cambria Math" w:hAnsi="Cambria Math"/>
                <w:i/>
              </w:rPr>
            </m:ctrlPr>
          </m:num>
          <m:den>
            <m:sSub>
              <m:sSubPr>
                <m:ctrlPr>
                  <w:rPr>
                    <w:rFonts w:ascii="Cambria Math" w:hAnsi="Cambria Math"/>
                  </w:rPr>
                </m:ctrlPr>
              </m:sSubPr>
              <m:e>
                <m:r>
                  <w:rPr>
                    <w:rFonts w:ascii="Cambria Math" w:hAnsi="Cambria Math"/>
                  </w:rPr>
                  <m:t>α</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i,e,t</m:t>
                </m:r>
              </m:sub>
            </m:sSub>
          </m:den>
        </m:f>
      </m:oMath>
      <w:r w:rsidRPr="0011654C">
        <w:t>与后验方差</w:t>
      </w:r>
      <m:oMath>
        <m:r>
          <m:rPr>
            <m:sty m:val="p"/>
          </m:rPr>
          <w:rPr>
            <w:rFonts w:ascii="Cambria Math" w:hAnsi="Cambria Math"/>
          </w:rPr>
          <m:t>Var</m:t>
        </m:r>
        <m:r>
          <m:rPr>
            <m:nor/>
          </m:rPr>
          <m:t> </m:t>
        </m:r>
        <m:d>
          <m:dPr>
            <m:sep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i,e,t</m:t>
                </m:r>
              </m:sub>
            </m:sSub>
          </m:e>
          <m:e>
            <m:sSub>
              <m:sSubPr>
                <m:ctrlPr>
                  <w:rPr>
                    <w:rFonts w:ascii="Cambria Math" w:hAnsi="Cambria Math"/>
                  </w:rPr>
                </m:ctrlPr>
              </m:sSubPr>
              <m:e>
                <m:r>
                  <w:rPr>
                    <w:rFonts w:ascii="Cambria Math" w:hAnsi="Cambria Math"/>
                  </w:rPr>
                  <m:t>b</m:t>
                </m:r>
              </m:e>
              <m:sub>
                <m:r>
                  <w:rPr>
                    <w:rFonts w:ascii="Cambria Math" w:hAnsi="Cambria Math"/>
                  </w:rPr>
                  <m:t>i,e,t</m:t>
                </m:r>
              </m:sub>
            </m:sSub>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i,e,t</m:t>
                </m:r>
              </m:sub>
            </m:sSub>
            <m:r>
              <m:rPr>
                <m:nor/>
              </m:rPr>
              <m:t> </m:t>
            </m:r>
            <m:sSub>
              <m:sSubPr>
                <m:ctrlPr>
                  <w:rPr>
                    <w:rFonts w:ascii="Cambria Math" w:hAnsi="Cambria Math"/>
                  </w:rPr>
                </m:ctrlPr>
              </m:sSubPr>
              <m:e>
                <m:r>
                  <w:rPr>
                    <w:rFonts w:ascii="Cambria Math" w:hAnsi="Cambria Math"/>
                  </w:rPr>
                  <m:t>β</m:t>
                </m:r>
              </m:e>
              <m:sub>
                <m:r>
                  <w:rPr>
                    <w:rFonts w:ascii="Cambria Math" w:hAnsi="Cambria Math"/>
                  </w:rPr>
                  <m:t>i,e,t</m:t>
                </m:r>
              </m:sub>
            </m:sSub>
          </m:num>
          <m:den>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i,e,t</m:t>
                        </m:r>
                      </m:sub>
                    </m:sSub>
                  </m:e>
                  <m:e>
                    <m:sSub>
                      <m:sSubPr>
                        <m:ctrlPr>
                          <w:rPr>
                            <w:rFonts w:ascii="Cambria Math" w:hAnsi="Cambria Math"/>
                          </w:rPr>
                        </m:ctrlPr>
                      </m:sSubPr>
                      <m:e>
                        <m:r>
                          <w:rPr>
                            <w:rFonts w:ascii="Cambria Math" w:hAnsi="Cambria Math"/>
                          </w:rPr>
                          <m:t>β</m:t>
                        </m:r>
                      </m:e>
                      <m:sub>
                        <m:r>
                          <w:rPr>
                            <w:rFonts w:ascii="Cambria Math" w:hAnsi="Cambria Math"/>
                          </w:rPr>
                          <m:t>i,e,t</m:t>
                        </m:r>
                      </m:sub>
                    </m:sSub>
                  </m:e>
                </m:d>
              </m:e>
              <m:sup>
                <m:r>
                  <w:rPr>
                    <w:rFonts w:ascii="Cambria Math" w:hAnsi="Cambria Math"/>
                  </w:rPr>
                  <m:t>2</m:t>
                </m:r>
              </m:sup>
            </m:sSup>
            <m:d>
              <m:dPr>
                <m:sep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i,e,t</m:t>
                    </m:r>
                  </m:sub>
                </m:sSub>
              </m:e>
              <m:e>
                <m:sSub>
                  <m:sSubPr>
                    <m:ctrlPr>
                      <w:rPr>
                        <w:rFonts w:ascii="Cambria Math" w:hAnsi="Cambria Math"/>
                      </w:rPr>
                    </m:ctrlPr>
                  </m:sSubPr>
                  <m:e>
                    <m:r>
                      <w:rPr>
                        <w:rFonts w:ascii="Cambria Math" w:hAnsi="Cambria Math"/>
                      </w:rPr>
                      <m:t>β</m:t>
                    </m:r>
                  </m:e>
                  <m:sub>
                    <m:r>
                      <w:rPr>
                        <w:rFonts w:ascii="Cambria Math" w:hAnsi="Cambria Math"/>
                      </w:rPr>
                      <m:t>i,e,t</m:t>
                    </m:r>
                  </m:sub>
                </m:sSub>
              </m:e>
              <m:e>
                <m:r>
                  <w:rPr>
                    <w:rFonts w:ascii="Cambria Math" w:hAnsi="Cambria Math"/>
                  </w:rPr>
                  <m:t>1</m:t>
                </m:r>
              </m:e>
            </m:d>
          </m:den>
        </m:f>
        <m:r>
          <m:rPr>
            <m:sty m:val="p"/>
          </m:rPr>
          <w:rPr>
            <w:rFonts w:ascii="Cambria Math" w:hAnsi="Cambria Math"/>
          </w:rPr>
          <m:t>.</m:t>
        </m:r>
      </m:oMath>
      <w:r w:rsidRPr="0011654C">
        <w:t>不仅提供了风险水平的可计算表征，</w:t>
      </w:r>
      <w:r w:rsidR="00CD3888" w:rsidRPr="00CD3888">
        <w:t>该框架为不确定性的量化提供了统一的数学范式，使得抽检决策能够协同优化降低暴露风险与消解不确定性的双重目标</w:t>
      </w:r>
      <w:r w:rsidR="00DC534D">
        <w:fldChar w:fldCharType="begin"/>
      </w:r>
      <w:r w:rsidR="00DC534D">
        <w:fldChar w:fldCharType="separate"/>
      </w:r>
      <w:r w:rsidR="00DC534D">
        <w:t>{Citation}</w:t>
      </w:r>
      <w:r w:rsidR="00DC534D">
        <w:fldChar w:fldCharType="end"/>
      </w:r>
      <w:r w:rsidR="00E66B24">
        <w:fldChar w:fldCharType="begin"/>
      </w:r>
      <w:r w:rsidR="00921E12">
        <w:instrText xml:space="preserve"> ADDIN ZOTERO_ITEM CSL_CITATION {"citationID":"FXOGUdpc","properties":{"formattedCitation":"(Monahan, 1982; Spaan, 2012; J. Wang et al., 2025)","plainCitation":"(Monahan, 1982; Spaan, 2012; J. Wang et al., 2025)","noteIndex":0},"citationItems":[{"id":385,"uris":["http://zotero.org/users/17227936/items/3DXISB2Z"],"itemData":{"id":385,"type":"article-journal","abstract":"This paper surveys models and algorithms dealing with partially observable Markov decision processes. A partially observable Markov decision process (POMDP) is a generalization of a Markov decision process which permits uncertainty regarding the state of a Markov process and allows for state information acquisition. A general framework for finite state and action POMDP's is presented. Next, there is a brief discussion of the development of POMDP's and their relationship with other decision processes. A wide range of models in such areas as quality control, machine maintenance, internal auditing, learning, and optimal stopping are discussed within the POMDP-framework. Lastly, algorithms for computing optimal solutions to POMDP's are presented.","container-title":"Management Science","DOI":"10.1287/mnsc.28.1.1","ISSN":"0025-1909, 1526-5501","issue":"1","journalAbbreviation":"Management Science","language":"en","page":"1-16","source":"DOI.org (Crossref)","title":"State of the Art—A Survey of Partially Observable Markov Decision Processes: Theory, Models, and Algorithms","title-short":"State of the Art—A Survey of Partially Observable Markov Decision Processes","volume":"28","author":[{"family":"Monahan","given":"George E."}],"issued":{"date-parts":[["1982",1]]}}},{"id":391,"uris":["http://zotero.org/users/17227936/items/5QN8JZRX"],"itemData":{"id":391,"type":"chapter","container-title":"Reinforcement Learning","event-place":"Berlin, Heidelberg","ISBN":"978-3-642-27644-6","language":"en","note":"collection-title: Adaptation, Learning, and Optimization\nDOI: 10.1007/978-3-642-27645-3_12","page":"387-414","publisher":"Springer Berlin Heidelberg","publisher-place":"Berlin, Heidelberg","source":"DOI.org (Crossref)","title":"Partially Observable Markov Decision Processes","URL":"https://link.springer.com/10.1007/978-3-642-27645-3_12","volume":"12","editor":[{"family":"Wiering","given":"Marco"},{"family":"Van Otterlo","given":"Martijn"}],"author":[{"family":"Spaan","given":"Matthijs T. J."}],"accessed":{"date-parts":[["2025",12,30]]},"issued":{"date-parts":[["2012"]]}}},{"id":353,"uris":["http://zotero.org/users/17227936/items/39XN9JYM"],"itemData":{"id":353,"type":"article-journal","abstract":"Emerging infectious diseases and biological invasions pose increasing threats to public and ecosystems health. Proactive measures—such as prevention and surveillance taken before initial detection of the pathogen or species—are essential to ensure minimal spread prior to first detection. We developed an optimization model to determine where, when, and how much effort should be allocated to prevention versus surveillance. The model accounts for imperfect detection, system dynamics, spatial heterogeneity in risk and costs and is scalable to large landscapes. We found that the most cost-effective strategy is to maintain the prevention and surveillance efforts at stable equilibrium for the majority of the time, with deviations occurring only initially to steer the system toward the equilibrium. The equilibrium effort is jointly determined by the introduction risk, management costs, and total budget. Application of this model to chronic wasting disease in New York State suggests that the optimal strategy could reduce the cumulative disease cases before initial detection by an average of 22% compared to current practice. The optimal surveillance strategy could detect the disease on average over 8 mo earlier than the current strategy.","container-title":"Proceedings of the National Academy of Sciences","DOI":"10.1073/pnas.2507202122","ISSN":"0027-8424, 1091-6490","issue":"39","journalAbbreviation":"Proc. Natl. Acad. Sci. U.S.A.","language":"en","page":"e2507202122","source":"DOI.org (Crossref)","title":"Strategic planning of prevention and surveillance for emerging diseases and invasive species","volume":"122","author":[{"family":"Wang","given":"Jue"},{"family":"Hanley","given":"Brenda J."},{"family":"Thompson","given":"Noelle E."},{"family":"Gong","given":"Yu"},{"family":"Walsh","given":"Daniel P."},{"family":"Gonzalez-Crespo","given":"Carlos"},{"family":"Huang","given":"Yitong"},{"family":"Booth","given":"James G."},{"family":"Caudell","given":"Joe N."},{"family":"Miller","given":"Landon A."},{"family":"Schuler","given":"Krysten L."}],"issued":{"date-parts":[["2025",9,30]]}}}],"schema":"https://github.com/citation-style-language/schema/raw/master/csl-citation.json"} </w:instrText>
      </w:r>
      <w:r w:rsidR="00E66B24">
        <w:fldChar w:fldCharType="separate"/>
      </w:r>
      <w:r w:rsidR="00921E12" w:rsidRPr="00921E12">
        <w:rPr>
          <w:rFonts w:cs="Times New Roman"/>
        </w:rPr>
        <w:t>(Monahan, 1982; Spaan, 2012; J. Wang et al., 2025)</w:t>
      </w:r>
      <w:r w:rsidR="00E66B24">
        <w:fldChar w:fldCharType="end"/>
      </w:r>
      <w:r w:rsidRPr="0011654C">
        <w:t>。</w:t>
      </w:r>
    </w:p>
    <w:p w14:paraId="6F2164D1" w14:textId="22B19B05" w:rsidR="0011654C" w:rsidRPr="0011654C" w:rsidRDefault="0011654C" w:rsidP="0011654C">
      <w:pPr>
        <w:ind w:firstLine="480"/>
      </w:pPr>
      <w:r w:rsidRPr="0011654C">
        <w:t>考虑到食品安全风险具有显著的时间变动性（例如季节、仓储条件与气候冲击导致的非平稳），仅做严格累积的贝叶斯更新会使历史观测对当前信念的权重过强，难以及时反映结构变化。因此，在跨期传播时引入遗忘因子</w:t>
      </w:r>
      <m:oMath>
        <m:d>
          <m:dPr>
            <m:begChr m:val=""/>
            <m:endChr m:val="]"/>
            <m:ctrlPr>
              <w:rPr>
                <w:rFonts w:ascii="Cambria Math" w:hAnsi="Cambria Math"/>
              </w:rPr>
            </m:ctrlPr>
          </m:dPr>
          <m:e>
            <m:r>
              <w:rPr>
                <w:rFonts w:ascii="Cambria Math" w:hAnsi="Cambria Math"/>
              </w:rPr>
              <m:t>λ∈(0,1</m:t>
            </m:r>
          </m:e>
        </m:d>
      </m:oMath>
      <w:r w:rsidRPr="0011654C">
        <w:t>，将上期后验的强度按比例衰减后作为下一期先验，使信念既能继承历史信息，又能对近期变化保持敏感。通过上述</w:t>
      </w:r>
      <w:r w:rsidR="0090405D">
        <w:rPr>
          <w:rFonts w:hint="eastAsia"/>
        </w:rPr>
        <w:t>“</w:t>
      </w:r>
      <w:r w:rsidRPr="0011654C">
        <w:t>隐状态</w:t>
      </w:r>
      <w:r w:rsidR="00921E12">
        <w:rPr>
          <w:rFonts w:hint="eastAsia"/>
        </w:rPr>
        <w:t>—</w:t>
      </w:r>
      <w:r w:rsidRPr="0011654C">
        <w:t>观测</w:t>
      </w:r>
      <w:r w:rsidR="00921E12">
        <w:rPr>
          <w:rFonts w:hint="eastAsia"/>
        </w:rPr>
        <w:t>—</w:t>
      </w:r>
      <w:r w:rsidRPr="0011654C">
        <w:t>贝叶斯更新</w:t>
      </w:r>
      <w:r w:rsidR="00C21E46">
        <w:rPr>
          <w:rFonts w:hint="eastAsia"/>
        </w:rPr>
        <w:t>—</w:t>
      </w:r>
      <w:r w:rsidRPr="0011654C">
        <w:t>遗忘传播</w:t>
      </w:r>
      <w:r w:rsidR="0090405D">
        <w:rPr>
          <w:rFonts w:hint="eastAsia"/>
        </w:rPr>
        <w:t>”</w:t>
      </w:r>
      <w:r w:rsidRPr="0011654C">
        <w:t>构造，原始的部分可观测过程可以转写为在信念空间上的马尔可夫决策过程（</w:t>
      </w:r>
      <w:r w:rsidRPr="0011654C">
        <w:t>belief-MDP</w:t>
      </w:r>
      <w:r w:rsidRPr="0011654C">
        <w:t>），从而为后续在预算与产能硬约束下求解动态抽检策略提供标准的序贯决策</w:t>
      </w:r>
      <w:r w:rsidR="000C698B">
        <w:rPr>
          <w:rFonts w:hint="eastAsia"/>
        </w:rPr>
        <w:t>过程</w:t>
      </w:r>
      <w:r w:rsidRPr="0011654C">
        <w:t>与可实现的统计更新</w:t>
      </w:r>
      <w:r w:rsidR="00852858">
        <w:rPr>
          <w:rFonts w:hint="eastAsia"/>
        </w:rPr>
        <w:t>路径</w:t>
      </w:r>
      <w:r w:rsidR="00072657">
        <w:fldChar w:fldCharType="begin"/>
      </w:r>
      <w:r w:rsidR="00072657">
        <w:instrText xml:space="preserve"> ADDIN ZOTERO_ITEM CSL_CITATION {"citationID":"Mt8yxPPW","properties":{"formattedCitation":"(Altman, 2021; J. Wang et al., 2025)","plainCitation":"(Altman, 2021; J. Wang et al., 2025)","noteIndex":0},"citationItems":[{"id":363,"uris":["http://zotero.org/users/17227936/items/BFEZ6C6D"],"itemData":{"id":363,"type":"book","edition":"1","event-place":"Boca Raton","ISBN":"978-1-315-14022-3","language":"en","note":"DOI: 10.1201/9781315140223","publisher":"Routledge","publisher-place":"Boca Raton","source":"DOI.org (Crossref)","title":"Constrained Markov Decision Processes: Stochastic Modeling","title-short":"Constrained Markov Decision Processes","URL":"https://www.taylorfrancis.com/books/9781315140223","author":[{"family":"Altman","given":"Eitan"}],"accessed":{"date-parts":[["2025",12,30]]},"issued":{"date-parts":[["2021",12,13]]}}},{"id":353,"uris":["http://zotero.org/users/17227936/items/39XN9JYM"],"itemData":{"id":353,"type":"article-journal","abstract":"Emerging infectious diseases and biological invasions pose increasing threats to public and ecosystems health. Proactive measures—such as prevention and surveillance taken before initial detection of the pathogen or species—are essential to ensure minimal spread prior to first detection. We developed an optimization model to determine where, when, and how much effort should be allocated to prevention versus surveillance. The model accounts for imperfect detection, system dynamics, spatial heterogeneity in risk and costs and is scalable to large landscapes. We found that the most cost-effective strategy is to maintain the prevention and surveillance efforts at stable equilibrium for the majority of the time, with deviations occurring only initially to steer the system toward the equilibrium. The equilibrium effort is jointly determined by the introduction risk, management costs, and total budget. Application of this model to chronic wasting disease in New York State suggests that the optimal strategy could reduce the cumulative disease cases before initial detection by an average of 22% compared to current practice. The optimal surveillance strategy could detect the disease on average over 8 mo earlier than the current strategy.","container-title":"Proceedings of the National Academy of Sciences","DOI":"10.1073/pnas.2507202122","ISSN":"0027-8424, 1091-6490","issue":"39","journalAbbreviation":"Proc. Natl. Acad. Sci. U.S.A.","language":"en","page":"e2507202122","source":"DOI.org (Crossref)","title":"Strategic planning of prevention and surveillance for emerging diseases and invasive species","volume":"122","author":[{"family":"Wang","given":"Jue"},{"family":"Hanley","given":"Brenda J."},{"family":"Thompson","given":"Noelle E."},{"family":"Gong","given":"Yu"},{"family":"Walsh","given":"Daniel P."},{"family":"Gonzalez-Crespo","given":"Carlos"},{"family":"Huang","given":"Yitong"},{"family":"Booth","given":"James G."},{"family":"Caudell","given":"Joe N."},{"family":"Miller","given":"Landon A."},{"family":"Schuler","given":"Krysten L."}],"issued":{"date-parts":[["2025",9,30]]}}}],"schema":"https://github.com/citation-style-language/schema/raw/master/csl-citation.json"} </w:instrText>
      </w:r>
      <w:r w:rsidR="00072657">
        <w:fldChar w:fldCharType="separate"/>
      </w:r>
      <w:r w:rsidR="00E2692B" w:rsidRPr="00E2692B">
        <w:rPr>
          <w:rFonts w:cs="Times New Roman"/>
        </w:rPr>
        <w:t>(Altman, 2021; J. Wang et al., 2025)</w:t>
      </w:r>
      <w:r w:rsidR="00072657">
        <w:fldChar w:fldCharType="end"/>
      </w:r>
      <w:r w:rsidRPr="0011654C">
        <w:t>。</w:t>
      </w:r>
    </w:p>
    <w:p w14:paraId="3F7F3695" w14:textId="2741125A" w:rsidR="0011654C" w:rsidRDefault="006B4E9D" w:rsidP="006B4E9D">
      <w:pPr>
        <w:pStyle w:val="2"/>
      </w:pPr>
      <w:bookmarkStart w:id="37" w:name="_Toc218094773"/>
      <w:r w:rsidRPr="006B4E9D">
        <w:t>状态转移：供应链响应与外生扰动</w:t>
      </w:r>
      <w:bookmarkEnd w:id="37"/>
    </w:p>
    <w:p w14:paraId="5F8EA6F8" w14:textId="461FC9B0" w:rsidR="006B4E9D" w:rsidRDefault="005C21FB" w:rsidP="00610928">
      <w:pPr>
        <w:ind w:firstLine="480"/>
      </w:pPr>
      <w:r w:rsidRPr="005C21FB">
        <w:t>真实污染率的跨期演化满足马尔可夫结构，并同时受供给侧质量努力与流通端筛检</w:t>
      </w:r>
      <w:r w:rsidRPr="005C21FB">
        <w:t>/</w:t>
      </w:r>
      <w:r w:rsidRPr="005C21FB">
        <w:t>拦截强度影响。设供应端努力</w:t>
      </w:r>
      <m:oMath>
        <m:sSub>
          <m:sSubPr>
            <m:ctrlPr>
              <w:rPr>
                <w:rFonts w:ascii="Cambria Math" w:hAnsi="Cambria Math"/>
              </w:rPr>
            </m:ctrlPr>
          </m:sSubPr>
          <m:e>
            <m:r>
              <w:rPr>
                <w:rFonts w:ascii="Cambria Math" w:hAnsi="Cambria Math"/>
              </w:rPr>
              <m:t>u</m:t>
            </m:r>
          </m:e>
          <m:sub>
            <m:r>
              <w:rPr>
                <w:rFonts w:ascii="Cambria Math" w:hAnsi="Cambria Math"/>
              </w:rPr>
              <m:t>i,t</m:t>
            </m:r>
          </m:sub>
        </m:sSub>
      </m:oMath>
      <w:r w:rsidRPr="005C21FB">
        <w:t>与流通端筛检强度</w:t>
      </w:r>
      <m:oMath>
        <m:sSub>
          <m:sSubPr>
            <m:ctrlPr>
              <w:rPr>
                <w:rFonts w:ascii="Cambria Math" w:hAnsi="Cambria Math"/>
              </w:rPr>
            </m:ctrlPr>
          </m:sSubPr>
          <m:e>
            <m:r>
              <w:rPr>
                <w:rFonts w:ascii="Cambria Math" w:hAnsi="Cambria Math"/>
              </w:rPr>
              <m:t>v</m:t>
            </m:r>
          </m:e>
          <m:sub>
            <m:r>
              <w:rPr>
                <w:rFonts w:ascii="Cambria Math" w:hAnsi="Cambria Math"/>
              </w:rPr>
              <m:t>i,t</m:t>
            </m:r>
          </m:sub>
        </m:sSub>
      </m:oMath>
      <w:r w:rsidRPr="005C21FB">
        <w:t>为环境实体决策且对监管压力响应，外生扰动</w:t>
      </w:r>
      <m:oMath>
        <m:sSub>
          <m:sSubPr>
            <m:ctrlPr>
              <w:rPr>
                <w:rFonts w:ascii="Cambria Math" w:hAnsi="Cambria Math"/>
              </w:rPr>
            </m:ctrlPr>
          </m:sSubPr>
          <m:e>
            <m:r>
              <w:rPr>
                <w:rFonts w:ascii="Cambria Math" w:hAnsi="Cambria Math"/>
              </w:rPr>
              <m:t>ε</m:t>
            </m:r>
          </m:e>
          <m:sub>
            <m:r>
              <w:rPr>
                <w:rFonts w:ascii="Cambria Math" w:hAnsi="Cambria Math"/>
              </w:rPr>
              <m:t>i,t</m:t>
            </m:r>
          </m:sub>
        </m:sSub>
      </m:oMath>
      <w:r w:rsidR="00610928">
        <w:rPr>
          <w:rFonts w:hint="eastAsia"/>
        </w:rPr>
        <w:t>包括</w:t>
      </w:r>
      <w:r w:rsidRPr="005C21FB">
        <w:t>季节、气候、价格等冲击。</w:t>
      </w:r>
      <w:r w:rsidR="00F57BD5">
        <w:rPr>
          <w:rFonts w:hint="eastAsia"/>
        </w:rPr>
        <w:t>为保持以抽检资源分配为主要优化目的，</w:t>
      </w:r>
      <w:r w:rsidRPr="005C21FB">
        <w:t>要求响应函数满足单调性与边际递减：监管越强、预期惩罚</w:t>
      </w:r>
      <w:r w:rsidRPr="005C21FB">
        <w:t>/</w:t>
      </w:r>
      <w:r w:rsidRPr="005C21FB">
        <w:t>召回成本越高，越促使上游努力与下游拦截增强，从而降低下一期不合规概率；同时努力存在成本，提升幅度递减。</w:t>
      </w:r>
    </w:p>
    <w:p w14:paraId="02FAAE78" w14:textId="1A463203" w:rsidR="00B45599" w:rsidRDefault="00B45599" w:rsidP="00B45599">
      <w:pPr>
        <w:pStyle w:val="2"/>
      </w:pPr>
      <w:bookmarkStart w:id="38" w:name="_Toc218094774"/>
      <w:r w:rsidRPr="00B45599">
        <w:t>风险度量</w:t>
      </w:r>
      <w:bookmarkEnd w:id="38"/>
    </w:p>
    <w:p w14:paraId="5554D738" w14:textId="41FCFA9C" w:rsidR="00B45599" w:rsidRPr="00B45599" w:rsidRDefault="00B45599" w:rsidP="003C1F1E">
      <w:pPr>
        <w:ind w:firstLine="480"/>
      </w:pPr>
      <w:r w:rsidRPr="00881072">
        <w:rPr>
          <w:rFonts w:hint="eastAsia"/>
        </w:rPr>
        <w:t>本研究采用暴露边际（</w:t>
      </w:r>
      <w:r w:rsidRPr="00881072">
        <w:t>MarginofExposure,MOE</w:t>
      </w:r>
      <w:r w:rsidRPr="00881072">
        <w:rPr>
          <w:rFonts w:hint="eastAsia"/>
        </w:rPr>
        <w:t>）法进行风险特征描述</w:t>
      </w:r>
      <w:r>
        <w:rPr>
          <w:rFonts w:hint="eastAsia"/>
        </w:rPr>
        <w:t>。</w:t>
      </w:r>
      <w:r w:rsidRPr="00B45599">
        <w:t>对省份</w:t>
      </w:r>
      <m:oMath>
        <m:r>
          <w:rPr>
            <w:rFonts w:ascii="Cambria Math" w:hAnsi="Cambria Math"/>
          </w:rPr>
          <m:t>i</m:t>
        </m:r>
      </m:oMath>
      <w:r w:rsidRPr="00B45599">
        <w:t>、月份</w:t>
      </w:r>
      <m:oMath>
        <m:r>
          <w:rPr>
            <w:rFonts w:ascii="Cambria Math" w:hAnsi="Cambria Math"/>
          </w:rPr>
          <m:t>t</m:t>
        </m:r>
      </m:oMath>
      <w:r w:rsidRPr="00B45599">
        <w:t>，清洗表给出</w:t>
      </w:r>
      <w:r w:rsidRPr="00B45599">
        <w:t>AFB</w:t>
      </w:r>
      <w:r w:rsidRPr="00B45599">
        <w:rPr>
          <w:rFonts w:hint="eastAsia"/>
          <w:vertAlign w:val="subscript"/>
        </w:rPr>
        <w:t>1</w:t>
      </w:r>
      <w:r w:rsidRPr="00B45599">
        <w:t>浓度在污染发生条件下的对数正态参数</w:t>
      </w:r>
      <m:oMath>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i,t</m:t>
            </m:r>
          </m:sub>
          <m:sup>
            <m:r>
              <w:rPr>
                <w:rFonts w:ascii="Cambria Math" w:hAnsi="Cambria Math"/>
              </w:rPr>
              <m:t>C</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i,t</m:t>
            </m:r>
          </m:sub>
          <m:sup>
            <m:r>
              <w:rPr>
                <w:rFonts w:ascii="Cambria Math" w:hAnsi="Cambria Math"/>
              </w:rPr>
              <m:t>C</m:t>
            </m:r>
          </m:sup>
        </m:sSubSup>
        <m:r>
          <w:rPr>
            <w:rFonts w:ascii="Cambria Math" w:hAnsi="Cambria Math"/>
          </w:rPr>
          <m:t>)</m:t>
        </m:r>
      </m:oMath>
      <w:r w:rsidRPr="00B45599">
        <w:t>，据此计算期望浓度</w:t>
      </w:r>
      <m:oMath>
        <m:r>
          <m:rPr>
            <m:scr m:val="double-struck"/>
            <m:sty m:val="p"/>
          </m:rPr>
          <w:rPr>
            <w:rFonts w:ascii="Cambria Math" w:hAnsi="Cambria Math"/>
          </w:rPr>
          <m:t>E</m:t>
        </m:r>
        <m:d>
          <m:dPr>
            <m:begChr m:val="["/>
            <m:sepChr m:val="∣"/>
            <m:endChr m:val="]"/>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i,t</m:t>
                </m:r>
              </m:sub>
            </m:sSub>
          </m:e>
          <m:e>
            <m:r>
              <m:rPr>
                <m:nor/>
              </m:rPr>
              <m:t>contam</m:t>
            </m:r>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i,t</m:t>
                    </m:r>
                  </m:sub>
                  <m:sup>
                    <m:r>
                      <w:rPr>
                        <w:rFonts w:ascii="Cambria Math" w:hAnsi="Cambria Math"/>
                      </w:rPr>
                      <m:t>C</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i,t</m:t>
                    </m:r>
                  </m:sub>
                  <m:sup>
                    <m:r>
                      <w:rPr>
                        <w:rFonts w:ascii="Cambria Math" w:hAnsi="Cambria Math"/>
                      </w:rPr>
                      <m:t>C</m:t>
                    </m:r>
                  </m:sup>
                </m:sSubSup>
                <m:sSup>
                  <m:sSupPr>
                    <m:ctrlPr>
                      <w:rPr>
                        <w:rFonts w:ascii="Cambria Math" w:hAnsi="Cambria Math"/>
                      </w:rPr>
                    </m:ctrlPr>
                  </m:sSupPr>
                  <m:e>
                    <m:r>
                      <w:rPr>
                        <w:rFonts w:ascii="Cambria Math" w:hAnsi="Cambria Math"/>
                      </w:rPr>
                      <m:t>)</m:t>
                    </m:r>
                  </m:e>
                  <m:sup>
                    <m:r>
                      <w:rPr>
                        <w:rFonts w:ascii="Cambria Math" w:hAnsi="Cambria Math"/>
                      </w:rPr>
                      <m:t>2</m:t>
                    </m:r>
                  </m:sup>
                </m:sSup>
              </m:e>
            </m:d>
          </m:e>
        </m:func>
      </m:oMath>
      <w:r w:rsidR="001B71F9">
        <w:rPr>
          <w:rFonts w:hint="eastAsia"/>
        </w:rPr>
        <w:t>，</w:t>
      </w:r>
      <w:r w:rsidRPr="00B45599">
        <w:t>其中</w:t>
      </w:r>
      <m:oMath>
        <m:sSub>
          <m:sSubPr>
            <m:ctrlPr>
              <w:rPr>
                <w:rFonts w:ascii="Cambria Math" w:hAnsi="Cambria Math"/>
              </w:rPr>
            </m:ctrlPr>
          </m:sSubPr>
          <m:e>
            <m:r>
              <w:rPr>
                <w:rFonts w:ascii="Cambria Math" w:hAnsi="Cambria Math"/>
              </w:rPr>
              <m:t>C</m:t>
            </m:r>
          </m:e>
          <m:sub>
            <m:r>
              <w:rPr>
                <w:rFonts w:ascii="Cambria Math" w:hAnsi="Cambria Math"/>
              </w:rPr>
              <m:t>i,t</m:t>
            </m:r>
          </m:sub>
        </m:sSub>
      </m:oMath>
      <w:r w:rsidRPr="00B45599">
        <w:t>为浓度（单位如</w:t>
      </w:r>
      <m:oMath>
        <m:f>
          <m:fPr>
            <m:ctrlPr>
              <w:rPr>
                <w:rFonts w:ascii="Cambria Math" w:hAnsi="Cambria Math"/>
              </w:rPr>
            </m:ctrlPr>
          </m:fPr>
          <m:num>
            <m:r>
              <w:rPr>
                <w:rFonts w:ascii="Cambria Math" w:hAnsi="Cambria Math"/>
              </w:rPr>
              <m:t>μg</m:t>
            </m:r>
            <m:ctrlPr>
              <w:rPr>
                <w:rFonts w:ascii="Cambria Math" w:hAnsi="Cambria Math"/>
                <w:i/>
              </w:rPr>
            </m:ctrlPr>
          </m:num>
          <m:den>
            <m:r>
              <w:rPr>
                <w:rFonts w:ascii="Cambria Math" w:hAnsi="Cambria Math"/>
              </w:rPr>
              <m:t>kg</m:t>
            </m:r>
          </m:den>
        </m:f>
      </m:oMath>
      <w:r w:rsidRPr="00B45599">
        <w:t>）。污染发生概率不可观测，用信念均值</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i,t</m:t>
            </m:r>
          </m:sub>
        </m:sSub>
      </m:oMath>
      <w:r w:rsidRPr="00B45599">
        <w:t>（由</w:t>
      </w:r>
      <w:r w:rsidRPr="00B45599">
        <w:t>Beta–Binomial</w:t>
      </w:r>
      <w:r w:rsidRPr="00B45599">
        <w:t>后验得到）进行混合，得到用于暴露评</w:t>
      </w:r>
      <w:r w:rsidRPr="00B45599">
        <w:lastRenderedPageBreak/>
        <w:t>估的信念加权浓度</w:t>
      </w:r>
      <m:oMath>
        <m:sSub>
          <m:sSubPr>
            <m:ctrlPr>
              <w:rPr>
                <w:rFonts w:ascii="Cambria Math" w:hAnsi="Cambria Math"/>
              </w:rPr>
            </m:ctrlPr>
          </m:sSubPr>
          <m:e>
            <m:acc>
              <m:accPr>
                <m:chr m:val="ˉ"/>
                <m:ctrlPr>
                  <w:rPr>
                    <w:rFonts w:ascii="Cambria Math" w:hAnsi="Cambria Math"/>
                  </w:rPr>
                </m:ctrlPr>
              </m:accPr>
              <m:e>
                <m:r>
                  <w:rPr>
                    <w:rFonts w:ascii="Cambria Math" w:hAnsi="Cambria Math"/>
                  </w:rPr>
                  <m:t>C</m:t>
                </m:r>
              </m:e>
            </m:acc>
          </m:e>
          <m:sub>
            <m:r>
              <w:rPr>
                <w:rFonts w:ascii="Cambria Math" w:hAnsi="Cambria Math"/>
              </w:rPr>
              <m:t>i,t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i,t</m:t>
            </m:r>
          </m:sub>
        </m:sSub>
        <m:r>
          <m:rPr>
            <m:scr m:val="double-struck"/>
            <m:sty m:val="p"/>
          </m:rPr>
          <w:rPr>
            <w:rFonts w:ascii="Cambria Math" w:hAnsi="Cambria Math"/>
          </w:rPr>
          <m:t>E</m:t>
        </m:r>
        <m:d>
          <m:dPr>
            <m:begChr m:val="["/>
            <m:sepChr m:val="∣"/>
            <m:endChr m:val="]"/>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i,t</m:t>
                </m:r>
              </m:sub>
            </m:sSub>
          </m:e>
          <m:e>
            <m:r>
              <m:rPr>
                <m:nor/>
              </m:rPr>
              <m:t>contam</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i,t</m:t>
                </m:r>
              </m:sub>
            </m:sSub>
          </m:e>
        </m:d>
        <m:sSub>
          <m:sSubPr>
            <m:ctrlPr>
              <w:rPr>
                <w:rFonts w:ascii="Cambria Math" w:hAnsi="Cambria Math"/>
              </w:rPr>
            </m:ctrlPr>
          </m:sSubPr>
          <m:e>
            <m:r>
              <w:rPr>
                <w:rFonts w:ascii="Cambria Math" w:hAnsi="Cambria Math"/>
              </w:rPr>
              <m:t>C</m:t>
            </m:r>
          </m:e>
          <m:sub>
            <m:r>
              <w:rPr>
                <w:rFonts w:ascii="Cambria Math" w:hAnsi="Cambria Math"/>
              </w:rPr>
              <m:t>0</m:t>
            </m:r>
          </m:sub>
        </m:sSub>
      </m:oMath>
      <w:r>
        <w:rPr>
          <w:rFonts w:hint="eastAsia"/>
        </w:rPr>
        <w:t>，其中</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B45599">
        <w:t>为未检出替代值（</w:t>
      </w:r>
      <w:r w:rsidR="0098200D">
        <w:rPr>
          <w:rFonts w:hint="eastAsia"/>
        </w:rPr>
        <w:t>使用</w:t>
      </w:r>
      <w:r w:rsidRPr="00B45599">
        <w:t>LOD</w:t>
      </w:r>
      <w:r w:rsidR="0098200D">
        <w:rPr>
          <w:rFonts w:hint="eastAsia"/>
        </w:rPr>
        <w:t>或</w:t>
      </w:r>
      <m:oMath>
        <m:f>
          <m:fPr>
            <m:ctrlPr>
              <w:rPr>
                <w:rFonts w:ascii="Cambria Math" w:hAnsi="Cambria Math"/>
                <w:i/>
              </w:rPr>
            </m:ctrlPr>
          </m:fPr>
          <m:num>
            <m:r>
              <w:rPr>
                <w:rFonts w:ascii="Cambria Math" w:hAnsi="Cambria Math"/>
              </w:rPr>
              <m:t>LOD</m:t>
            </m:r>
          </m:num>
          <m:den>
            <m:r>
              <w:rPr>
                <w:rFonts w:ascii="Cambria Math" w:hAnsi="Cambria Math"/>
              </w:rPr>
              <m:t>2</m:t>
            </m:r>
          </m:den>
        </m:f>
      </m:oMath>
      <w:r w:rsidR="0098200D">
        <w:rPr>
          <w:rFonts w:hint="eastAsia"/>
        </w:rPr>
        <w:t>替换</w:t>
      </w:r>
      <w:r w:rsidRPr="00B45599">
        <w:t>）。由此计算摄入与暴露边际：</w:t>
      </w:r>
    </w:p>
    <w:p w14:paraId="32D1519E" w14:textId="5F276FF0" w:rsidR="00B45599" w:rsidRPr="00B45599" w:rsidRDefault="00B45599" w:rsidP="00B45599">
      <w:pPr>
        <w:ind w:firstLine="480"/>
      </w:pPr>
      <m:oMathPara>
        <m:oMath>
          <m:r>
            <w:rPr>
              <w:rFonts w:ascii="Cambria Math" w:hAnsi="Cambria Math"/>
            </w:rPr>
            <m:t>ED</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ˉ"/>
                      <m:ctrlPr>
                        <w:rPr>
                          <w:rFonts w:ascii="Cambria Math" w:hAnsi="Cambria Math"/>
                        </w:rPr>
                      </m:ctrlPr>
                    </m:accPr>
                    <m:e>
                      <m:r>
                        <w:rPr>
                          <w:rFonts w:ascii="Cambria Math" w:hAnsi="Cambria Math"/>
                        </w:rPr>
                        <m:t>C</m:t>
                      </m:r>
                    </m:e>
                  </m:acc>
                </m:e>
                <m:sub>
                  <m:r>
                    <w:rPr>
                      <w:rFonts w:ascii="Cambria Math" w:hAnsi="Cambria Math"/>
                    </w:rPr>
                    <m:t>i,t</m:t>
                  </m:r>
                </m:sub>
              </m:sSub>
              <m:r>
                <w:rPr>
                  <w:rFonts w:ascii="Cambria Math" w:hAnsi="Cambria Math"/>
                </w:rPr>
                <m:t>⋅Con</m:t>
              </m:r>
              <m:sSub>
                <m:sSubPr>
                  <m:ctrlPr>
                    <w:rPr>
                      <w:rFonts w:ascii="Cambria Math" w:hAnsi="Cambria Math"/>
                    </w:rPr>
                  </m:ctrlPr>
                </m:sSubPr>
                <m:e>
                  <m:r>
                    <w:rPr>
                      <w:rFonts w:ascii="Cambria Math" w:hAnsi="Cambria Math"/>
                    </w:rPr>
                    <m:t>s</m:t>
                  </m:r>
                </m:e>
                <m:sub>
                  <m:r>
                    <w:rPr>
                      <w:rFonts w:ascii="Cambria Math" w:hAnsi="Cambria Math"/>
                    </w:rPr>
                    <m:t>i,t</m:t>
                  </m:r>
                </m:sub>
              </m:sSub>
            </m:num>
            <m:den>
              <m:r>
                <w:rPr>
                  <w:rFonts w:ascii="Cambria Math" w:hAnsi="Cambria Math"/>
                </w:rPr>
                <m:t>BW</m:t>
              </m:r>
            </m:den>
          </m:f>
          <m:r>
            <w:rPr>
              <w:rFonts w:ascii="Cambria Math" w:hAnsi="Cambria Math"/>
            </w:rPr>
            <m:t>,MO</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f>
            <m:fPr>
              <m:ctrlPr>
                <w:rPr>
                  <w:rFonts w:ascii="Cambria Math" w:hAnsi="Cambria Math"/>
                </w:rPr>
              </m:ctrlPr>
            </m:fPr>
            <m:num>
              <m:r>
                <w:rPr>
                  <w:rFonts w:ascii="Cambria Math" w:hAnsi="Cambria Math"/>
                </w:rPr>
                <m:t>BMD</m:t>
              </m:r>
              <m:sSub>
                <m:sSubPr>
                  <m:ctrlPr>
                    <w:rPr>
                      <w:rFonts w:ascii="Cambria Math" w:hAnsi="Cambria Math"/>
                    </w:rPr>
                  </m:ctrlPr>
                </m:sSubPr>
                <m:e>
                  <m:r>
                    <w:rPr>
                      <w:rFonts w:ascii="Cambria Math" w:hAnsi="Cambria Math"/>
                    </w:rPr>
                    <m:t>L</m:t>
                  </m:r>
                </m:e>
                <m:sub>
                  <m:r>
                    <w:rPr>
                      <w:rFonts w:ascii="Cambria Math" w:hAnsi="Cambria Math"/>
                    </w:rPr>
                    <m:t>10</m:t>
                  </m:r>
                </m:sub>
              </m:sSub>
            </m:num>
            <m:den>
              <m:r>
                <w:rPr>
                  <w:rFonts w:ascii="Cambria Math" w:hAnsi="Cambria Math"/>
                </w:rPr>
                <m:t>ED</m:t>
              </m:r>
              <m:sSub>
                <m:sSubPr>
                  <m:ctrlPr>
                    <w:rPr>
                      <w:rFonts w:ascii="Cambria Math" w:hAnsi="Cambria Math"/>
                    </w:rPr>
                  </m:ctrlPr>
                </m:sSubPr>
                <m:e>
                  <m:r>
                    <w:rPr>
                      <w:rFonts w:ascii="Cambria Math" w:hAnsi="Cambria Math"/>
                    </w:rPr>
                    <m:t>I</m:t>
                  </m:r>
                </m:e>
                <m:sub>
                  <m:r>
                    <w:rPr>
                      <w:rFonts w:ascii="Cambria Math" w:hAnsi="Cambria Math"/>
                    </w:rPr>
                    <m:t>i,t</m:t>
                  </m:r>
                </m:sub>
              </m:sSub>
            </m:den>
          </m:f>
          <m:r>
            <w:rPr>
              <w:rFonts w:ascii="Cambria Math" w:hAnsi="Cambria Math"/>
            </w:rPr>
            <m:t>,</m:t>
          </m:r>
        </m:oMath>
      </m:oMathPara>
    </w:p>
    <w:p w14:paraId="2334DECF" w14:textId="207DAEFE" w:rsidR="00B45599" w:rsidRPr="00B45599" w:rsidRDefault="00B45599" w:rsidP="00B45599">
      <w:pPr>
        <w:ind w:firstLine="480"/>
      </w:pPr>
      <w:r w:rsidRPr="00B45599">
        <w:t>其中</w:t>
      </w:r>
      <m:oMath>
        <m:r>
          <w:rPr>
            <w:rFonts w:ascii="Cambria Math" w:hAnsi="Cambria Math"/>
          </w:rPr>
          <m:t>Con</m:t>
        </m:r>
        <m:sSub>
          <m:sSubPr>
            <m:ctrlPr>
              <w:rPr>
                <w:rFonts w:ascii="Cambria Math" w:hAnsi="Cambria Math"/>
              </w:rPr>
            </m:ctrlPr>
          </m:sSubPr>
          <m:e>
            <m:r>
              <w:rPr>
                <w:rFonts w:ascii="Cambria Math" w:hAnsi="Cambria Math"/>
              </w:rPr>
              <m:t>s</m:t>
            </m:r>
          </m:e>
          <m:sub>
            <m:r>
              <w:rPr>
                <w:rFonts w:ascii="Cambria Math" w:hAnsi="Cambria Math"/>
              </w:rPr>
              <m:t>i,t</m:t>
            </m:r>
          </m:sub>
        </m:sSub>
      </m:oMath>
      <w:r w:rsidRPr="00B45599">
        <w:t>为人均日消费量，</w:t>
      </w:r>
      <m:oMath>
        <m:r>
          <w:rPr>
            <w:rFonts w:ascii="Cambria Math" w:hAnsi="Cambria Math"/>
          </w:rPr>
          <m:t>BW</m:t>
        </m:r>
      </m:oMath>
      <w:r w:rsidRPr="00B45599">
        <w:t>为平均体重，</w:t>
      </w:r>
      <m:oMath>
        <m:r>
          <w:rPr>
            <w:rFonts w:ascii="Cambria Math" w:hAnsi="Cambria Math"/>
          </w:rPr>
          <m:t>BMD</m:t>
        </m:r>
        <m:sSub>
          <m:sSubPr>
            <m:ctrlPr>
              <w:rPr>
                <w:rFonts w:ascii="Cambria Math" w:hAnsi="Cambria Math"/>
              </w:rPr>
            </m:ctrlPr>
          </m:sSubPr>
          <m:e>
            <m:r>
              <w:rPr>
                <w:rFonts w:ascii="Cambria Math" w:hAnsi="Cambria Math"/>
              </w:rPr>
              <m:t>L</m:t>
            </m:r>
          </m:e>
          <m:sub>
            <m:r>
              <w:rPr>
                <w:rFonts w:ascii="Cambria Math" w:hAnsi="Cambria Math"/>
              </w:rPr>
              <m:t>10</m:t>
            </m:r>
          </m:sub>
        </m:sSub>
      </m:oMath>
      <w:r w:rsidRPr="00B45599">
        <w:t>为毒理学基准剂量下限（单位与</w:t>
      </w:r>
      <m:oMath>
        <m:r>
          <w:rPr>
            <w:rFonts w:ascii="Cambria Math" w:hAnsi="Cambria Math"/>
          </w:rPr>
          <m:t>EDI</m:t>
        </m:r>
      </m:oMath>
      <w:r w:rsidRPr="00B45599">
        <w:t>一致）。将</w:t>
      </w:r>
      <m:oMath>
        <m:r>
          <w:rPr>
            <w:rFonts w:ascii="Cambria Math" w:hAnsi="Cambria Math"/>
          </w:rPr>
          <m:t>MO</m:t>
        </m:r>
        <m:sSub>
          <m:sSubPr>
            <m:ctrlPr>
              <w:rPr>
                <w:rFonts w:ascii="Cambria Math" w:hAnsi="Cambria Math"/>
              </w:rPr>
            </m:ctrlPr>
          </m:sSubPr>
          <m:e>
            <m:r>
              <w:rPr>
                <w:rFonts w:ascii="Cambria Math" w:hAnsi="Cambria Math"/>
              </w:rPr>
              <m:t>E</m:t>
            </m:r>
          </m:e>
          <m:sub>
            <m:r>
              <w:rPr>
                <w:rFonts w:ascii="Cambria Math" w:hAnsi="Cambria Math"/>
              </w:rPr>
              <m:t>i,t</m:t>
            </m:r>
          </m:sub>
        </m:sSub>
      </m:oMath>
      <w:r w:rsidRPr="00B45599">
        <w:t>通过阈值</w:t>
      </w:r>
      <m:oMath>
        <m:r>
          <w:rPr>
            <w:rFonts w:ascii="Cambria Math" w:hAnsi="Cambria Math"/>
          </w:rPr>
          <m:t>T</m:t>
        </m:r>
      </m:oMath>
      <w:r w:rsidRPr="00B45599">
        <w:t>映射为惩罚</w:t>
      </w:r>
      <m:oMath>
        <m:r>
          <w:rPr>
            <w:rFonts w:ascii="Cambria Math" w:hAnsi="Cambria Math"/>
          </w:rPr>
          <m:t>g(MO</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;T)</m:t>
        </m:r>
      </m:oMath>
      <w:r w:rsidRPr="00B45599">
        <w:t>，并按人口权重</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=Po</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r>
              <w:rPr>
                <w:rFonts w:ascii="Cambria Math" w:hAnsi="Cambria Math"/>
              </w:rPr>
              <m:t>Po</m:t>
            </m:r>
          </m:e>
        </m:nary>
        <m:sSub>
          <m:sSubPr>
            <m:ctrlPr>
              <w:rPr>
                <w:rFonts w:ascii="Cambria Math" w:hAnsi="Cambria Math"/>
              </w:rPr>
            </m:ctrlPr>
          </m:sSubPr>
          <m:e>
            <m:r>
              <w:rPr>
                <w:rFonts w:ascii="Cambria Math" w:hAnsi="Cambria Math"/>
              </w:rPr>
              <m:t>p</m:t>
            </m:r>
          </m:e>
          <m:sub>
            <m:r>
              <w:rPr>
                <w:rFonts w:ascii="Cambria Math" w:hAnsi="Cambria Math"/>
              </w:rPr>
              <m:t>k</m:t>
            </m:r>
          </m:sub>
        </m:sSub>
      </m:oMath>
      <w:r w:rsidRPr="00B45599">
        <w:t>汇总进入目标函数，使抽检策略直接最小化暴露风险而非仅优化检出率</w:t>
      </w:r>
      <w:r w:rsidR="003C1F1E">
        <w:fldChar w:fldCharType="begin"/>
      </w:r>
      <w:r w:rsidR="003C1F1E">
        <w:instrText xml:space="preserve"> ADDIN ZOTERO_ITEM CSL_CITATION {"citationID":"IGhO6MRO","properties":{"formattedCitation":"(Benford et al., 2010; EFSA Scientific Committee, 2005)","plainCitation":"(Benford et al., 2010; EFSA Scientific Committee, 2005)","noteIndex":0},"citationItems":[{"id":340,"uris":["http://zotero.org/users/17227936/items/6FKSG6UU"],"itemData":{"id":340,"type":"article-journal","abstract":"This paper presents the work of an expert group established by the International Life Sciences Institute –European branch (ILSI Europe) to follow up the recommendations of an international conference on ‘‘Risk Assessment of Compounds that are both Genotoxic and Carcinogenic: New Approaches”. Twelve genotoxic and carcinogenic chemicals that can be present in food were selected for calculation of a Margin of Exposure (MOE) between a point of departure on the dose–response for oral carcinogenicity in animal studies and estimates of human dietary exposure. The MOE can be used to support prioritisation of risk management action and, if the MOE is very large, on communication of a low level of human health concern. Depending on the approaches taken in determining the point of departure and the estimation of exposure, it is possible to derive very different values for the MOE. It is therefore essential that the selection of the cancer endpoint and mathematical treatment of the data are clearly described and justiﬁed if the results of the MOE approach are to be trusted and of value to risk managers. An outline framework for calculating an MOE is proposed in order to help to ensure transparency in the results.","container-title":"Food and Chemical Toxicology","DOI":"10.1016/j.fct.2009.11.003","ISSN":"02786915","journalAbbreviation":"Food and Chemical Toxicology","language":"en","page":"S2-S24","source":"DOI.org (Crossref)","title":"Application of the Margin of Exposure (MOE) approach to substances in food that are genotoxic and carcinogenic","volume":"48","author":[{"family":"Benford","given":"Diane"},{"family":"Bolger","given":"P. Michael"},{"family":"Carthew","given":"Philip"},{"family":"Coulet","given":"Myriam"},{"family":"DiNovi","given":"Michael"},{"family":"Leblanc","given":"Jean-Charles"},{"family":"Renwick","given":"Andrew G."},{"family":"Setzer","given":"Woodrow"},{"family":"Schlatter","given":"Josef"},{"family":"Smith","given":"Benjamin"},{"family":"Slob","given":"Wout"},{"family":"Williams","given":"Gary"},{"family":"Wildemann","given":"Tanja"}],"issued":{"date-parts":[["2010",1]]}}},{"id":417,"uris":["http://zotero.org/users/17227936/items/ICTKSSEK"],"itemData":{"id":417,"type":"article-journal","abstract":"Both favourable and adverse effects on health related to food consumption depend on how much we eat of different ingredients and what these ingredients contain.","container-title":"EFSA Journal","DOI":"10.2903/j.efsa.2005.249","ISSN":"1831-4732","issue":"EFSA Journal","language":"en","source":"DOI.org (CSL JSON)","title":"Opinion of the Scientific Committee on a request from EFSA related to Exposure Assessments","URL":"https://data.europa.eu/doi/10.2903/j.efsa.2005.249","author":[{"literal":"EFSA Scientific Committee"}],"accessed":{"date-parts":[["2025",12,30]]},"issued":{"date-parts":[["2005"]]}}}],"schema":"https://github.com/citation-style-language/schema/raw/master/csl-citation.json"} </w:instrText>
      </w:r>
      <w:r w:rsidR="003C1F1E">
        <w:fldChar w:fldCharType="separate"/>
      </w:r>
      <w:r w:rsidR="00E2692B" w:rsidRPr="00E2692B">
        <w:rPr>
          <w:rFonts w:cs="Times New Roman"/>
        </w:rPr>
        <w:t>(Benford et al., 2010; EFSA Scientific Committee, 2005)</w:t>
      </w:r>
      <w:r w:rsidR="003C1F1E">
        <w:fldChar w:fldCharType="end"/>
      </w:r>
      <w:r w:rsidRPr="00B45599">
        <w:t>。</w:t>
      </w:r>
    </w:p>
    <w:p w14:paraId="25B9CF29" w14:textId="0449409E" w:rsidR="00B45599" w:rsidRDefault="0070772A" w:rsidP="0070772A">
      <w:pPr>
        <w:pStyle w:val="2"/>
      </w:pPr>
      <w:bookmarkStart w:id="39" w:name="_Toc218094775"/>
      <w:r w:rsidRPr="0070772A">
        <w:t>目标函数与约束</w:t>
      </w:r>
      <w:bookmarkEnd w:id="39"/>
    </w:p>
    <w:p w14:paraId="6C3AABD2" w14:textId="40ACCDA8" w:rsidR="00D82871" w:rsidRDefault="00D82871" w:rsidP="00D82871">
      <w:pPr>
        <w:ind w:firstLine="480"/>
        <w:rPr>
          <w:rFonts w:cs="宋体"/>
          <w:kern w:val="0"/>
          <w:sz w:val="27"/>
          <w:szCs w:val="27"/>
        </w:rPr>
      </w:pPr>
      <w:r w:rsidRPr="00D0512E">
        <w:t>(1)</w:t>
      </w:r>
      <w:r>
        <w:t>决策变量（动作）</w:t>
      </w:r>
    </w:p>
    <w:p w14:paraId="21DE94A5" w14:textId="77777777" w:rsidR="00D82871" w:rsidRDefault="00D82871" w:rsidP="00D82871">
      <w:pPr>
        <w:ind w:firstLine="480"/>
      </w:pPr>
      <w:r>
        <w:t>政府在每期选择跨省</w:t>
      </w:r>
      <w:r>
        <w:t>×</w:t>
      </w:r>
      <w:r>
        <w:t>环节的整数抽检批次：</w:t>
      </w:r>
    </w:p>
    <w:p w14:paraId="72F9536F" w14:textId="6E1E24EC" w:rsidR="00D82871" w:rsidRDefault="00000000" w:rsidP="00D82871">
      <w:pPr>
        <w:ind w:firstLine="480"/>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i,e,t</m:t>
              </m:r>
            </m:sub>
          </m:sSub>
          <m:sSubSup>
            <m:sSubSupPr>
              <m:ctrlPr>
                <w:rPr>
                  <w:rFonts w:ascii="Cambria Math" w:hAnsi="Cambria Math"/>
                </w:rPr>
              </m:ctrlPr>
            </m:sSubSupPr>
            <m:e>
              <m:r>
                <w:rPr>
                  <w:rFonts w:ascii="Cambria Math" w:hAnsi="Cambria Math"/>
                </w:rPr>
                <m:t>}</m:t>
              </m:r>
            </m:e>
            <m:sub>
              <m:r>
                <w:rPr>
                  <w:rFonts w:ascii="Cambria Math" w:hAnsi="Cambria Math"/>
                </w:rPr>
                <m:t>i=1,e∈{S,M}</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i,e,t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≥0</m:t>
              </m:r>
            </m:sub>
          </m:sSub>
          <m:r>
            <m:rPr>
              <m:sty m:val="p"/>
            </m:rPr>
            <w:rPr>
              <w:rFonts w:ascii="Cambria Math" w:hAnsi="Cambria Math"/>
            </w:rPr>
            <m:t>.</m:t>
          </m:r>
        </m:oMath>
      </m:oMathPara>
    </w:p>
    <w:p w14:paraId="6202ACD4" w14:textId="2070D1E1" w:rsidR="00D82871" w:rsidRDefault="00D82871" w:rsidP="00D82871">
      <w:pPr>
        <w:ind w:firstLine="480"/>
      </w:pPr>
      <w:r>
        <w:t>(2)belief-MDP</w:t>
      </w:r>
      <w:r>
        <w:t>的状态与转移（抽象写法）</w:t>
      </w:r>
    </w:p>
    <w:p w14:paraId="1BAD2340" w14:textId="38457B73" w:rsidR="00D82871" w:rsidRDefault="00D82871" w:rsidP="00D82871">
      <w:pPr>
        <w:ind w:firstLine="480"/>
      </w:pPr>
      <w:r>
        <w:t>令</w:t>
      </w:r>
      <m:oMath>
        <m:sSub>
          <m:sSubPr>
            <m:ctrlPr>
              <w:rPr>
                <w:rFonts w:ascii="Cambria Math" w:hAnsi="Cambria Math"/>
              </w:rPr>
            </m:ctrlPr>
          </m:sSubPr>
          <m:e>
            <m:r>
              <w:rPr>
                <w:rFonts w:ascii="Cambria Math" w:hAnsi="Cambria Math"/>
              </w:rPr>
              <m:t>b</m:t>
            </m:r>
          </m:e>
          <m:sub>
            <m:r>
              <w:rPr>
                <w:rFonts w:ascii="Cambria Math" w:hAnsi="Cambria Math"/>
              </w:rPr>
              <m:t>t</m:t>
            </m:r>
          </m:sub>
        </m:sSub>
      </m:oMath>
      <w:r>
        <w:t>表示期</w:t>
      </w:r>
      <m:oMath>
        <m:r>
          <w:rPr>
            <w:rFonts w:ascii="Cambria Math" w:hAnsi="Cambria Math"/>
          </w:rPr>
          <m:t>t</m:t>
        </m:r>
      </m:oMath>
      <w:r>
        <w:t>的信念状态（包含所有</w:t>
      </w:r>
      <m:oMath>
        <m:r>
          <w:rPr>
            <w:rFonts w:ascii="Cambria Math" w:hAnsi="Cambria Math"/>
          </w:rPr>
          <m:t>(i,e)</m:t>
        </m:r>
      </m:oMath>
      <w:r>
        <w:t>的</w:t>
      </w:r>
      <m:oMath>
        <m:sSub>
          <m:sSubPr>
            <m:ctrlPr>
              <w:rPr>
                <w:rFonts w:ascii="Cambria Math" w:hAnsi="Cambria Math"/>
              </w:rPr>
            </m:ctrlPr>
          </m:sSubPr>
          <m:e>
            <m:r>
              <w:rPr>
                <w:rFonts w:ascii="Cambria Math" w:hAnsi="Cambria Math"/>
              </w:rPr>
              <m:t>α</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i,e,t</m:t>
            </m:r>
          </m:sub>
        </m:sSub>
      </m:oMath>
      <w:r>
        <w:t>及其派生均值</w:t>
      </w:r>
      <w:r>
        <w:t>/</w:t>
      </w:r>
      <w:r>
        <w:t>方差等），则在给定动作</w:t>
      </w:r>
      <m:oMath>
        <m:sSub>
          <m:sSubPr>
            <m:ctrlPr>
              <w:rPr>
                <w:rFonts w:ascii="Cambria Math" w:hAnsi="Cambria Math"/>
              </w:rPr>
            </m:ctrlPr>
          </m:sSubPr>
          <m:e>
            <m:r>
              <w:rPr>
                <w:rFonts w:ascii="Cambria Math" w:hAnsi="Cambria Math"/>
              </w:rPr>
              <m:t>a</m:t>
            </m:r>
          </m:e>
          <m:sub>
            <m:r>
              <w:rPr>
                <w:rFonts w:ascii="Cambria Math" w:hAnsi="Cambria Math"/>
              </w:rPr>
              <m:t>t</m:t>
            </m:r>
          </m:sub>
        </m:sSub>
      </m:oMath>
      <w:r>
        <w:t>并观测到</w:t>
      </w:r>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i,e,t</m:t>
            </m:r>
          </m:sub>
        </m:sSub>
        <m:r>
          <w:rPr>
            <w:rFonts w:ascii="Cambria Math" w:hAnsi="Cambria Math"/>
          </w:rPr>
          <m:t>}</m:t>
        </m:r>
      </m:oMath>
      <w:r>
        <w:t>后，</w:t>
      </w:r>
    </w:p>
    <w:p w14:paraId="5C2E06BF" w14:textId="6300CA7C" w:rsidR="00D82871" w:rsidRDefault="00000000" w:rsidP="00D82871">
      <w:pPr>
        <w:ind w:firstLine="480"/>
      </w:pPr>
      <m:oMathPara>
        <m:oMath>
          <m:sSub>
            <m:sSubPr>
              <m:ctrlPr>
                <w:rPr>
                  <w:rFonts w:ascii="Cambria Math" w:hAnsi="Cambria Math"/>
                </w:rPr>
              </m:ctrlPr>
            </m:sSubPr>
            <m:e>
              <m:r>
                <w:rPr>
                  <w:rFonts w:ascii="Cambria Math" w:hAnsi="Cambria Math"/>
                </w:rPr>
                <m:t>b</m:t>
              </m:r>
            </m:e>
            <m:sub>
              <m:r>
                <w:rPr>
                  <w:rFonts w:ascii="Cambria Math" w:hAnsi="Cambria Math"/>
                </w:rPr>
                <m:t>t+1</m:t>
              </m:r>
            </m:sub>
          </m:sSub>
          <m:r>
            <w:rPr>
              <w:rFonts w:ascii="Cambria Math" w:hAnsi="Cambria Math"/>
            </w:rPr>
            <m:t>=τ(</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oMath>
      </m:oMathPara>
    </w:p>
    <w:p w14:paraId="6CC5A593" w14:textId="134905B0" w:rsidR="00D82871" w:rsidRDefault="00D82871" w:rsidP="00D82871">
      <w:pPr>
        <w:ind w:firstLine="480"/>
      </w:pPr>
      <w:r>
        <w:t>其中</w:t>
      </w:r>
      <m:oMath>
        <m:r>
          <w:rPr>
            <w:rFonts w:ascii="Cambria Math" w:hAnsi="Cambria Math"/>
          </w:rPr>
          <m:t>τ(⋅)</m:t>
        </m:r>
      </m:oMath>
      <w:r>
        <w:t>由</w:t>
      </w:r>
      <w:r>
        <w:t>Beta–Binomial</w:t>
      </w:r>
      <w:r>
        <w:t>共轭更新</w:t>
      </w:r>
      <w:r>
        <w:t>+</w:t>
      </w:r>
      <w:r>
        <w:t>遗忘因子传播给出（已在</w:t>
      </w:r>
      <w:r>
        <w:t>4.2</w:t>
      </w:r>
      <w:r>
        <w:t>定义）。</w:t>
      </w:r>
    </w:p>
    <w:p w14:paraId="756DF096" w14:textId="31C7DCC5" w:rsidR="00D82871" w:rsidRDefault="00D82871" w:rsidP="00D82871">
      <w:pPr>
        <w:ind w:firstLine="480"/>
      </w:pPr>
      <w:r>
        <w:t>(3)</w:t>
      </w:r>
      <w:r>
        <w:t>单期损失</w:t>
      </w:r>
      <w:r>
        <w:t>/</w:t>
      </w:r>
      <w:r>
        <w:t>奖励函数（风险</w:t>
      </w:r>
      <w:r>
        <w:t>+</w:t>
      </w:r>
      <w:r>
        <w:t>成本</w:t>
      </w:r>
      <w:r>
        <w:t>+</w:t>
      </w:r>
      <w:r>
        <w:t>处置</w:t>
      </w:r>
      <w:r>
        <w:t>/</w:t>
      </w:r>
      <w:r>
        <w:t>召回</w:t>
      </w:r>
      <w:r>
        <w:t>+</w:t>
      </w:r>
      <w:r>
        <w:t>信息价值）</w:t>
      </w:r>
    </w:p>
    <w:p w14:paraId="15B391D2" w14:textId="77777777" w:rsidR="00D82871" w:rsidRDefault="00D82871" w:rsidP="00D82871">
      <w:pPr>
        <w:ind w:firstLine="480"/>
      </w:pPr>
      <w:r>
        <w:t>先定义人口权重</w:t>
      </w:r>
    </w:p>
    <w:p w14:paraId="24EDEB59" w14:textId="28ED5EB7" w:rsidR="00D82871" w:rsidRDefault="00000000" w:rsidP="00D82871">
      <w:pPr>
        <w:ind w:firstLine="480"/>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Po</m:t>
              </m:r>
              <m:sSub>
                <m:sSubPr>
                  <m:ctrlPr>
                    <w:rPr>
                      <w:rFonts w:ascii="Cambria Math" w:hAnsi="Cambria Math"/>
                    </w:rPr>
                  </m:ctrlPr>
                </m:sSubPr>
                <m:e>
                  <m:r>
                    <w:rPr>
                      <w:rFonts w:ascii="Cambria Math" w:hAnsi="Cambria Math"/>
                    </w:rPr>
                    <m:t>p</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I</m:t>
                  </m:r>
                </m:sup>
                <m:e>
                  <m:sSub>
                    <m:sSubPr>
                      <m:ctrlPr>
                        <w:rPr>
                          <w:rFonts w:ascii="Cambria Math" w:hAnsi="Cambria Math"/>
                        </w:rPr>
                      </m:ctrlPr>
                    </m:sSubPr>
                    <m:e>
                      <m:r>
                        <w:rPr>
                          <w:rFonts w:ascii="Cambria Math" w:hAnsi="Cambria Math" w:hint="eastAsia"/>
                        </w:rPr>
                        <m:t>Pop</m:t>
                      </m:r>
                    </m:e>
                    <m:sub>
                      <m:r>
                        <w:rPr>
                          <w:rFonts w:ascii="Cambria Math" w:hAnsi="Cambria Math"/>
                        </w:rPr>
                        <m:t>k</m:t>
                      </m:r>
                    </m:sub>
                  </m:sSub>
                </m:e>
              </m:nary>
            </m:den>
          </m:f>
          <m:r>
            <m:rPr>
              <m:sty m:val="p"/>
            </m:rPr>
            <w:rPr>
              <w:rFonts w:ascii="Cambria Math" w:hAnsi="Cambria Math"/>
            </w:rPr>
            <m:t>.</m:t>
          </m:r>
        </m:oMath>
      </m:oMathPara>
    </w:p>
    <w:p w14:paraId="566A88CD" w14:textId="34721DD9" w:rsidR="00D82871" w:rsidRDefault="00D82871" w:rsidP="00D82871">
      <w:pPr>
        <w:ind w:firstLine="480"/>
      </w:pPr>
      <w:r>
        <w:t>以</w:t>
      </w:r>
      <w:r>
        <w:t>MOE</w:t>
      </w:r>
      <w:r>
        <w:t>驱动的风险惩罚为核心，令</w:t>
      </w:r>
      <m:oMath>
        <m:r>
          <w:rPr>
            <w:rFonts w:ascii="Cambria Math" w:hAnsi="Cambria Math"/>
          </w:rPr>
          <m:t>g(MO</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;T)</m:t>
        </m:r>
      </m:oMath>
      <w:r>
        <w:t>为将</w:t>
      </w:r>
      <m:oMath>
        <m:r>
          <w:rPr>
            <w:rFonts w:ascii="Cambria Math" w:hAnsi="Cambria Math"/>
          </w:rPr>
          <m:t>MO</m:t>
        </m:r>
        <m:sSub>
          <m:sSubPr>
            <m:ctrlPr>
              <w:rPr>
                <w:rFonts w:ascii="Cambria Math" w:hAnsi="Cambria Math"/>
              </w:rPr>
            </m:ctrlPr>
          </m:sSubPr>
          <m:e>
            <m:r>
              <w:rPr>
                <w:rFonts w:ascii="Cambria Math" w:hAnsi="Cambria Math"/>
              </w:rPr>
              <m:t>E</m:t>
            </m:r>
          </m:e>
          <m:sub>
            <m:r>
              <w:rPr>
                <w:rFonts w:ascii="Cambria Math" w:hAnsi="Cambria Math"/>
              </w:rPr>
              <m:t>i,t</m:t>
            </m:r>
          </m:sub>
        </m:sSub>
      </m:oMath>
      <w:r>
        <w:t>映射为风险强度的函数（例如阈值缺口或</w:t>
      </w:r>
      <m:oMath>
        <m:r>
          <m:rPr>
            <m:sty m:val="p"/>
          </m:rPr>
          <w:rPr>
            <w:rFonts w:ascii="Cambria Math" w:hAnsi="Cambria Math"/>
          </w:rPr>
          <m:t>Pr</m:t>
        </m:r>
        <m:r>
          <w:rPr>
            <w:rFonts w:ascii="Cambria Math" w:hAnsi="Cambria Math"/>
          </w:rPr>
          <m:t>⁡(MO</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&lt;T)</m:t>
        </m:r>
      </m:oMath>
      <w:r>
        <w:t>），其中</w:t>
      </w:r>
      <m:oMath>
        <m:r>
          <w:rPr>
            <w:rFonts w:ascii="Cambria Math" w:hAnsi="Cambria Math"/>
          </w:rPr>
          <m:t>T</m:t>
        </m:r>
      </m:oMath>
      <w:r>
        <w:t>为参考阈值。</w:t>
      </w:r>
      <m:oMath>
        <m:r>
          <w:rPr>
            <w:rFonts w:ascii="Cambria Math" w:hAnsi="Cambria Math"/>
          </w:rPr>
          <m:t>MO</m:t>
        </m:r>
        <m:sSub>
          <m:sSubPr>
            <m:ctrlPr>
              <w:rPr>
                <w:rFonts w:ascii="Cambria Math" w:hAnsi="Cambria Math"/>
              </w:rPr>
            </m:ctrlPr>
          </m:sSubPr>
          <m:e>
            <m:r>
              <w:rPr>
                <w:rFonts w:ascii="Cambria Math" w:hAnsi="Cambria Math"/>
              </w:rPr>
              <m:t>E</m:t>
            </m:r>
          </m:e>
          <m:sub>
            <m:r>
              <w:rPr>
                <w:rFonts w:ascii="Cambria Math" w:hAnsi="Cambria Math"/>
              </w:rPr>
              <m:t>i,t</m:t>
            </m:r>
          </m:sub>
        </m:sSub>
      </m:oMath>
      <w:r>
        <w:t>由前节暴露评估从</w:t>
      </w:r>
      <m:oMath>
        <m:sSub>
          <m:sSubPr>
            <m:ctrlPr>
              <w:rPr>
                <w:rFonts w:ascii="Cambria Math" w:hAnsi="Cambria Math"/>
              </w:rPr>
            </m:ctrlPr>
          </m:sSubPr>
          <m:e>
            <m:r>
              <w:rPr>
                <w:rFonts w:ascii="Cambria Math" w:hAnsi="Cambria Math"/>
              </w:rPr>
              <m:t>b</m:t>
            </m:r>
          </m:e>
          <m:sub>
            <m:r>
              <w:rPr>
                <w:rFonts w:ascii="Cambria Math" w:hAnsi="Cambria Math"/>
              </w:rPr>
              <m:t>t</m:t>
            </m:r>
          </m:sub>
        </m:sSub>
      </m:oMath>
      <w:r>
        <w:t>与</w:t>
      </w:r>
      <m:oMath>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i,t</m:t>
            </m:r>
          </m:sub>
          <m:sup>
            <m:r>
              <w:rPr>
                <w:rFonts w:ascii="Cambria Math" w:hAnsi="Cambria Math"/>
              </w:rPr>
              <m:t>C</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i,t</m:t>
            </m:r>
          </m:sub>
          <m:sup>
            <m:r>
              <w:rPr>
                <w:rFonts w:ascii="Cambria Math" w:hAnsi="Cambria Math"/>
              </w:rPr>
              <m:t>C</m:t>
            </m:r>
          </m:sup>
        </m:sSubSup>
        <m:r>
          <w:rPr>
            <w:rFonts w:ascii="Cambria Math" w:hAnsi="Cambria Math"/>
          </w:rPr>
          <m:t>)</m:t>
        </m:r>
      </m:oMath>
      <w:r>
        <w:t>等参数计算得到，记为</w:t>
      </w:r>
      <m:oMath>
        <m:r>
          <w:rPr>
            <w:rFonts w:ascii="Cambria Math" w:hAnsi="Cambria Math"/>
          </w:rPr>
          <m:t>MO</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=MO</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oMath>
      <w:r>
        <w:t>。</w:t>
      </w:r>
    </w:p>
    <w:p w14:paraId="500F07A6" w14:textId="4F275A03" w:rsidR="00D82871" w:rsidRDefault="00D82871" w:rsidP="00D82871">
      <w:pPr>
        <w:ind w:firstLine="480"/>
      </w:pPr>
      <w:r>
        <w:t>抽检成本采用两环节单位成本</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oMath>
      <w:r>
        <w:t>：</w:t>
      </w:r>
    </w:p>
    <w:p w14:paraId="6BA549B6" w14:textId="5A0C2EEB" w:rsidR="00D82871" w:rsidRDefault="00000000" w:rsidP="00D82871">
      <w:pPr>
        <w:ind w:firstLine="480"/>
      </w:pPr>
      <m:oMathPara>
        <m:oMath>
          <m:sSup>
            <m:sSupPr>
              <m:ctrlPr>
                <w:rPr>
                  <w:rFonts w:ascii="Cambria Math" w:hAnsi="Cambria Math"/>
                </w:rPr>
              </m:ctrlPr>
            </m:sSupPr>
            <m:e>
              <m:r>
                <w:rPr>
                  <w:rFonts w:ascii="Cambria Math" w:hAnsi="Cambria Math"/>
                </w:rPr>
                <m:t>C</m:t>
              </m:r>
            </m:e>
            <m:sup>
              <m:r>
                <m:rPr>
                  <m:nor/>
                </m:rPr>
                <m:t>ins</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I</m:t>
              </m:r>
            </m:sup>
            <m:e>
              <m:nary>
                <m:naryPr>
                  <m:chr m:val="∑"/>
                  <m:limLoc m:val="undOvr"/>
                  <m:grow m:val="1"/>
                  <m:supHide m:val="1"/>
                  <m:ctrlPr>
                    <w:rPr>
                      <w:rFonts w:ascii="Cambria Math" w:hAnsi="Cambria Math"/>
                    </w:rPr>
                  </m:ctrlPr>
                </m:naryPr>
                <m:sub>
                  <m:r>
                    <w:rPr>
                      <w:rFonts w:ascii="Cambria Math" w:hAnsi="Cambria Math"/>
                    </w:rPr>
                    <m:t>e∈{S,M}</m:t>
                  </m:r>
                </m:sub>
                <m:sup/>
                <m:e>
                  <m:sSub>
                    <m:sSubPr>
                      <m:ctrlPr>
                        <w:rPr>
                          <w:rFonts w:ascii="Cambria Math" w:hAnsi="Cambria Math"/>
                        </w:rPr>
                      </m:ctrlPr>
                    </m:sSubPr>
                    <m:e>
                      <m:r>
                        <w:rPr>
                          <w:rFonts w:ascii="Cambria Math" w:hAnsi="Cambria Math"/>
                        </w:rPr>
                        <m:t>c</m:t>
                      </m:r>
                    </m:e>
                    <m:sub>
                      <m:r>
                        <w:rPr>
                          <w:rFonts w:ascii="Cambria Math" w:hAnsi="Cambria Math"/>
                        </w:rPr>
                        <m:t>e</m:t>
                      </m:r>
                    </m:sub>
                  </m:sSub>
                </m:e>
              </m:nary>
            </m:e>
          </m:nary>
          <m:r>
            <m:rPr>
              <m:nor/>
            </m:rPr>
            <m:t> </m:t>
          </m:r>
          <m:sSub>
            <m:sSubPr>
              <m:ctrlPr>
                <w:rPr>
                  <w:rFonts w:ascii="Cambria Math" w:hAnsi="Cambria Math"/>
                </w:rPr>
              </m:ctrlPr>
            </m:sSubPr>
            <m:e>
              <m:r>
                <w:rPr>
                  <w:rFonts w:ascii="Cambria Math" w:hAnsi="Cambria Math"/>
                </w:rPr>
                <m:t>n</m:t>
              </m:r>
            </m:e>
            <m:sub>
              <m:r>
                <w:rPr>
                  <w:rFonts w:ascii="Cambria Math" w:hAnsi="Cambria Math"/>
                </w:rPr>
                <m:t>i,e,t</m:t>
              </m:r>
            </m:sub>
          </m:sSub>
          <m:r>
            <m:rPr>
              <m:sty m:val="p"/>
            </m:rPr>
            <w:rPr>
              <w:rFonts w:ascii="Cambria Math" w:hAnsi="Cambria Math"/>
            </w:rPr>
            <m:t>.</m:t>
          </m:r>
        </m:oMath>
      </m:oMathPara>
    </w:p>
    <w:p w14:paraId="3F09C63A" w14:textId="7ED884A9" w:rsidR="00D82871" w:rsidRDefault="00D82871" w:rsidP="00D82871">
      <w:pPr>
        <w:ind w:firstLine="480"/>
      </w:pPr>
      <w:r>
        <w:lastRenderedPageBreak/>
        <w:t>处置</w:t>
      </w:r>
      <w:r>
        <w:t>/</w:t>
      </w:r>
      <w:r>
        <w:t>召回损失用其在信念下的期望表示：</w:t>
      </w:r>
    </w:p>
    <w:p w14:paraId="75066354" w14:textId="27C2CD60" w:rsidR="00D82871" w:rsidRDefault="00000000" w:rsidP="00D82871">
      <w:pPr>
        <w:ind w:firstLine="480"/>
      </w:pPr>
      <m:oMathPara>
        <m:oMath>
          <m:sSup>
            <m:sSupPr>
              <m:ctrlPr>
                <w:rPr>
                  <w:rFonts w:ascii="Cambria Math" w:hAnsi="Cambria Math"/>
                </w:rPr>
              </m:ctrlPr>
            </m:sSupPr>
            <m:e>
              <m:r>
                <w:rPr>
                  <w:rFonts w:ascii="Cambria Math" w:hAnsi="Cambria Math"/>
                </w:rPr>
                <m:t>C</m:t>
              </m:r>
            </m:e>
            <m:sup>
              <m:r>
                <m:rPr>
                  <m:nor/>
                </m:rPr>
                <m:t>rec</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I</m:t>
              </m:r>
            </m:sup>
            <m:e>
              <m:r>
                <m:rPr>
                  <m:scr m:val="double-struck"/>
                  <m:sty m:val="p"/>
                </m:rPr>
                <w:rPr>
                  <w:rFonts w:ascii="Cambria Math" w:hAnsi="Cambria Math"/>
                </w:rPr>
                <m:t>E</m:t>
              </m:r>
              <m:r>
                <m:rPr>
                  <m:nor/>
                </m:rPr>
                <m:t> </m:t>
              </m:r>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i,t</m:t>
                  </m:r>
                </m:sub>
                <m:sup>
                  <m:r>
                    <m:rPr>
                      <m:nor/>
                    </m:rPr>
                    <m:t>recall</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oMath>
      </m:oMathPara>
    </w:p>
    <w:p w14:paraId="111D7991" w14:textId="0DEB5D64" w:rsidR="00D82871" w:rsidRDefault="00D82871" w:rsidP="00D82871">
      <w:pPr>
        <w:ind w:firstLine="480"/>
      </w:pPr>
      <w:r>
        <w:t>信息价值用</w:t>
      </w:r>
      <w:r w:rsidR="00190307">
        <w:rPr>
          <w:rFonts w:hint="eastAsia"/>
        </w:rPr>
        <w:t>“</w:t>
      </w:r>
      <w:r>
        <w:t>信念方差缩减</w:t>
      </w:r>
      <w:r w:rsidR="00190307">
        <w:rPr>
          <w:rFonts w:hint="eastAsia"/>
        </w:rPr>
        <w:t>”</w:t>
      </w:r>
      <w:r>
        <w:t>刻画。对每个</w:t>
      </w:r>
      <m:oMath>
        <m:r>
          <w:rPr>
            <w:rFonts w:ascii="Cambria Math" w:hAnsi="Cambria Math"/>
          </w:rPr>
          <m:t>(i,e)</m:t>
        </m:r>
      </m:oMath>
      <w:r>
        <w:t>，令</w:t>
      </w:r>
    </w:p>
    <w:p w14:paraId="32CD6075" w14:textId="0C6EAEF1" w:rsidR="00D82871" w:rsidRDefault="00D82871" w:rsidP="00D82871">
      <w:pPr>
        <w:ind w:firstLine="480"/>
      </w:pPr>
      <m:oMathPara>
        <m:oMath>
          <m:r>
            <m:rPr>
              <m:sty m:val="p"/>
            </m:rPr>
            <w:rPr>
              <w:rFonts w:ascii="Cambria Math" w:hAnsi="Cambria Math"/>
            </w:rPr>
            <m:t>Δ</m:t>
          </m:r>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)=Var(</m:t>
          </m:r>
          <m:sSub>
            <m:sSubPr>
              <m:ctrlPr>
                <w:rPr>
                  <w:rFonts w:ascii="Cambria Math" w:hAnsi="Cambria Math"/>
                </w:rPr>
              </m:ctrlPr>
            </m:sSubPr>
            <m:e>
              <m:r>
                <w:rPr>
                  <w:rFonts w:ascii="Cambria Math" w:hAnsi="Cambria Math"/>
                </w:rPr>
                <m:t>θ</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r>
            <m:rPr>
              <m:nor/>
            </m:rPr>
            <m:t> </m:t>
          </m:r>
          <m:r>
            <w:rPr>
              <w:rFonts w:ascii="Cambria Math" w:hAnsi="Cambria Math"/>
            </w:rPr>
            <m:t>-</m:t>
          </m:r>
          <m:r>
            <m:rPr>
              <m:nor/>
            </m:rPr>
            <m:t> </m:t>
          </m:r>
          <m:r>
            <m:rPr>
              <m:scr m:val="double-struck"/>
              <m:sty m:val="p"/>
            </m:rPr>
            <w:rPr>
              <w:rFonts w:ascii="Cambria Math" w:hAnsi="Cambria Math"/>
            </w:rPr>
            <m:t>E</m:t>
          </m:r>
          <m:r>
            <m:rPr>
              <m:nor/>
            </m:rPr>
            <m:t> </m:t>
          </m:r>
          <m:d>
            <m:dPr>
              <m:begChr m:val="["/>
              <m:endChr m:val="]"/>
              <m:ctrlPr>
                <w:rPr>
                  <w:rFonts w:ascii="Cambria Math" w:hAnsi="Cambria Math"/>
                </w:rPr>
              </m:ctrlPr>
            </m:dPr>
            <m:e>
              <m:r>
                <w:rPr>
                  <w:rFonts w:ascii="Cambria Math" w:hAnsi="Cambria Math"/>
                </w:rPr>
                <m:t>Var(</m:t>
              </m:r>
              <m:sSub>
                <m:sSubPr>
                  <m:ctrlPr>
                    <w:rPr>
                      <w:rFonts w:ascii="Cambria Math" w:hAnsi="Cambria Math"/>
                    </w:rPr>
                  </m:ctrlPr>
                </m:sSubPr>
                <m:e>
                  <m:r>
                    <w:rPr>
                      <w:rFonts w:ascii="Cambria Math" w:hAnsi="Cambria Math"/>
                    </w:rPr>
                    <m:t>θ</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w:rPr>
              <w:rFonts w:ascii="Cambria Math" w:hAnsi="Cambria Math"/>
            </w:rPr>
            <m:t>,</m:t>
          </m:r>
        </m:oMath>
      </m:oMathPara>
    </w:p>
    <w:p w14:paraId="0BFA2580" w14:textId="77777777" w:rsidR="00D82871" w:rsidRDefault="00D82871" w:rsidP="00D82871">
      <w:pPr>
        <w:ind w:firstLine="480"/>
      </w:pPr>
      <w:r>
        <w:t>并汇总为</w:t>
      </w:r>
    </w:p>
    <w:p w14:paraId="167D4D6F" w14:textId="0D39FF50" w:rsidR="00D82871" w:rsidRDefault="00000000" w:rsidP="00D82871">
      <w:pPr>
        <w:ind w:firstLine="480"/>
      </w:pPr>
      <m:oMathPara>
        <m:oMath>
          <m:sSup>
            <m:sSupPr>
              <m:ctrlPr>
                <w:rPr>
                  <w:rFonts w:ascii="Cambria Math" w:hAnsi="Cambria Math"/>
                </w:rPr>
              </m:ctrlPr>
            </m:sSupPr>
            <m:e>
              <m:r>
                <w:rPr>
                  <w:rFonts w:ascii="Cambria Math" w:hAnsi="Cambria Math"/>
                </w:rPr>
                <m:t>V</m:t>
              </m:r>
            </m:e>
            <m:sup>
              <m:r>
                <m:rPr>
                  <m:nor/>
                </m:rPr>
                <m:t>info</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I</m:t>
              </m:r>
            </m:sup>
            <m:e>
              <m:nary>
                <m:naryPr>
                  <m:chr m:val="∑"/>
                  <m:limLoc m:val="undOvr"/>
                  <m:grow m:val="1"/>
                  <m:supHide m:val="1"/>
                  <m:ctrlPr>
                    <w:rPr>
                      <w:rFonts w:ascii="Cambria Math" w:hAnsi="Cambria Math"/>
                    </w:rPr>
                  </m:ctrlPr>
                </m:naryPr>
                <m:sub>
                  <m:r>
                    <w:rPr>
                      <w:rFonts w:ascii="Cambria Math" w:hAnsi="Cambria Math"/>
                    </w:rPr>
                    <m:t>e∈{S,M}</m:t>
                  </m:r>
                </m:sub>
                <m:sup/>
                <m:e>
                  <m:r>
                    <m:rPr>
                      <m:sty m:val="p"/>
                    </m:rPr>
                    <w:rPr>
                      <w:rFonts w:ascii="Cambria Math" w:hAnsi="Cambria Math"/>
                    </w:rPr>
                    <m:t>Δ</m:t>
                  </m:r>
                  <m:r>
                    <w:rPr>
                      <w:rFonts w:ascii="Cambria Math" w:hAnsi="Cambria Math"/>
                    </w:rPr>
                    <m:t>Va</m:t>
                  </m:r>
                </m:e>
              </m:nary>
            </m:e>
          </m:nary>
          <m:sSub>
            <m:sSubPr>
              <m:ctrlPr>
                <w:rPr>
                  <w:rFonts w:ascii="Cambria Math" w:hAnsi="Cambria Math"/>
                </w:rPr>
              </m:ctrlPr>
            </m:sSubPr>
            <m:e>
              <m:r>
                <w:rPr>
                  <w:rFonts w:ascii="Cambria Math" w:hAnsi="Cambria Math"/>
                </w:rPr>
                <m:t>r</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m:t>
          </m:r>
        </m:oMath>
      </m:oMathPara>
    </w:p>
    <w:p w14:paraId="60105C10" w14:textId="77777777" w:rsidR="00D82871" w:rsidRDefault="00D82871" w:rsidP="00D82871">
      <w:pPr>
        <w:ind w:firstLine="480"/>
      </w:pPr>
      <w:r>
        <w:t>据此，给出单期</w:t>
      </w:r>
      <w:r>
        <w:rPr>
          <w:rStyle w:val="afb"/>
        </w:rPr>
        <w:t>损失函数</w:t>
      </w:r>
      <w:r>
        <w:t>（最小化形式）：</w:t>
      </w:r>
    </w:p>
    <w:p w14:paraId="6EA8A940" w14:textId="1278A1A2" w:rsidR="00D82871" w:rsidRDefault="00D82871" w:rsidP="00D82871">
      <w:pPr>
        <w:ind w:firstLine="480"/>
      </w:pPr>
      <m:oMathPara>
        <m:oMath>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limLow>
            <m:limLowPr>
              <m:ctrlPr>
                <w:rPr>
                  <w:rFonts w:ascii="Cambria Math" w:hAnsi="Cambria Math"/>
                </w:rPr>
              </m:ctrlPr>
            </m:limLowPr>
            <m:e>
              <m:limLow>
                <m:limLowPr>
                  <m:ctrlPr>
                    <w:rPr>
                      <w:rFonts w:ascii="Cambria Math" w:hAnsi="Cambria Math"/>
                    </w:rPr>
                  </m:ctrlPr>
                </m:limLow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I</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⋅g</m:t>
                  </m:r>
                  <m:r>
                    <m:rPr>
                      <m:nor/>
                    </m:rPr>
                    <m:t> </m:t>
                  </m:r>
                  <m:r>
                    <w:rPr>
                      <w:rFonts w:ascii="Cambria Math" w:hAnsi="Cambria Math"/>
                    </w:rPr>
                    <m:t>(MO</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);T)</m:t>
                  </m:r>
                </m:e>
                <m:lim>
                  <m:r>
                    <w:rPr>
                      <w:rFonts w:ascii="Cambria Math" w:hAnsi="Cambria Math"/>
                    </w:rPr>
                    <m:t>⏟</m:t>
                  </m:r>
                </m:lim>
              </m:limLow>
            </m:e>
            <m:lim>
              <m:r>
                <m:rPr>
                  <m:nor/>
                </m:rPr>
                <m:t>暴露风险</m:t>
              </m:r>
            </m:lim>
          </m:limLow>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λ</m:t>
              </m:r>
            </m:e>
            <m:sub>
              <m:r>
                <w:rPr>
                  <w:rFonts w:ascii="Cambria Math" w:hAnsi="Cambria Math"/>
                </w:rPr>
                <m:t>1</m:t>
              </m:r>
            </m:sub>
          </m:sSub>
          <m:r>
            <m:rPr>
              <m:nor/>
            </m:rPr>
            <m:t> </m:t>
          </m:r>
          <m:limLow>
            <m:limLowPr>
              <m:ctrlPr>
                <w:rPr>
                  <w:rFonts w:ascii="Cambria Math" w:hAnsi="Cambria Math"/>
                </w:rPr>
              </m:ctrlPr>
            </m:limLowPr>
            <m:e>
              <m:limLow>
                <m:limLowPr>
                  <m:ctrlPr>
                    <w:rPr>
                      <w:rFonts w:ascii="Cambria Math" w:hAnsi="Cambria Math"/>
                    </w:rPr>
                  </m:ctrlPr>
                </m:limLowPr>
                <m:e>
                  <m:sSup>
                    <m:sSupPr>
                      <m:ctrlPr>
                        <w:rPr>
                          <w:rFonts w:ascii="Cambria Math" w:hAnsi="Cambria Math"/>
                        </w:rPr>
                      </m:ctrlPr>
                    </m:sSupPr>
                    <m:e>
                      <m:r>
                        <w:rPr>
                          <w:rFonts w:ascii="Cambria Math" w:hAnsi="Cambria Math"/>
                        </w:rPr>
                        <m:t>C</m:t>
                      </m:r>
                    </m:e>
                    <m:sup>
                      <m:r>
                        <m:rPr>
                          <m:nor/>
                        </m:rPr>
                        <m:t>ins</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e>
                <m:lim>
                  <m:r>
                    <w:rPr>
                      <w:rFonts w:ascii="Cambria Math" w:hAnsi="Cambria Math"/>
                    </w:rPr>
                    <m:t>⏟</m:t>
                  </m:r>
                </m:lim>
              </m:limLow>
            </m:e>
            <m:lim>
              <m:r>
                <m:rPr>
                  <m:nor/>
                </m:rPr>
                <m:t>抽检成本</m:t>
              </m:r>
            </m:lim>
          </m:limLow>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λ</m:t>
              </m:r>
            </m:e>
            <m:sub>
              <m:r>
                <w:rPr>
                  <w:rFonts w:ascii="Cambria Math" w:hAnsi="Cambria Math"/>
                </w:rPr>
                <m:t>3</m:t>
              </m:r>
            </m:sub>
          </m:sSub>
          <m:r>
            <m:rPr>
              <m:nor/>
            </m:rPr>
            <m:t> </m:t>
          </m:r>
          <m:limLow>
            <m:limLowPr>
              <m:ctrlPr>
                <w:rPr>
                  <w:rFonts w:ascii="Cambria Math" w:hAnsi="Cambria Math"/>
                </w:rPr>
              </m:ctrlPr>
            </m:limLowPr>
            <m:e>
              <m:limLow>
                <m:limLowPr>
                  <m:ctrlPr>
                    <w:rPr>
                      <w:rFonts w:ascii="Cambria Math" w:hAnsi="Cambria Math"/>
                    </w:rPr>
                  </m:ctrlPr>
                </m:limLowPr>
                <m:e>
                  <m:sSup>
                    <m:sSupPr>
                      <m:ctrlPr>
                        <w:rPr>
                          <w:rFonts w:ascii="Cambria Math" w:hAnsi="Cambria Math"/>
                        </w:rPr>
                      </m:ctrlPr>
                    </m:sSupPr>
                    <m:e>
                      <m:r>
                        <w:rPr>
                          <w:rFonts w:ascii="Cambria Math" w:hAnsi="Cambria Math"/>
                        </w:rPr>
                        <m:t>C</m:t>
                      </m:r>
                    </m:e>
                    <m:sup>
                      <m:r>
                        <m:rPr>
                          <m:nor/>
                        </m:rPr>
                        <m:t>rec</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e>
                <m:lim>
                  <m:r>
                    <w:rPr>
                      <w:rFonts w:ascii="Cambria Math" w:hAnsi="Cambria Math"/>
                    </w:rPr>
                    <m:t>⏟</m:t>
                  </m:r>
                </m:lim>
              </m:limLow>
            </m:e>
            <m:lim>
              <m:r>
                <m:rPr>
                  <m:nor/>
                </m:rPr>
                <m:t>处置</m:t>
              </m:r>
              <m:r>
                <m:rPr>
                  <m:nor/>
                </m:rPr>
                <m:t>/</m:t>
              </m:r>
              <m:r>
                <m:rPr>
                  <m:nor/>
                </m:rPr>
                <m:t>召回</m:t>
              </m:r>
            </m:lim>
          </m:limLow>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λ</m:t>
              </m:r>
            </m:e>
            <m:sub>
              <m:r>
                <w:rPr>
                  <w:rFonts w:ascii="Cambria Math" w:hAnsi="Cambria Math"/>
                </w:rPr>
                <m:t>2</m:t>
              </m:r>
            </m:sub>
          </m:sSub>
          <m:r>
            <m:rPr>
              <m:nor/>
            </m:rPr>
            <m:t> </m:t>
          </m:r>
          <m:limLow>
            <m:limLowPr>
              <m:ctrlPr>
                <w:rPr>
                  <w:rFonts w:ascii="Cambria Math" w:hAnsi="Cambria Math"/>
                </w:rPr>
              </m:ctrlPr>
            </m:limLowPr>
            <m:e>
              <m:limLow>
                <m:limLowPr>
                  <m:ctrlPr>
                    <w:rPr>
                      <w:rFonts w:ascii="Cambria Math" w:hAnsi="Cambria Math"/>
                    </w:rPr>
                  </m:ctrlPr>
                </m:limLowPr>
                <m:e>
                  <m:sSup>
                    <m:sSupPr>
                      <m:ctrlPr>
                        <w:rPr>
                          <w:rFonts w:ascii="Cambria Math" w:hAnsi="Cambria Math"/>
                        </w:rPr>
                      </m:ctrlPr>
                    </m:sSupPr>
                    <m:e>
                      <m:r>
                        <w:rPr>
                          <w:rFonts w:ascii="Cambria Math" w:hAnsi="Cambria Math"/>
                        </w:rPr>
                        <m:t>V</m:t>
                      </m:r>
                    </m:e>
                    <m:sup>
                      <m:r>
                        <m:rPr>
                          <m:nor/>
                        </m:rPr>
                        <m:t>info</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e>
                <m:lim>
                  <m:r>
                    <w:rPr>
                      <w:rFonts w:ascii="Cambria Math" w:hAnsi="Cambria Math"/>
                    </w:rPr>
                    <m:t>⏟</m:t>
                  </m:r>
                </m:lim>
              </m:limLow>
            </m:e>
            <m:lim>
              <m:r>
                <m:rPr>
                  <m:nor/>
                </m:rPr>
                <m:t>信息价值</m:t>
              </m:r>
            </m:lim>
          </m:limLow>
          <m:r>
            <m:rPr>
              <m:sty m:val="p"/>
            </m:rPr>
            <w:rPr>
              <w:rFonts w:ascii="Cambria Math" w:hAnsi="Cambria Math"/>
            </w:rPr>
            <m:t>.</m:t>
          </m:r>
        </m:oMath>
      </m:oMathPara>
    </w:p>
    <w:p w14:paraId="5771FB7A" w14:textId="77777777" w:rsidR="00D82871" w:rsidRDefault="00D82871" w:rsidP="00D82871">
      <w:pPr>
        <w:ind w:firstLine="480"/>
      </w:pPr>
      <w:r>
        <w:t>等价地，若用奖励最大化，可令</w:t>
      </w:r>
    </w:p>
    <w:p w14:paraId="4AC961A5" w14:textId="38DD91DA" w:rsidR="00D82871" w:rsidRDefault="00D82871" w:rsidP="00D82871">
      <w:pPr>
        <w:ind w:firstLine="480"/>
      </w:pPr>
      <m:oMathPara>
        <m:oMath>
          <m:r>
            <w:rPr>
              <w:rFonts w:ascii="Cambria Math" w:hAnsi="Cambria Math"/>
            </w:rPr>
            <m:t>r(</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m:t>
          </m:r>
        </m:oMath>
      </m:oMathPara>
    </w:p>
    <w:p w14:paraId="2AB3C71E" w14:textId="1407E81F" w:rsidR="00D82871" w:rsidRDefault="00D82871" w:rsidP="00D82871">
      <w:pPr>
        <w:ind w:firstLine="480"/>
      </w:pPr>
      <w:r>
        <w:t>(4)</w:t>
      </w:r>
      <w:r>
        <w:t>总体优化目标（策略层：在信念空间上求最优政策）</w:t>
      </w:r>
    </w:p>
    <w:p w14:paraId="4DEA8B03" w14:textId="0E609786" w:rsidR="00D82871" w:rsidRDefault="00D82871" w:rsidP="00D82871">
      <w:pPr>
        <w:ind w:firstLine="480"/>
      </w:pPr>
      <w:r>
        <w:t>令</w:t>
      </w:r>
      <m:oMath>
        <m:r>
          <w:rPr>
            <w:rFonts w:ascii="Cambria Math" w:hAnsi="Cambria Math"/>
          </w:rPr>
          <m:t>π</m:t>
        </m:r>
      </m:oMath>
      <w:r>
        <w:t>为政策（在实现中由</w:t>
      </w:r>
      <w:r>
        <w:t>DQN</w:t>
      </w:r>
      <w:r>
        <w:t>近似），其将信念状态映射为可行动作：</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∼π(⋅∣</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oMath>
      <w:r>
        <w:t>。目标为最小化期望折扣累计损失：</w:t>
      </w:r>
    </w:p>
    <w:p w14:paraId="39E3C603" w14:textId="27313568" w:rsidR="00D82871" w:rsidRDefault="00000000" w:rsidP="00D82871">
      <w:pPr>
        <w:ind w:firstLine="480"/>
      </w:pPr>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π</m:t>
              </m:r>
            </m:lim>
          </m:limLow>
          <m:r>
            <m:rPr>
              <m:nor/>
            </m: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t-1</m:t>
                      </m:r>
                    </m:sup>
                  </m:sSup>
                </m:e>
              </m:nary>
              <m:r>
                <m:rPr>
                  <m:nor/>
                </m:rPr>
                <m:t> </m:t>
              </m:r>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e>
          </m:d>
          <m:r>
            <w:rPr>
              <w:rFonts w:ascii="Cambria Math" w:hAnsi="Cambria Math"/>
            </w:rPr>
            <m:t>,γ∈(0,1)</m:t>
          </m:r>
          <m:r>
            <m:rPr>
              <m:sty m:val="p"/>
            </m:rPr>
            <w:rPr>
              <w:rFonts w:ascii="Cambria Math" w:hAnsi="Cambria Math"/>
            </w:rPr>
            <m:t>.</m:t>
          </m:r>
        </m:oMath>
      </m:oMathPara>
    </w:p>
    <w:p w14:paraId="72302559" w14:textId="188C69B8" w:rsidR="00D82871" w:rsidRDefault="00D82871" w:rsidP="00D82871">
      <w:pPr>
        <w:ind w:firstLine="480"/>
      </w:pPr>
      <w:r>
        <w:t>（或等价最大化</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t-1</m:t>
                </m:r>
              </m:sup>
            </m:sSup>
          </m:e>
        </m:nary>
        <m:r>
          <w:rPr>
            <w:rFonts w:ascii="Cambria Math" w:hAnsi="Cambria Math"/>
          </w:rPr>
          <m:t>r(</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oMath>
      <w:r>
        <w:t>。）</w:t>
      </w:r>
    </w:p>
    <w:p w14:paraId="3C15B361" w14:textId="5DC07E5A" w:rsidR="00D82871" w:rsidRDefault="00D82871" w:rsidP="00D82871">
      <w:pPr>
        <w:ind w:firstLine="480"/>
      </w:pPr>
      <w:r>
        <w:t>(5)</w:t>
      </w:r>
      <w:r>
        <w:t>硬约束：预算、产能上限与整数性（逐期必须可行）</w:t>
      </w:r>
    </w:p>
    <w:p w14:paraId="278F6762" w14:textId="77777777" w:rsidR="00D82871" w:rsidRDefault="00D82871" w:rsidP="00D82871">
      <w:pPr>
        <w:ind w:firstLine="480"/>
      </w:pPr>
      <w:r>
        <w:t>逐期预算硬约束：</w:t>
      </w:r>
    </w:p>
    <w:p w14:paraId="437DD798" w14:textId="25DAAF20" w:rsidR="00D82871" w:rsidRDefault="00000000" w:rsidP="00D82871">
      <w:pPr>
        <w:ind w:firstLine="480"/>
      </w:pPr>
      <m:oMathPara>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I</m:t>
              </m:r>
            </m:sup>
            <m:e>
              <m:nary>
                <m:naryPr>
                  <m:chr m:val="∑"/>
                  <m:limLoc m:val="undOvr"/>
                  <m:grow m:val="1"/>
                  <m:supHide m:val="1"/>
                  <m:ctrlPr>
                    <w:rPr>
                      <w:rFonts w:ascii="Cambria Math" w:hAnsi="Cambria Math"/>
                    </w:rPr>
                  </m:ctrlPr>
                </m:naryPr>
                <m:sub>
                  <m:r>
                    <w:rPr>
                      <w:rFonts w:ascii="Cambria Math" w:hAnsi="Cambria Math"/>
                    </w:rPr>
                    <m:t>e∈{S,M}</m:t>
                  </m:r>
                </m:sub>
                <m:sup/>
                <m:e>
                  <m:sSub>
                    <m:sSubPr>
                      <m:ctrlPr>
                        <w:rPr>
                          <w:rFonts w:ascii="Cambria Math" w:hAnsi="Cambria Math"/>
                        </w:rPr>
                      </m:ctrlPr>
                    </m:sSubPr>
                    <m:e>
                      <m:r>
                        <w:rPr>
                          <w:rFonts w:ascii="Cambria Math" w:hAnsi="Cambria Math"/>
                        </w:rPr>
                        <m:t>c</m:t>
                      </m:r>
                    </m:e>
                    <m:sub>
                      <m:r>
                        <w:rPr>
                          <w:rFonts w:ascii="Cambria Math" w:hAnsi="Cambria Math"/>
                        </w:rPr>
                        <m:t>e</m:t>
                      </m:r>
                    </m:sub>
                  </m:sSub>
                </m:e>
              </m:nary>
            </m:e>
          </m:nary>
          <m:r>
            <m:rPr>
              <m:nor/>
            </m:rPr>
            <m:t> </m:t>
          </m:r>
          <m:sSub>
            <m:sSubPr>
              <m:ctrlPr>
                <w:rPr>
                  <w:rFonts w:ascii="Cambria Math" w:hAnsi="Cambria Math"/>
                </w:rPr>
              </m:ctrlPr>
            </m:sSubPr>
            <m:e>
              <m:r>
                <w:rPr>
                  <w:rFonts w:ascii="Cambria Math" w:hAnsi="Cambria Math"/>
                </w:rPr>
                <m:t>n</m:t>
              </m:r>
            </m:e>
            <m:sub>
              <m:r>
                <w:rPr>
                  <w:rFonts w:ascii="Cambria Math" w:hAnsi="Cambria Math"/>
                </w:rPr>
                <m:t>i,e,t</m:t>
              </m:r>
            </m:sub>
          </m:sSub>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DC4B683" w14:textId="77777777" w:rsidR="00D82871" w:rsidRDefault="00D82871" w:rsidP="00D82871">
      <w:pPr>
        <w:ind w:firstLine="480"/>
      </w:pPr>
      <w:r>
        <w:t>逐期产能</w:t>
      </w:r>
      <w:r>
        <w:t>/</w:t>
      </w:r>
      <w:r>
        <w:t>制度上限：</w:t>
      </w:r>
    </w:p>
    <w:p w14:paraId="0E9AA6B2" w14:textId="470F56E6" w:rsidR="00D82871" w:rsidRDefault="00D82871" w:rsidP="00D82871">
      <w:pPr>
        <w:ind w:firstLine="480"/>
      </w:pPr>
      <m:oMathPara>
        <m:oMath>
          <m:r>
            <w:rPr>
              <w:rFonts w:ascii="Cambria Math" w:hAnsi="Cambria Math"/>
            </w:rPr>
            <m:t>0≤</m:t>
          </m:r>
          <m:sSub>
            <m:sSubPr>
              <m:ctrlPr>
                <w:rPr>
                  <w:rFonts w:ascii="Cambria Math" w:hAnsi="Cambria Math"/>
                </w:rPr>
              </m:ctrlPr>
            </m:sSubPr>
            <m:e>
              <m:r>
                <w:rPr>
                  <w:rFonts w:ascii="Cambria Math" w:hAnsi="Cambria Math"/>
                </w:rPr>
                <m:t>n</m:t>
              </m:r>
            </m:e>
            <m:sub>
              <m:r>
                <w:rPr>
                  <w:rFonts w:ascii="Cambria Math" w:hAnsi="Cambria Math"/>
                </w:rPr>
                <m:t>i,e,t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i,e,t</m:t>
              </m:r>
            </m:sub>
          </m:sSub>
          <m:r>
            <w:rPr>
              <w:rFonts w:ascii="Cambria Math" w:hAnsi="Cambria Math"/>
            </w:rPr>
            <m: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5DF9ABBE" w14:textId="77777777" w:rsidR="00D82871" w:rsidRDefault="00D82871" w:rsidP="00D82871">
      <w:pPr>
        <w:ind w:firstLine="480"/>
      </w:pPr>
      <w:r>
        <w:t>整数性：</w:t>
      </w:r>
    </w:p>
    <w:p w14:paraId="4E3E70E3" w14:textId="517D1805" w:rsidR="00D82871" w:rsidRDefault="00000000" w:rsidP="00D82871">
      <w:pPr>
        <w:ind w:firstLine="480"/>
      </w:pPr>
      <m:oMathPara>
        <m:oMath>
          <m:sSub>
            <m:sSubPr>
              <m:ctrlPr>
                <w:rPr>
                  <w:rFonts w:ascii="Cambria Math" w:hAnsi="Cambria Math"/>
                </w:rPr>
              </m:ctrlPr>
            </m:sSubPr>
            <m:e>
              <m:r>
                <w:rPr>
                  <w:rFonts w:ascii="Cambria Math" w:hAnsi="Cambria Math"/>
                </w:rPr>
                <m:t>n</m:t>
              </m:r>
            </m:e>
            <m:sub>
              <m:r>
                <w:rPr>
                  <w:rFonts w:ascii="Cambria Math" w:hAnsi="Cambria Math"/>
                </w:rPr>
                <m:t>i,e,t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≥0</m:t>
              </m:r>
            </m:sub>
          </m:sSub>
          <m:r>
            <w:rPr>
              <w:rFonts w:ascii="Cambria Math" w:hAnsi="Cambria Math"/>
            </w:rPr>
            <m: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C7D9EA3" w14:textId="77777777" w:rsidR="00D82871" w:rsidRDefault="00D82871" w:rsidP="00D82871">
      <w:pPr>
        <w:ind w:firstLine="480"/>
      </w:pPr>
      <w:r>
        <w:lastRenderedPageBreak/>
        <w:t>因此可行动作集合可写为（用于动作掩码</w:t>
      </w:r>
      <w:r>
        <w:t>/</w:t>
      </w:r>
      <w:r>
        <w:t>可行动作集）：</w:t>
      </w:r>
    </w:p>
    <w:p w14:paraId="58FF709B" w14:textId="460C7A57" w:rsidR="00D82871" w:rsidRPr="00D82871" w:rsidRDefault="00D82871" w:rsidP="00D82871">
      <w:pPr>
        <w:ind w:firstLine="480"/>
      </w:pPr>
      <m:oMathPara>
        <m:oMath>
          <m:r>
            <m:rPr>
              <m:scr m:val="script"/>
            </m:rP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nor/>
                </m:rPr>
                <m:t> </m:t>
              </m:r>
              <m:nary>
                <m:naryPr>
                  <m:chr m:val="∑"/>
                  <m:limLoc m:val="undOvr"/>
                  <m:grow m:val="1"/>
                  <m:supHide m:val="1"/>
                  <m:ctrlPr>
                    <w:rPr>
                      <w:rFonts w:ascii="Cambria Math" w:hAnsi="Cambria Math"/>
                    </w:rPr>
                  </m:ctrlPr>
                </m:naryPr>
                <m:sub>
                  <m:r>
                    <w:rPr>
                      <w:rFonts w:ascii="Cambria Math" w:hAnsi="Cambria Math"/>
                    </w:rPr>
                    <m:t>i,e</m:t>
                  </m:r>
                </m:sub>
                <m:sup/>
                <m:e>
                  <m:sSub>
                    <m:sSubPr>
                      <m:ctrlPr>
                        <w:rPr>
                          <w:rFonts w:ascii="Cambria Math" w:hAnsi="Cambria Math"/>
                        </w:rPr>
                      </m:ctrlPr>
                    </m:sSubPr>
                    <m:e>
                      <m:r>
                        <w:rPr>
                          <w:rFonts w:ascii="Cambria Math" w:hAnsi="Cambria Math"/>
                        </w:rPr>
                        <m:t>c</m:t>
                      </m:r>
                    </m:e>
                    <m:sub>
                      <m:r>
                        <w:rPr>
                          <w:rFonts w:ascii="Cambria Math" w:hAnsi="Cambria Math"/>
                        </w:rPr>
                        <m:t>e</m:t>
                      </m:r>
                    </m:sub>
                  </m:sSub>
                </m:e>
              </m:nary>
              <m:sSub>
                <m:sSubPr>
                  <m:ctrlPr>
                    <w:rPr>
                      <w:rFonts w:ascii="Cambria Math" w:hAnsi="Cambria Math"/>
                    </w:rPr>
                  </m:ctrlPr>
                </m:sSubPr>
                <m:e>
                  <m:r>
                    <w:rPr>
                      <w:rFonts w:ascii="Cambria Math" w:hAnsi="Cambria Math"/>
                    </w:rPr>
                    <m:t>n</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r>
                <m:rPr>
                  <m:nor/>
                </m:rPr>
                <m:t> </m:t>
              </m:r>
              <m:r>
                <w:rPr>
                  <w:rFonts w:ascii="Cambria Math" w:hAnsi="Cambria Math"/>
                </w:rPr>
                <m:t>0≤</m:t>
              </m:r>
              <m:sSub>
                <m:sSubPr>
                  <m:ctrlPr>
                    <w:rPr>
                      <w:rFonts w:ascii="Cambria Math" w:hAnsi="Cambria Math"/>
                    </w:rPr>
                  </m:ctrlPr>
                </m:sSubPr>
                <m:e>
                  <m:r>
                    <w:rPr>
                      <w:rFonts w:ascii="Cambria Math" w:hAnsi="Cambria Math"/>
                    </w:rPr>
                    <m:t>n</m:t>
                  </m:r>
                </m:e>
                <m:sub>
                  <m:r>
                    <w:rPr>
                      <w:rFonts w:ascii="Cambria Math" w:hAnsi="Cambria Math"/>
                    </w:rPr>
                    <m:t>i,e,t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i,e,t</m:t>
                  </m:r>
                </m:sub>
              </m:sSub>
              <m:r>
                <w:rPr>
                  <w:rFonts w:ascii="Cambria Math" w:hAnsi="Cambria Math"/>
                </w:rPr>
                <m:t>,</m:t>
              </m:r>
              <m:r>
                <m:rPr>
                  <m:nor/>
                </m:rPr>
                <m:t> </m:t>
              </m:r>
              <m:sSub>
                <m:sSubPr>
                  <m:ctrlPr>
                    <w:rPr>
                      <w:rFonts w:ascii="Cambria Math" w:hAnsi="Cambria Math"/>
                    </w:rPr>
                  </m:ctrlPr>
                </m:sSubPr>
                <m:e>
                  <m:r>
                    <w:rPr>
                      <w:rFonts w:ascii="Cambria Math" w:hAnsi="Cambria Math"/>
                    </w:rPr>
                    <m:t>n</m:t>
                  </m:r>
                </m:e>
                <m:sub>
                  <m:r>
                    <w:rPr>
                      <w:rFonts w:ascii="Cambria Math" w:hAnsi="Cambria Math"/>
                    </w:rPr>
                    <m:t>i,e,t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≥0</m:t>
                  </m:r>
                </m:sub>
              </m:sSub>
            </m:e>
          </m:d>
          <m:r>
            <m:rPr>
              <m:sty m:val="p"/>
            </m:rPr>
            <w:rPr>
              <w:rFonts w:ascii="Cambria Math" w:hAnsi="Cambria Math"/>
            </w:rPr>
            <m:t>.</m:t>
          </m:r>
        </m:oMath>
      </m:oMathPara>
    </w:p>
    <w:p w14:paraId="35C03422" w14:textId="06B36C7D" w:rsidR="00FD740B" w:rsidRPr="00A00C39" w:rsidRDefault="0009766D" w:rsidP="002024DD">
      <w:pPr>
        <w:pStyle w:val="1"/>
        <w:spacing w:line="300" w:lineRule="auto"/>
      </w:pPr>
      <w:bookmarkStart w:id="40" w:name="_Toc218094776"/>
      <w:r w:rsidRPr="00A00C39">
        <w:rPr>
          <w:rFonts w:hint="eastAsia"/>
        </w:rPr>
        <w:t>研究方案</w:t>
      </w:r>
      <w:bookmarkEnd w:id="40"/>
    </w:p>
    <w:p w14:paraId="299CC808" w14:textId="2912E27D" w:rsidR="0009766D" w:rsidRDefault="00616E0E" w:rsidP="002024DD">
      <w:pPr>
        <w:pStyle w:val="1"/>
        <w:numPr>
          <w:ilvl w:val="0"/>
          <w:numId w:val="0"/>
        </w:numPr>
        <w:spacing w:line="300" w:lineRule="auto"/>
      </w:pPr>
      <w:bookmarkStart w:id="41" w:name="_Toc218094777"/>
      <w:r>
        <w:t>ResearchScheme</w:t>
      </w:r>
      <w:r>
        <w:t>（</w:t>
      </w:r>
      <w:r>
        <w:t>methodologies,technicalroute</w:t>
      </w:r>
      <w:r>
        <w:t>）</w:t>
      </w:r>
      <w:bookmarkStart w:id="42" w:name="_Toc15528"/>
      <w:bookmarkEnd w:id="41"/>
    </w:p>
    <w:p w14:paraId="7EB29FE9" w14:textId="7BCF16AC" w:rsidR="0009766D" w:rsidRDefault="00271481" w:rsidP="00271481">
      <w:pPr>
        <w:pStyle w:val="2"/>
      </w:pPr>
      <w:bookmarkStart w:id="43" w:name="_Toc218094778"/>
      <w:r w:rsidRPr="00271481">
        <w:t>数据结构与变量构造</w:t>
      </w:r>
      <w:bookmarkEnd w:id="43"/>
    </w:p>
    <w:p w14:paraId="43E0929E" w14:textId="6907E0E7" w:rsidR="00271481" w:rsidRPr="00271481" w:rsidRDefault="00271481" w:rsidP="00271481">
      <w:pPr>
        <w:ind w:firstLine="480"/>
      </w:pPr>
      <w:r w:rsidRPr="00271481">
        <w:t>本研究以</w:t>
      </w:r>
      <w:r w:rsidRPr="00271481">
        <w:t>2015</w:t>
      </w:r>
      <w:r w:rsidR="00136753">
        <w:rPr>
          <w:rFonts w:hint="eastAsia"/>
        </w:rPr>
        <w:t xml:space="preserve"> - </w:t>
      </w:r>
      <w:r w:rsidRPr="00271481">
        <w:t>2024</w:t>
      </w:r>
      <w:r w:rsidRPr="00271481">
        <w:t>年全国花生抽检通报的逐条记录为基础，优先构建</w:t>
      </w:r>
      <w:r w:rsidR="00162248">
        <w:rPr>
          <w:rFonts w:hint="eastAsia"/>
        </w:rPr>
        <w:t>“</w:t>
      </w:r>
      <w:r w:rsidRPr="00271481">
        <w:t>计数面板</w:t>
      </w:r>
      <w:r w:rsidR="00162248">
        <w:rPr>
          <w:rFonts w:hint="eastAsia"/>
        </w:rPr>
        <w:t>”</w:t>
      </w:r>
      <w:r w:rsidRPr="00271481">
        <w:t>作为后续受限</w:t>
      </w:r>
      <w:r w:rsidRPr="00271481">
        <w:t>POMDP</w:t>
      </w:r>
      <w:r>
        <w:rPr>
          <w:rFonts w:hint="eastAsia"/>
        </w:rPr>
        <w:t>的</w:t>
      </w:r>
      <w:r w:rsidRPr="00271481">
        <w:t>信念更新与动态决策的核心数据结构。具体做法是将通报文本中的时间、地区与抽检发生地信息进行规范化与归一化处理（合并同名异写、统一省级口径），并以</w:t>
      </w:r>
      <w:r w:rsidR="008F2DBD">
        <w:rPr>
          <w:rFonts w:hint="eastAsia"/>
        </w:rPr>
        <w:t>“</w:t>
      </w:r>
      <w:r w:rsidRPr="00271481">
        <w:t>省份</w:t>
      </w:r>
      <w:r w:rsidR="00CF7029">
        <w:rPr>
          <w:rFonts w:hint="eastAsia"/>
        </w:rPr>
        <w:t>—</w:t>
      </w:r>
      <w:r w:rsidRPr="00271481">
        <w:t>月份（或年份）</w:t>
      </w:r>
      <w:r w:rsidR="00CF7029">
        <w:rPr>
          <w:rFonts w:hint="eastAsia"/>
        </w:rPr>
        <w:t>—</w:t>
      </w:r>
      <w:r w:rsidRPr="00271481">
        <w:t>环节</w:t>
      </w:r>
      <w:r w:rsidR="008F2DBD">
        <w:rPr>
          <w:rFonts w:hint="eastAsia"/>
        </w:rPr>
        <w:t>”</w:t>
      </w:r>
      <w:r w:rsidRPr="00271481">
        <w:t>为基本索引单元，对每期抽检批次进行汇总，得到当期抽检总批次数</w:t>
      </w:r>
      <m:oMath>
        <m:sSub>
          <m:sSubPr>
            <m:ctrlPr>
              <w:rPr>
                <w:rFonts w:ascii="Cambria Math" w:hAnsi="Cambria Math"/>
              </w:rPr>
            </m:ctrlPr>
          </m:sSubPr>
          <m:e>
            <m:r>
              <w:rPr>
                <w:rFonts w:ascii="Cambria Math" w:hAnsi="Cambria Math"/>
              </w:rPr>
              <m:t>n</m:t>
            </m:r>
          </m:e>
          <m:sub>
            <m:r>
              <w:rPr>
                <w:rFonts w:ascii="Cambria Math" w:hAnsi="Cambria Math"/>
              </w:rPr>
              <m:t>i,e,t</m:t>
            </m:r>
          </m:sub>
        </m:sSub>
      </m:oMath>
      <w:r w:rsidRPr="00271481">
        <w:t>与当期检出</w:t>
      </w:r>
      <w:r w:rsidRPr="00271481">
        <w:t>/</w:t>
      </w:r>
      <w:r w:rsidRPr="00271481">
        <w:t>不合格批次数</w:t>
      </w:r>
      <m:oMath>
        <m:sSub>
          <m:sSubPr>
            <m:ctrlPr>
              <w:rPr>
                <w:rFonts w:ascii="Cambria Math" w:hAnsi="Cambria Math"/>
              </w:rPr>
            </m:ctrlPr>
          </m:sSubPr>
          <m:e>
            <m:r>
              <w:rPr>
                <w:rFonts w:ascii="Cambria Math" w:hAnsi="Cambria Math"/>
              </w:rPr>
              <m:t>y</m:t>
            </m:r>
          </m:e>
          <m:sub>
            <m:r>
              <w:rPr>
                <w:rFonts w:ascii="Cambria Math" w:hAnsi="Cambria Math"/>
              </w:rPr>
              <m:t>i,e,t</m:t>
            </m:r>
          </m:sub>
        </m:sSub>
      </m:oMath>
      <w:r w:rsidRPr="00271481">
        <w:t>，其中</w:t>
      </w:r>
      <m:oMath>
        <m:r>
          <w:rPr>
            <w:rFonts w:ascii="Cambria Math" w:hAnsi="Cambria Math"/>
          </w:rPr>
          <m:t>i</m:t>
        </m:r>
      </m:oMath>
      <w:r w:rsidRPr="00271481">
        <w:t>表示省份、</w:t>
      </w:r>
      <m:oMath>
        <m:r>
          <w:rPr>
            <w:rFonts w:ascii="Cambria Math" w:hAnsi="Cambria Math"/>
          </w:rPr>
          <m:t>e∈{S,M}</m:t>
        </m:r>
      </m:oMath>
      <w:r w:rsidRPr="00271481">
        <w:t>表示环节、</w:t>
      </w:r>
      <m:oMath>
        <m:r>
          <w:rPr>
            <w:rFonts w:ascii="Cambria Math" w:hAnsi="Cambria Math"/>
          </w:rPr>
          <m:t>t</m:t>
        </m:r>
      </m:oMath>
      <w:r w:rsidRPr="00271481">
        <w:t>表示时间。该计数面板同时保留与抽检强度相关的制度与资源信息（如当期预算或抽检</w:t>
      </w:r>
      <w:r w:rsidR="001A435E">
        <w:rPr>
          <w:rFonts w:hint="eastAsia"/>
        </w:rPr>
        <w:t>批次</w:t>
      </w:r>
      <w:r w:rsidRPr="00271481">
        <w:t>上限），从而保证在每个时间步上均可形成</w:t>
      </w:r>
      <w:r w:rsidR="005E585D">
        <w:rPr>
          <w:rFonts w:hint="eastAsia"/>
        </w:rPr>
        <w:t>“</w:t>
      </w:r>
      <w:r w:rsidRPr="00271481">
        <w:t>动作（抽检批次）</w:t>
      </w:r>
      <w:r w:rsidR="007E7F90">
        <w:rPr>
          <w:rFonts w:hint="eastAsia"/>
        </w:rPr>
        <w:t>—</w:t>
      </w:r>
      <w:r w:rsidRPr="00271481">
        <w:t>观测（检出计数）</w:t>
      </w:r>
      <w:r w:rsidR="007E7F90">
        <w:rPr>
          <w:rFonts w:hint="eastAsia"/>
        </w:rPr>
        <w:t>—</w:t>
      </w:r>
      <w:r w:rsidRPr="00271481">
        <w:t>信念更新</w:t>
      </w:r>
      <w:r w:rsidR="005E585D">
        <w:rPr>
          <w:rFonts w:hint="eastAsia"/>
        </w:rPr>
        <w:t>”</w:t>
      </w:r>
      <w:r w:rsidRPr="00271481">
        <w:t>的输入。</w:t>
      </w:r>
      <w:r w:rsidR="0055560A" w:rsidRPr="0055560A">
        <w:t>计数面板数据构成了模型在时空维度上进行推断的核心统计基础。它不仅记录了当期的监管投入与检出情况，</w:t>
      </w:r>
      <w:r w:rsidR="00B76D74">
        <w:rPr>
          <w:rFonts w:hint="eastAsia"/>
        </w:rPr>
        <w:t>也是</w:t>
      </w:r>
      <w:r w:rsidR="0055560A" w:rsidRPr="0055560A">
        <w:t>驱动</w:t>
      </w:r>
      <w:r w:rsidR="0055560A" w:rsidRPr="0055560A">
        <w:t>Beta-Binomial</w:t>
      </w:r>
      <w:r w:rsidR="0055560A" w:rsidRPr="0055560A">
        <w:t>贝叶斯更新、动态解析不确定性演化以及量化信息价值（方差缩减）的</w:t>
      </w:r>
      <w:r w:rsidR="00B76D74">
        <w:rPr>
          <w:rFonts w:hint="eastAsia"/>
        </w:rPr>
        <w:t>数据基础</w:t>
      </w:r>
      <w:r w:rsidR="0055560A" w:rsidRPr="0055560A">
        <w:t>，因此被确立为本研究的主数据</w:t>
      </w:r>
      <w:r w:rsidR="0094397F">
        <w:rPr>
          <w:rFonts w:hint="eastAsia"/>
        </w:rPr>
        <w:t>来源。</w:t>
      </w:r>
    </w:p>
    <w:p w14:paraId="25ADB903" w14:textId="74424603" w:rsidR="0009766D" w:rsidRDefault="00271481" w:rsidP="00897C23">
      <w:pPr>
        <w:ind w:firstLine="480"/>
      </w:pPr>
      <w:r w:rsidRPr="00271481">
        <w:t>在此基础上，进一步构建</w:t>
      </w:r>
      <w:r w:rsidR="009F5B18">
        <w:rPr>
          <w:rFonts w:hint="eastAsia"/>
        </w:rPr>
        <w:t>“</w:t>
      </w:r>
      <w:r w:rsidRPr="00271481">
        <w:t>清洗表</w:t>
      </w:r>
      <w:r w:rsidR="009F5B18">
        <w:rPr>
          <w:rFonts w:hint="eastAsia"/>
        </w:rPr>
        <w:t>”</w:t>
      </w:r>
      <w:r w:rsidRPr="00271481">
        <w:t>作为暴露评估与风险度量（</w:t>
      </w:r>
      <w:r w:rsidRPr="00271481">
        <w:t>MOE/EDI</w:t>
      </w:r>
      <w:r w:rsidRPr="00271481">
        <w:t>）的辅助信息与先验</w:t>
      </w:r>
      <w:r w:rsidRPr="00271481">
        <w:t>/</w:t>
      </w:r>
      <w:r w:rsidRPr="00271481">
        <w:t>派生特征来源，但不替代计数面板在信念更新中的核心地位。清洗表主要围绕污染物浓度与暴露指标进行结构化：对通报中被识别为黄曲霉毒素</w:t>
      </w:r>
      <w:r w:rsidRPr="00271481">
        <w:t>B</w:t>
      </w:r>
      <w:r w:rsidRPr="00E82835">
        <w:rPr>
          <w:vertAlign w:val="subscript"/>
        </w:rPr>
        <w:t>1</w:t>
      </w:r>
      <w:r w:rsidRPr="00271481">
        <w:t>（</w:t>
      </w:r>
      <w:r w:rsidRPr="00271481">
        <w:t>AFB</w:t>
      </w:r>
      <w:r w:rsidRPr="00E82835">
        <w:rPr>
          <w:vertAlign w:val="subscript"/>
        </w:rPr>
        <w:t>1</w:t>
      </w:r>
      <w:r w:rsidRPr="00271481">
        <w:t>）的阳性批次提取其浓度数值，完成单位一致化、异常值检查与统计汇总后，在省份</w:t>
      </w:r>
      <w:r w:rsidR="00513871">
        <w:rPr>
          <w:rFonts w:hint="eastAsia"/>
        </w:rPr>
        <w:t>—</w:t>
      </w:r>
      <w:r w:rsidRPr="00271481">
        <w:t>时间尺度上估计污染发生条件下浓度分布参数（如对数正态的</w:t>
      </w:r>
      <m:oMath>
        <m:sSubSup>
          <m:sSubSupPr>
            <m:ctrlPr>
              <w:rPr>
                <w:rFonts w:ascii="Cambria Math" w:hAnsi="Cambria Math"/>
              </w:rPr>
            </m:ctrlPr>
          </m:sSubSupPr>
          <m:e>
            <m:r>
              <w:rPr>
                <w:rFonts w:ascii="Cambria Math" w:hAnsi="Cambria Math"/>
              </w:rPr>
              <m:t>μ</m:t>
            </m:r>
          </m:e>
          <m:sub>
            <m:r>
              <w:rPr>
                <w:rFonts w:ascii="Cambria Math" w:hAnsi="Cambria Math"/>
              </w:rPr>
              <m:t>i,t</m:t>
            </m:r>
          </m:sub>
          <m:sup>
            <m:r>
              <w:rPr>
                <w:rFonts w:ascii="Cambria Math" w:hAnsi="Cambria Math"/>
              </w:rPr>
              <m:t>C</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i,t</m:t>
            </m:r>
          </m:sub>
          <m:sup>
            <m:r>
              <w:rPr>
                <w:rFonts w:ascii="Cambria Math" w:hAnsi="Cambria Math"/>
              </w:rPr>
              <m:t>C</m:t>
            </m:r>
          </m:sup>
        </m:sSubSup>
      </m:oMath>
      <w:r w:rsidRPr="00271481">
        <w:t>），并据此计算浓度的均值</w:t>
      </w:r>
      <w:r w:rsidRPr="00271481">
        <w:t>/</w:t>
      </w:r>
      <w:r w:rsidRPr="00271481">
        <w:t>分位数等稳健统计量；随后将其与消费量、人口规模与体重等参数匹配，形成</w:t>
      </w:r>
      <m:oMath>
        <m:r>
          <w:rPr>
            <w:rFonts w:ascii="Cambria Math" w:hAnsi="Cambria Math"/>
          </w:rPr>
          <m:t>ED</m:t>
        </m:r>
        <m:sSub>
          <m:sSubPr>
            <m:ctrlPr>
              <w:rPr>
                <w:rFonts w:ascii="Cambria Math" w:hAnsi="Cambria Math"/>
              </w:rPr>
            </m:ctrlPr>
          </m:sSubPr>
          <m:e>
            <m:r>
              <w:rPr>
                <w:rFonts w:ascii="Cambria Math" w:hAnsi="Cambria Math"/>
              </w:rPr>
              <m:t>I</m:t>
            </m:r>
          </m:e>
          <m:sub>
            <m:r>
              <w:rPr>
                <w:rFonts w:ascii="Cambria Math" w:hAnsi="Cambria Math"/>
              </w:rPr>
              <m:t>i,t</m:t>
            </m:r>
          </m:sub>
        </m:sSub>
      </m:oMath>
      <w:r w:rsidRPr="00271481">
        <w:t>、</w:t>
      </w:r>
      <m:oMath>
        <m:r>
          <w:rPr>
            <w:rFonts w:ascii="Cambria Math" w:hAnsi="Cambria Math"/>
          </w:rPr>
          <m:t>MO</m:t>
        </m:r>
        <m:sSub>
          <m:sSubPr>
            <m:ctrlPr>
              <w:rPr>
                <w:rFonts w:ascii="Cambria Math" w:hAnsi="Cambria Math"/>
              </w:rPr>
            </m:ctrlPr>
          </m:sSubPr>
          <m:e>
            <m:r>
              <w:rPr>
                <w:rFonts w:ascii="Cambria Math" w:hAnsi="Cambria Math"/>
              </w:rPr>
              <m:t>E</m:t>
            </m:r>
          </m:e>
          <m:sub>
            <m:r>
              <w:rPr>
                <w:rFonts w:ascii="Cambria Math" w:hAnsi="Cambria Math"/>
              </w:rPr>
              <m:t>i,t</m:t>
            </m:r>
          </m:sub>
        </m:sSub>
      </m:oMath>
      <w:r w:rsidRPr="00271481">
        <w:t>及</w:t>
      </w:r>
      <m:oMath>
        <m:r>
          <m:rPr>
            <m:sty m:val="p"/>
          </m:rPr>
          <w:rPr>
            <w:rFonts w:ascii="Cambria Math" w:hAnsi="Cambria Math"/>
          </w:rPr>
          <m:t>Pr</m:t>
        </m:r>
        <m:r>
          <w:rPr>
            <w:rFonts w:ascii="Cambria Math" w:hAnsi="Cambria Math"/>
          </w:rPr>
          <m:t>⁡(MO</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&lt;T)</m:t>
        </m:r>
      </m:oMath>
      <w:r w:rsidRPr="00271481">
        <w:t>等风险派生量，</w:t>
      </w:r>
      <w:r w:rsidR="00897C23" w:rsidRPr="00897C23">
        <w:t>用于将污染浓度、膳食摄入水平与毒理学效应点在同一度量体系下衔接起来，从而把监管目标转化为可计算、可解释的风险控制指标</w:t>
      </w:r>
      <w:r w:rsidR="00897C23">
        <w:rPr>
          <w:rFonts w:hint="eastAsia"/>
        </w:rPr>
        <w:t>。</w:t>
      </w:r>
      <w:r w:rsidRPr="00271481">
        <w:t>需要强调的是，清洗表在数据结构上不包含每期抽检批次与检出计数等</w:t>
      </w:r>
      <w:r w:rsidR="00CC71E0">
        <w:rPr>
          <w:rFonts w:hint="eastAsia"/>
        </w:rPr>
        <w:t>“</w:t>
      </w:r>
      <w:r w:rsidRPr="00271481">
        <w:t>观测生成机制</w:t>
      </w:r>
      <w:r w:rsidR="00CC71E0">
        <w:rPr>
          <w:rFonts w:hint="eastAsia"/>
        </w:rPr>
        <w:t>”</w:t>
      </w:r>
      <w:r w:rsidRPr="00271481">
        <w:t>的信息，无法独立支撑</w:t>
      </w:r>
      <w:r w:rsidRPr="00271481">
        <w:t>belief</w:t>
      </w:r>
      <w:r w:rsidRPr="00271481">
        <w:t>更新与在线信息价值计算，因此在模型中被定位为：为暴露评估提供稳定的浓度机制参数、为风险惩罚项提供可计算输入，</w:t>
      </w:r>
      <w:r w:rsidR="00AB3EE3" w:rsidRPr="00AB3EE3">
        <w:t>并在监测数据时序缺失的情形下，通过平滑补全机制保障状态特征的连续性，从而为评估体系提供稳健且一致的数据</w:t>
      </w:r>
      <w:r w:rsidR="00AB3EE3">
        <w:rPr>
          <w:rFonts w:hint="eastAsia"/>
        </w:rPr>
        <w:t>结构</w:t>
      </w:r>
      <w:r w:rsidR="00AB3EE3" w:rsidRPr="00AB3EE3">
        <w:t>支持</w:t>
      </w:r>
      <w:r w:rsidRPr="00AB3EE3">
        <w:t>。</w:t>
      </w:r>
    </w:p>
    <w:p w14:paraId="20DB6315" w14:textId="022A2A69" w:rsidR="001B11C1" w:rsidRDefault="001B11C1" w:rsidP="001B11C1">
      <w:pPr>
        <w:pStyle w:val="2"/>
      </w:pPr>
      <w:bookmarkStart w:id="44" w:name="_Toc218094779"/>
      <w:r w:rsidRPr="001B11C1">
        <w:lastRenderedPageBreak/>
        <w:t>模型</w:t>
      </w:r>
      <w:r>
        <w:rPr>
          <w:rFonts w:hint="eastAsia"/>
        </w:rPr>
        <w:t>设定</w:t>
      </w:r>
      <w:r w:rsidRPr="001B11C1">
        <w:t>：受限</w:t>
      </w:r>
      <w:r w:rsidRPr="001B11C1">
        <w:t>POMDP → belief-MDP</w:t>
      </w:r>
      <w:r w:rsidR="00A0030B" w:rsidRPr="00A0030B">
        <w:t>（带约束）</w:t>
      </w:r>
      <w:bookmarkEnd w:id="44"/>
    </w:p>
    <w:p w14:paraId="59BB19D2" w14:textId="5F425B40" w:rsidR="00A876FB" w:rsidRPr="00F32B64" w:rsidRDefault="00F32B64" w:rsidP="001110A3">
      <w:pPr>
        <w:ind w:firstLine="480"/>
      </w:pPr>
      <w:r w:rsidRPr="00F32B64">
        <w:t>本研究确立了涵盖</w:t>
      </w:r>
      <w:r>
        <w:rPr>
          <w:rFonts w:hint="eastAsia"/>
        </w:rPr>
        <w:t>“</w:t>
      </w:r>
      <w:r w:rsidRPr="00F32B64">
        <w:t>受限</w:t>
      </w:r>
      <w:r w:rsidRPr="00F32B64">
        <w:t>POMDP</w:t>
      </w:r>
      <w:r w:rsidRPr="00F32B64">
        <w:t>建模、</w:t>
      </w:r>
      <w:r w:rsidRPr="00F32B64">
        <w:t>Belief-MDP</w:t>
      </w:r>
      <w:r w:rsidRPr="00F32B64">
        <w:t>转化与</w:t>
      </w:r>
      <w:r w:rsidRPr="00F32B64">
        <w:t>DQN</w:t>
      </w:r>
      <w:r w:rsidRPr="00F32B64">
        <w:t>策略求解</w:t>
      </w:r>
      <w:r>
        <w:rPr>
          <w:rFonts w:hint="eastAsia"/>
        </w:rPr>
        <w:t>”</w:t>
      </w:r>
      <w:r w:rsidRPr="00F32B64">
        <w:t>的系统化技术路线。具体而言，首先在</w:t>
      </w:r>
      <w:r w:rsidRPr="00F32B64">
        <w:t>POMDP</w:t>
      </w:r>
      <w:r w:rsidRPr="00F32B64">
        <w:t>层面构建隐状态、观测信号与共轭信念更新的数学结构；继而将部分可观测问题形式化为信念空间上的</w:t>
      </w:r>
      <w:r w:rsidRPr="00F32B64">
        <w:t>MDP</w:t>
      </w:r>
      <w:r w:rsidRPr="00F32B64">
        <w:t>以实现状态全知化；最终，通过将预算硬约束与整数性限制内嵌于</w:t>
      </w:r>
      <w:r w:rsidRPr="00F32B64">
        <w:t>DQN</w:t>
      </w:r>
      <w:r w:rsidRPr="00F32B64">
        <w:t>的学习过程与执行逻辑，确保生成的动态抽检策略严格满足现实场景的可部署性要求。</w:t>
      </w:r>
    </w:p>
    <w:p w14:paraId="5615DDB0" w14:textId="69A20579" w:rsidR="00A0030B" w:rsidRDefault="00A0030B" w:rsidP="00A0030B">
      <w:pPr>
        <w:pStyle w:val="2"/>
      </w:pPr>
      <w:bookmarkStart w:id="45" w:name="_Toc218094780"/>
      <w:r w:rsidRPr="00A0030B">
        <w:t>多智能体架构</w:t>
      </w:r>
      <w:bookmarkEnd w:id="45"/>
    </w:p>
    <w:p w14:paraId="3A834012" w14:textId="029FBA54" w:rsidR="0088352D" w:rsidRDefault="0088352D" w:rsidP="00D87589">
      <w:pPr>
        <w:ind w:firstLine="480"/>
      </w:pPr>
      <w:r w:rsidRPr="0088352D">
        <w:t>政府（</w:t>
      </w:r>
      <w:r w:rsidRPr="0088352D">
        <w:t>G</w:t>
      </w:r>
      <w:r w:rsidRPr="0088352D">
        <w:t>）为核心</w:t>
      </w:r>
      <w:r w:rsidRPr="0088352D">
        <w:t>DQN</w:t>
      </w:r>
      <w:r w:rsidRPr="0088352D">
        <w:t>智能体，其状态输入是全网向量化信息（信念参数、风险特征、人口权重与预算等），动作为跨省</w:t>
      </w:r>
      <w:r w:rsidRPr="0088352D">
        <w:t>×</w:t>
      </w:r>
      <w:r w:rsidRPr="0088352D">
        <w:t>两环节整数抽检向量；供应商（</w:t>
      </w:r>
      <w:r w:rsidRPr="0088352D">
        <w:t>S</w:t>
      </w:r>
      <w:r w:rsidRPr="0088352D">
        <w:t>）与加工</w:t>
      </w:r>
      <w:r w:rsidRPr="0088352D">
        <w:t>/</w:t>
      </w:r>
      <w:r w:rsidRPr="0088352D">
        <w:t>流通端（</w:t>
      </w:r>
      <w:r w:rsidRPr="0088352D">
        <w:t>M</w:t>
      </w:r>
      <w:r w:rsidRPr="0088352D">
        <w:t>）不作为训练主体，但其响应决定风险转移：分别以质量努力</w:t>
      </w:r>
      <m:oMath>
        <m:sSub>
          <m:sSubPr>
            <m:ctrlPr>
              <w:rPr>
                <w:rFonts w:ascii="Cambria Math" w:hAnsi="Cambria Math"/>
              </w:rPr>
            </m:ctrlPr>
          </m:sSubPr>
          <m:e>
            <m:r>
              <w:rPr>
                <w:rFonts w:ascii="Cambria Math" w:hAnsi="Cambria Math"/>
              </w:rPr>
              <m:t>u</m:t>
            </m:r>
          </m:e>
          <m:sub>
            <m:r>
              <w:rPr>
                <w:rFonts w:ascii="Cambria Math" w:hAnsi="Cambria Math"/>
              </w:rPr>
              <m:t>i,t</m:t>
            </m:r>
          </m:sub>
        </m:sSub>
      </m:oMath>
      <w:r w:rsidRPr="0088352D">
        <w:t>与筛检强度</w:t>
      </w:r>
      <m:oMath>
        <m:sSub>
          <m:sSubPr>
            <m:ctrlPr>
              <w:rPr>
                <w:rFonts w:ascii="Cambria Math" w:hAnsi="Cambria Math"/>
              </w:rPr>
            </m:ctrlPr>
          </m:sSubPr>
          <m:e>
            <m:r>
              <w:rPr>
                <w:rFonts w:ascii="Cambria Math" w:hAnsi="Cambria Math"/>
              </w:rPr>
              <m:t>v</m:t>
            </m:r>
          </m:e>
          <m:sub>
            <m:r>
              <w:rPr>
                <w:rFonts w:ascii="Cambria Math" w:hAnsi="Cambria Math"/>
              </w:rPr>
              <m:t>i,t</m:t>
            </m:r>
          </m:sub>
        </m:sSub>
      </m:oMath>
      <w:r w:rsidRPr="0088352D">
        <w:t>表征，</w:t>
      </w:r>
      <w:r w:rsidR="00E54660" w:rsidRPr="00E54660">
        <w:t>并被设定为对监管压力、风险信号与经济环境的响应函数，从而确立了从监管抽检投入传导至供应链行为调整、并最终驱动风险状态演化的内生反馈机制</w:t>
      </w:r>
      <w:r w:rsidR="006D4F5D">
        <w:fldChar w:fldCharType="begin"/>
      </w:r>
      <w:r w:rsidR="006D4F5D">
        <w:instrText xml:space="preserve"> ADDIN ZOTERO_ITEM CSL_CITATION {"citationID":"172RBvTJ","properties":{"formattedCitation":"(Liu et al., 2025)","plainCitation":"(Liu et al., 2025)","noteIndex":0},"citationItems":[{"id":381,"uris":["http://zotero.org/users/17227936/items/XCDPBJ4D"],"itemData":{"id":381,"type":"article-journal","abstract":"We apply heterogeneous-agent proximal policy optimization (HAPPO), a multi-agent deep reinforcement learning (MADRL) algorithm, to the decentralized multi-echelon inventory management problems in both a serial supply chain and a supply chain network. We also examine whether the upfront-only information-sharing mechanism used in MADRL helps alleviate the bullwhip effect. Our results show that policies constructed by HAPPO achieve lower overall costs than policies constructed by single-agent deep reinforcement learning and other heuristic policies. Also, the application of HAPPO results in a less significant bullwhip effect than policies constructed by single-agent deep reinforcement learning where information is not shared among actors. Somewhat surprisingly, compared to using the overall costs of the system as a minimization target for each actor, HAPPO achieves lower overall costs when the minimization target for each actor is a combination of its own costs and the overall costs of the system. Our results provide a new perspective on the benefit of information sharing inside the supply chain that helps alleviate the bullwhip effect and improve the overall performance of the system. Upfront information sharing and action coordination in model training among actors is essential, with the former even more essential, for improving a supply chain’s overall performance when applying MADRL. Neither actors being fully self-interested nor actors being fully system-focused leads to the best practical performance of policies learned and constructed by MADRL. Our results also verify MADRL’s potential in solving various multi-echelon inventory management problems with complex supply chain structures and in non-stationary market environments.","container-title":"Production and Operations Management","DOI":"10.1177/10591478241305863","ISSN":"1059-1478, 1937-5956","issue":"7","journalAbbreviation":"Production and Operations Management","language":"en","page":"1836-1856","source":"DOI.org (Crossref)","title":"Multi-Agent Deep Reinforcement Learning for Multi-Echelon Inventory Management","volume":"34","author":[{"family":"Liu","given":"Xiaotian"},{"family":"Hu","given":"Ming"},{"family":"Peng","given":"Yijie"},{"family":"Yang","given":"Yaodong"}],"issued":{"date-parts":[["2025",7]]}}}],"schema":"https://github.com/citation-style-language/schema/raw/master/csl-citation.json"} </w:instrText>
      </w:r>
      <w:r w:rsidR="006D4F5D">
        <w:fldChar w:fldCharType="separate"/>
      </w:r>
      <w:r w:rsidR="006D4F5D" w:rsidRPr="006D4F5D">
        <w:rPr>
          <w:rFonts w:cs="Times New Roman"/>
        </w:rPr>
        <w:t>(Liu et al., 2025)</w:t>
      </w:r>
      <w:r w:rsidR="006D4F5D">
        <w:fldChar w:fldCharType="end"/>
      </w:r>
      <w:r w:rsidR="00E54660" w:rsidRPr="00E54660">
        <w:t>。</w:t>
      </w:r>
    </w:p>
    <w:p w14:paraId="64A32F34" w14:textId="5C40EB81" w:rsidR="001E7626" w:rsidRDefault="001E7626" w:rsidP="001E7626">
      <w:pPr>
        <w:pStyle w:val="2"/>
      </w:pPr>
      <w:bookmarkStart w:id="46" w:name="_Toc218094781"/>
      <w:r w:rsidRPr="001E7626">
        <w:t>DQN</w:t>
      </w:r>
      <w:r>
        <w:rPr>
          <w:rFonts w:hint="eastAsia"/>
        </w:rPr>
        <w:t>设置</w:t>
      </w:r>
      <w:bookmarkEnd w:id="46"/>
    </w:p>
    <w:p w14:paraId="2FC541B9" w14:textId="190C46A4" w:rsidR="00F461B9" w:rsidRDefault="00F461B9" w:rsidP="00F461B9">
      <w:pPr>
        <w:ind w:firstLineChars="0" w:firstLine="480"/>
      </w:pPr>
      <w:r>
        <w:t>（</w:t>
      </w:r>
      <w:r>
        <w:t>1</w:t>
      </w:r>
      <w:r>
        <w:t>）</w:t>
      </w:r>
      <w:r w:rsidRPr="00F461B9">
        <w:t>State</w:t>
      </w:r>
      <w:r w:rsidRPr="00F461B9">
        <w:t>（状态表示与特征构造）</w:t>
      </w:r>
    </w:p>
    <w:p w14:paraId="6E7A402E" w14:textId="5138D976" w:rsidR="001E7626" w:rsidRDefault="00F461B9" w:rsidP="0024453B">
      <w:pPr>
        <w:ind w:firstLine="480"/>
      </w:pPr>
      <w:r w:rsidRPr="00F461B9">
        <w:t>在求解层面，</w:t>
      </w:r>
      <w:r w:rsidRPr="00F461B9">
        <w:t>DQN</w:t>
      </w:r>
      <w:r w:rsidRPr="00F461B9">
        <w:t>并不直接在真实污染隐状态</w:t>
      </w:r>
      <m:oMath>
        <m:sSub>
          <m:sSubPr>
            <m:ctrlPr>
              <w:rPr>
                <w:rFonts w:ascii="Cambria Math" w:hAnsi="Cambria Math"/>
              </w:rPr>
            </m:ctrlPr>
          </m:sSubPr>
          <m:e>
            <m:r>
              <w:rPr>
                <w:rFonts w:ascii="Cambria Math" w:hAnsi="Cambria Math"/>
              </w:rPr>
              <m:t>θ</m:t>
            </m:r>
          </m:e>
          <m:sub>
            <m:r>
              <w:rPr>
                <w:rFonts w:ascii="Cambria Math" w:hAnsi="Cambria Math"/>
              </w:rPr>
              <m:t>i,e,t</m:t>
            </m:r>
          </m:sub>
        </m:sSub>
      </m:oMath>
      <w:r w:rsidRPr="00F461B9">
        <w:t>上决策，而是在</w:t>
      </w:r>
      <w:r w:rsidR="00804D1E">
        <w:rPr>
          <w:rFonts w:hint="eastAsia"/>
        </w:rPr>
        <w:t>“</w:t>
      </w:r>
      <w:r w:rsidRPr="00F461B9">
        <w:t>信念</w:t>
      </w:r>
      <w:r w:rsidRPr="00F461B9">
        <w:t>—</w:t>
      </w:r>
      <w:r w:rsidRPr="00F461B9">
        <w:t>特征</w:t>
      </w:r>
      <w:r w:rsidR="00804D1E">
        <w:rPr>
          <w:rFonts w:hint="eastAsia"/>
        </w:rPr>
        <w:t>”</w:t>
      </w:r>
      <w:r w:rsidRPr="00F461B9">
        <w:t>空间上学习政府的抽检策略。令</w:t>
      </w:r>
      <m:oMath>
        <m:sSub>
          <m:sSubPr>
            <m:ctrlPr>
              <w:rPr>
                <w:rFonts w:ascii="Cambria Math" w:hAnsi="Cambria Math"/>
              </w:rPr>
            </m:ctrlPr>
          </m:sSubPr>
          <m:e>
            <m:r>
              <w:rPr>
                <w:rFonts w:ascii="Cambria Math" w:hAnsi="Cambria Math"/>
              </w:rPr>
              <m:t>b</m:t>
            </m:r>
          </m:e>
          <m:sub>
            <m:r>
              <w:rPr>
                <w:rFonts w:ascii="Cambria Math" w:hAnsi="Cambria Math"/>
              </w:rPr>
              <m:t>i,e,t</m:t>
            </m:r>
          </m:sub>
        </m:sSub>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α</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i,e,t</m:t>
                </m:r>
              </m:sub>
            </m:sSub>
          </m:e>
        </m:d>
      </m:oMath>
      <w:r w:rsidRPr="00F461B9">
        <w:t>表示省份</w:t>
      </w:r>
      <m:oMath>
        <m:r>
          <w:rPr>
            <w:rFonts w:ascii="Cambria Math" w:hAnsi="Cambria Math"/>
          </w:rPr>
          <m:t>i</m:t>
        </m:r>
      </m:oMath>
      <w:r w:rsidRPr="00F461B9">
        <w:t>、环节</w:t>
      </w:r>
      <m:oMath>
        <m:r>
          <w:rPr>
            <w:rFonts w:ascii="Cambria Math" w:hAnsi="Cambria Math"/>
          </w:rPr>
          <m:t>e∈</m:t>
        </m:r>
        <m:d>
          <m:dPr>
            <m:begChr m:val="{"/>
            <m:endChr m:val="}"/>
            <m:ctrlPr>
              <w:rPr>
                <w:rFonts w:ascii="Cambria Math" w:hAnsi="Cambria Math"/>
                <w:i/>
              </w:rPr>
            </m:ctrlPr>
          </m:dPr>
          <m:e>
            <m:r>
              <w:rPr>
                <w:rFonts w:ascii="Cambria Math" w:hAnsi="Cambria Math"/>
              </w:rPr>
              <m:t>S,M</m:t>
            </m:r>
          </m:e>
        </m:d>
      </m:oMath>
      <w:r w:rsidRPr="00F461B9">
        <w:t>在期</w:t>
      </w:r>
      <m:oMath>
        <m:r>
          <w:rPr>
            <w:rFonts w:ascii="Cambria Math" w:hAnsi="Cambria Math"/>
          </w:rPr>
          <m:t>t</m:t>
        </m:r>
      </m:oMath>
      <w:r w:rsidRPr="00F461B9">
        <w:t>的</w:t>
      </w:r>
      <w:r w:rsidRPr="00F461B9">
        <w:t>Beta</w:t>
      </w:r>
      <w:r w:rsidRPr="00F461B9">
        <w:t>信念参数，则政府在期</w:t>
      </w:r>
      <m:oMath>
        <m:r>
          <w:rPr>
            <w:rFonts w:ascii="Cambria Math" w:hAnsi="Cambria Math"/>
          </w:rPr>
          <m:t>t</m:t>
        </m:r>
      </m:oMath>
      <w:r w:rsidRPr="00F461B9">
        <w:t>的可观测状态可写为</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G</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i,S,t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m:t>
            </m:r>
          </m:sub>
        </m:sSub>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I</m:t>
            </m:r>
          </m:sup>
        </m:sSubSup>
      </m:oMath>
      <w:r w:rsidRPr="00F461B9">
        <w:t>与一组可计算的派生特征的并集，最终输入网络的向量化状态为</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Φ</m:t>
        </m:r>
        <m:d>
          <m:dPr>
            <m:ctrlPr>
              <w:rPr>
                <w:rFonts w:ascii="Cambria Math" w:hAnsi="Cambria Math"/>
                <w:i/>
              </w:rPr>
            </m:ctrlPr>
          </m:dPr>
          <m:e>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G</m:t>
                </m:r>
              </m:sup>
            </m:sSubSup>
          </m:e>
        </m:d>
      </m:oMath>
      <w:r w:rsidRPr="00F461B9">
        <w:t>。在可复现实验的实现中，</w:t>
      </w:r>
      <m:oMath>
        <m:r>
          <m:rPr>
            <m:sty m:val="p"/>
          </m:rPr>
          <w:rPr>
            <w:rFonts w:ascii="Cambria Math" w:hAnsi="Cambria Math"/>
          </w:rPr>
          <m:t>Φ</m:t>
        </m:r>
        <m:d>
          <m:dPr>
            <m:ctrlPr>
              <w:rPr>
                <w:rFonts w:ascii="Cambria Math" w:hAnsi="Cambria Math"/>
                <w:i/>
              </w:rPr>
            </m:ctrlPr>
          </m:dPr>
          <m:e>
            <m:r>
              <w:rPr>
                <w:rFonts w:ascii="Cambria Math" w:hAnsi="Cambria Math"/>
              </w:rPr>
              <m:t>⋅</m:t>
            </m:r>
          </m:e>
        </m:d>
      </m:oMath>
      <w:r w:rsidRPr="00F461B9">
        <w:t>至少包含三类信息：其一是不确定性与风险水平本身，即每个</w:t>
      </w:r>
      <m:oMath>
        <m:d>
          <m:dPr>
            <m:ctrlPr>
              <w:rPr>
                <w:rFonts w:ascii="Cambria Math" w:hAnsi="Cambria Math"/>
                <w:i/>
              </w:rPr>
            </m:ctrlPr>
          </m:dPr>
          <m:e>
            <m:r>
              <w:rPr>
                <w:rFonts w:ascii="Cambria Math" w:hAnsi="Cambria Math"/>
              </w:rPr>
              <m:t>i,e</m:t>
            </m:r>
          </m:e>
        </m:d>
      </m:oMath>
      <w:r w:rsidRPr="00F461B9">
        <w:t>的</w:t>
      </w:r>
      <m:oMath>
        <m:sSub>
          <m:sSubPr>
            <m:ctrlPr>
              <w:rPr>
                <w:rFonts w:ascii="Cambria Math" w:hAnsi="Cambria Math"/>
              </w:rPr>
            </m:ctrlPr>
          </m:sSubPr>
          <m:e>
            <m:r>
              <w:rPr>
                <w:rFonts w:ascii="Cambria Math" w:hAnsi="Cambria Math"/>
              </w:rPr>
              <m:t>α</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i,e,t</m:t>
            </m:r>
          </m:sub>
        </m:sSub>
      </m:oMath>
      <w:r w:rsidRPr="00F461B9">
        <w:t>及由此得到的后验均值</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i,e,t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i,e,t</m:t>
                </m:r>
              </m:sub>
            </m:sSub>
            <m:ctrlPr>
              <w:rPr>
                <w:rFonts w:ascii="Cambria Math" w:hAnsi="Cambria Math"/>
                <w:i/>
              </w:rPr>
            </m:ctrlPr>
          </m:num>
          <m:den>
            <m:sSub>
              <m:sSubPr>
                <m:ctrlPr>
                  <w:rPr>
                    <w:rFonts w:ascii="Cambria Math" w:hAnsi="Cambria Math"/>
                  </w:rPr>
                </m:ctrlPr>
              </m:sSubPr>
              <m:e>
                <m:r>
                  <w:rPr>
                    <w:rFonts w:ascii="Cambria Math" w:hAnsi="Cambria Math"/>
                  </w:rPr>
                  <m:t>α</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i,e,t</m:t>
                </m:r>
              </m:sub>
            </m:sSub>
          </m:den>
        </m:f>
      </m:oMath>
      <w:r w:rsidRPr="00F461B9">
        <w:t>与后验方差</w:t>
      </w:r>
      <m:oMath>
        <m:r>
          <m:rPr>
            <m:sty m:val="p"/>
          </m:rPr>
          <w:rPr>
            <w:rFonts w:ascii="Cambria Math" w:hAnsi="Cambria Math"/>
          </w:rPr>
          <m:t>Var</m:t>
        </m:r>
        <m:r>
          <m:rPr>
            <m:nor/>
          </m:rPr>
          <m:t> </m:t>
        </m:r>
        <m:d>
          <m:dPr>
            <m:sep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i,e,t</m:t>
                </m:r>
              </m:sub>
            </m:sSub>
          </m:e>
          <m:e>
            <m:sSub>
              <m:sSubPr>
                <m:ctrlPr>
                  <w:rPr>
                    <w:rFonts w:ascii="Cambria Math" w:hAnsi="Cambria Math"/>
                  </w:rPr>
                </m:ctrlPr>
              </m:sSubPr>
              <m:e>
                <m:r>
                  <w:rPr>
                    <w:rFonts w:ascii="Cambria Math" w:hAnsi="Cambria Math"/>
                  </w:rPr>
                  <m:t>b</m:t>
                </m:r>
              </m:e>
              <m:sub>
                <m:r>
                  <w:rPr>
                    <w:rFonts w:ascii="Cambria Math" w:hAnsi="Cambria Math"/>
                  </w:rPr>
                  <m:t>i,e,t</m:t>
                </m:r>
              </m:sub>
            </m:sSub>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i,e,t</m:t>
                </m:r>
              </m:sub>
            </m:sSub>
            <m:r>
              <m:rPr>
                <m:nor/>
              </m:rPr>
              <m:t> </m:t>
            </m:r>
            <m:sSub>
              <m:sSubPr>
                <m:ctrlPr>
                  <w:rPr>
                    <w:rFonts w:ascii="Cambria Math" w:hAnsi="Cambria Math"/>
                  </w:rPr>
                </m:ctrlPr>
              </m:sSubPr>
              <m:e>
                <m:r>
                  <w:rPr>
                    <w:rFonts w:ascii="Cambria Math" w:hAnsi="Cambria Math"/>
                  </w:rPr>
                  <m:t>β</m:t>
                </m:r>
              </m:e>
              <m:sub>
                <m:r>
                  <w:rPr>
                    <w:rFonts w:ascii="Cambria Math" w:hAnsi="Cambria Math"/>
                  </w:rPr>
                  <m:t>i,e,t</m:t>
                </m:r>
              </m:sub>
            </m:sSub>
          </m:num>
          <m:den>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i,e,t</m:t>
                        </m:r>
                      </m:sub>
                    </m:sSub>
                  </m:e>
                  <m:e>
                    <m:sSub>
                      <m:sSubPr>
                        <m:ctrlPr>
                          <w:rPr>
                            <w:rFonts w:ascii="Cambria Math" w:hAnsi="Cambria Math"/>
                          </w:rPr>
                        </m:ctrlPr>
                      </m:sSubPr>
                      <m:e>
                        <m:r>
                          <w:rPr>
                            <w:rFonts w:ascii="Cambria Math" w:hAnsi="Cambria Math"/>
                          </w:rPr>
                          <m:t>β</m:t>
                        </m:r>
                      </m:e>
                      <m:sub>
                        <m:r>
                          <w:rPr>
                            <w:rFonts w:ascii="Cambria Math" w:hAnsi="Cambria Math"/>
                          </w:rPr>
                          <m:t>i,e,t</m:t>
                        </m:r>
                      </m:sub>
                    </m:sSub>
                  </m:e>
                </m:d>
              </m:e>
              <m:sup>
                <m:r>
                  <w:rPr>
                    <w:rFonts w:ascii="Cambria Math" w:hAnsi="Cambria Math"/>
                  </w:rPr>
                  <m:t>2</m:t>
                </m:r>
              </m:sup>
            </m:sSup>
            <m:d>
              <m:dPr>
                <m:sep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i,e,t</m:t>
                    </m:r>
                  </m:sub>
                </m:sSub>
              </m:e>
              <m:e>
                <m:sSub>
                  <m:sSubPr>
                    <m:ctrlPr>
                      <w:rPr>
                        <w:rFonts w:ascii="Cambria Math" w:hAnsi="Cambria Math"/>
                      </w:rPr>
                    </m:ctrlPr>
                  </m:sSubPr>
                  <m:e>
                    <m:r>
                      <w:rPr>
                        <w:rFonts w:ascii="Cambria Math" w:hAnsi="Cambria Math"/>
                      </w:rPr>
                      <m:t>β</m:t>
                    </m:r>
                  </m:e>
                  <m:sub>
                    <m:r>
                      <w:rPr>
                        <w:rFonts w:ascii="Cambria Math" w:hAnsi="Cambria Math"/>
                      </w:rPr>
                      <m:t>i,e,t</m:t>
                    </m:r>
                  </m:sub>
                </m:sSub>
              </m:e>
              <m:e>
                <m:r>
                  <w:rPr>
                    <w:rFonts w:ascii="Cambria Math" w:hAnsi="Cambria Math"/>
                  </w:rPr>
                  <m:t>1</m:t>
                </m:r>
              </m:e>
            </m:d>
          </m:den>
        </m:f>
      </m:oMath>
      <w:r w:rsidRPr="00F461B9">
        <w:t>，</w:t>
      </w:r>
      <w:r w:rsidR="00C15F98" w:rsidRPr="00C15F98">
        <w:t>从而实现对风险期望水平与估计不确定性</w:t>
      </w:r>
      <w:r w:rsidR="00C15F98" w:rsidRPr="00C15F98">
        <w:rPr>
          <w:rFonts w:hint="eastAsia"/>
        </w:rPr>
        <w:t>的</w:t>
      </w:r>
      <w:r w:rsidR="00C15F98">
        <w:rPr>
          <w:rFonts w:hint="eastAsia"/>
        </w:rPr>
        <w:t>表征</w:t>
      </w:r>
      <w:r w:rsidRPr="00F461B9">
        <w:t>。其二是暴露风险与毒理学风险表征：对每个省份</w:t>
      </w:r>
      <m:oMath>
        <m:r>
          <w:rPr>
            <w:rFonts w:ascii="Cambria Math" w:hAnsi="Cambria Math"/>
          </w:rPr>
          <m:t>i</m:t>
        </m:r>
      </m:oMath>
      <w:r w:rsidRPr="00F461B9">
        <w:t>与期</w:t>
      </w:r>
      <m:oMath>
        <m:r>
          <w:rPr>
            <w:rFonts w:ascii="Cambria Math" w:hAnsi="Cambria Math"/>
          </w:rPr>
          <m:t>t</m:t>
        </m:r>
      </m:oMath>
      <w:r w:rsidRPr="00F461B9">
        <w:t>，使用清洗表提供的对数正态浓度参数</w:t>
      </w:r>
      <m:oMath>
        <m:sSubSup>
          <m:sSubSupPr>
            <m:ctrlPr>
              <w:rPr>
                <w:rFonts w:ascii="Cambria Math" w:hAnsi="Cambria Math"/>
              </w:rPr>
            </m:ctrlPr>
          </m:sSubSupPr>
          <m:e>
            <m:r>
              <w:rPr>
                <w:rFonts w:ascii="Cambria Math" w:hAnsi="Cambria Math"/>
              </w:rPr>
              <m:t>(μ</m:t>
            </m:r>
          </m:e>
          <m:sub>
            <m:r>
              <w:rPr>
                <w:rFonts w:ascii="Cambria Math" w:hAnsi="Cambria Math"/>
              </w:rPr>
              <m:t>i,t</m:t>
            </m:r>
          </m:sub>
          <m:sup>
            <m:r>
              <w:rPr>
                <w:rFonts w:ascii="Cambria Math" w:hAnsi="Cambria Math"/>
              </w:rPr>
              <m:t>C</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i,t</m:t>
            </m:r>
          </m:sub>
          <m:sup>
            <m:r>
              <w:rPr>
                <w:rFonts w:ascii="Cambria Math" w:hAnsi="Cambria Math"/>
              </w:rPr>
              <m:t>C</m:t>
            </m:r>
          </m:sup>
        </m:sSubSup>
        <m:r>
          <w:rPr>
            <w:rFonts w:ascii="Cambria Math" w:hAnsi="Cambria Math"/>
          </w:rPr>
          <m:t>)</m:t>
        </m:r>
      </m:oMath>
      <w:r w:rsidRPr="00F461B9">
        <w:t>构造污染发生条件下的期望浓度</w:t>
      </w: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r>
          <m:rPr>
            <m:nor/>
          </m:rPr>
          <m:t>contam</m:t>
        </m:r>
        <m:r>
          <w:rPr>
            <w:rFonts w:ascii="Cambria Math" w:hAnsi="Cambria Math"/>
          </w:rPr>
          <m:t>]=</m:t>
        </m:r>
        <m:r>
          <m:rPr>
            <m:sty m:val="p"/>
          </m:rPr>
          <w:rPr>
            <w:rFonts w:ascii="Cambria Math" w:hAnsi="Cambria Math"/>
          </w:rPr>
          <m:t>exp</m:t>
        </m:r>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i,t</m:t>
            </m:r>
          </m:sub>
          <m:sup>
            <m:r>
              <w:rPr>
                <w:rFonts w:ascii="Cambria Math" w:hAnsi="Cambria Math"/>
              </w:rPr>
              <m:t>C</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i,t</m:t>
            </m:r>
          </m:sub>
          <m:sup>
            <m:r>
              <w:rPr>
                <w:rFonts w:ascii="Cambria Math" w:hAnsi="Cambria Math"/>
              </w:rPr>
              <m:t>C</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w:r w:rsidRPr="00F461B9">
        <w:t>，并用污染概率信念</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i,t</m:t>
            </m:r>
          </m:sub>
        </m:sSub>
      </m:oMath>
      <w:r w:rsidRPr="00F461B9">
        <w:t>（可由</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i,e,t</m:t>
            </m:r>
          </m:sub>
        </m:sSub>
      </m:oMath>
      <w:r w:rsidRPr="00F461B9">
        <w:t>取值或加权组合得到）形成混合浓度</w:t>
      </w:r>
      <m:oMath>
        <m:sSub>
          <m:sSubPr>
            <m:ctrlPr>
              <w:rPr>
                <w:rFonts w:ascii="Cambria Math" w:hAnsi="Cambria Math"/>
              </w:rPr>
            </m:ctrlPr>
          </m:sSubPr>
          <m:e>
            <m:acc>
              <m:accPr>
                <m:chr m:val="ˉ"/>
                <m:ctrlPr>
                  <w:rPr>
                    <w:rFonts w:ascii="Cambria Math" w:hAnsi="Cambria Math"/>
                  </w:rPr>
                </m:ctrlPr>
              </m:accPr>
              <m:e>
                <m:r>
                  <w:rPr>
                    <w:rFonts w:ascii="Cambria Math" w:hAnsi="Cambria Math"/>
                  </w:rPr>
                  <m:t>C</m:t>
                </m:r>
              </m:e>
            </m:acc>
          </m:e>
          <m:sub>
            <m:r>
              <w:rPr>
                <w:rFonts w:ascii="Cambria Math" w:hAnsi="Cambria Math"/>
              </w:rPr>
              <m:t>i,t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i,t</m:t>
            </m:r>
          </m:sub>
        </m:sSub>
        <m:r>
          <m:rPr>
            <m:scr m:val="double-struck"/>
            <m:sty m:val="p"/>
          </m:rPr>
          <w:rPr>
            <w:rFonts w:ascii="Cambria Math" w:hAnsi="Cambria Math"/>
          </w:rPr>
          <m:t>E</m:t>
        </m:r>
        <m:d>
          <m:dPr>
            <m:begChr m:val="["/>
            <m:sepChr m:val="∣"/>
            <m:endChr m:val="]"/>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i,t</m:t>
                </m:r>
              </m:sub>
            </m:sSub>
          </m:e>
          <m:e>
            <m:r>
              <m:rPr>
                <m:nor/>
              </m:rPr>
              <m:t>contam</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i,t</m:t>
                </m:r>
              </m:sub>
            </m:sSub>
          </m:e>
        </m:d>
        <m:sSub>
          <m:sSubPr>
            <m:ctrlPr>
              <w:rPr>
                <w:rFonts w:ascii="Cambria Math" w:hAnsi="Cambria Math"/>
              </w:rPr>
            </m:ctrlPr>
          </m:sSubPr>
          <m:e>
            <m:r>
              <w:rPr>
                <w:rFonts w:ascii="Cambria Math" w:hAnsi="Cambria Math"/>
              </w:rPr>
              <m:t>C</m:t>
            </m:r>
          </m:e>
          <m:sub>
            <m:r>
              <w:rPr>
                <w:rFonts w:ascii="Cambria Math" w:hAnsi="Cambria Math"/>
              </w:rPr>
              <m:t>0</m:t>
            </m:r>
          </m:sub>
        </m:sSub>
      </m:oMath>
      <w:r w:rsidRPr="00F461B9">
        <w:t>，进而计算</w:t>
      </w:r>
      <m:oMath>
        <m:r>
          <w:rPr>
            <w:rFonts w:ascii="Cambria Math" w:hAnsi="Cambria Math"/>
          </w:rPr>
          <m:t>ED</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ˉ"/>
                    <m:ctrlPr>
                      <w:rPr>
                        <w:rFonts w:ascii="Cambria Math" w:hAnsi="Cambria Math"/>
                      </w:rPr>
                    </m:ctrlPr>
                  </m:accPr>
                  <m:e>
                    <m:r>
                      <w:rPr>
                        <w:rFonts w:ascii="Cambria Math" w:hAnsi="Cambria Math"/>
                      </w:rPr>
                      <m:t>C</m:t>
                    </m:r>
                  </m:e>
                </m:acc>
              </m:e>
              <m:sub>
                <m:r>
                  <w:rPr>
                    <w:rFonts w:ascii="Cambria Math" w:hAnsi="Cambria Math"/>
                  </w:rPr>
                  <m:t>i,t</m:t>
                </m:r>
              </m:sub>
            </m:sSub>
            <m:r>
              <w:rPr>
                <w:rFonts w:ascii="Cambria Math" w:hAnsi="Cambria Math"/>
              </w:rPr>
              <m:t>Con</m:t>
            </m:r>
            <m:sSub>
              <m:sSubPr>
                <m:ctrlPr>
                  <w:rPr>
                    <w:rFonts w:ascii="Cambria Math" w:hAnsi="Cambria Math"/>
                  </w:rPr>
                </m:ctrlPr>
              </m:sSubPr>
              <m:e>
                <m:r>
                  <w:rPr>
                    <w:rFonts w:ascii="Cambria Math" w:hAnsi="Cambria Math"/>
                  </w:rPr>
                  <m:t>s</m:t>
                </m:r>
              </m:e>
              <m:sub>
                <m:r>
                  <w:rPr>
                    <w:rFonts w:ascii="Cambria Math" w:hAnsi="Cambria Math"/>
                  </w:rPr>
                  <m:t>i,t</m:t>
                </m:r>
              </m:sub>
            </m:sSub>
            <m:ctrlPr>
              <w:rPr>
                <w:rFonts w:ascii="Cambria Math" w:hAnsi="Cambria Math"/>
                <w:i/>
              </w:rPr>
            </m:ctrlPr>
          </m:num>
          <m:den>
            <m:r>
              <w:rPr>
                <w:rFonts w:ascii="Cambria Math" w:hAnsi="Cambria Math"/>
              </w:rPr>
              <m:t>BW</m:t>
            </m:r>
          </m:den>
        </m:f>
      </m:oMath>
      <w:r w:rsidRPr="00F461B9">
        <w:t>与</w:t>
      </w:r>
      <m:oMath>
        <m:r>
          <w:rPr>
            <w:rFonts w:ascii="Cambria Math" w:hAnsi="Cambria Math"/>
          </w:rPr>
          <m:t>MO</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f>
          <m:fPr>
            <m:ctrlPr>
              <w:rPr>
                <w:rFonts w:ascii="Cambria Math" w:hAnsi="Cambria Math"/>
              </w:rPr>
            </m:ctrlPr>
          </m:fPr>
          <m:num>
            <m:r>
              <w:rPr>
                <w:rFonts w:ascii="Cambria Math" w:hAnsi="Cambria Math"/>
              </w:rPr>
              <m:t>BMD</m:t>
            </m:r>
            <m:sSub>
              <m:sSubPr>
                <m:ctrlPr>
                  <w:rPr>
                    <w:rFonts w:ascii="Cambria Math" w:hAnsi="Cambria Math"/>
                  </w:rPr>
                </m:ctrlPr>
              </m:sSubPr>
              <m:e>
                <m:r>
                  <w:rPr>
                    <w:rFonts w:ascii="Cambria Math" w:hAnsi="Cambria Math"/>
                  </w:rPr>
                  <m:t>L</m:t>
                </m:r>
              </m:e>
              <m:sub>
                <m:r>
                  <w:rPr>
                    <w:rFonts w:ascii="Cambria Math" w:hAnsi="Cambria Math"/>
                  </w:rPr>
                  <m:t>10</m:t>
                </m:r>
              </m:sub>
            </m:sSub>
            <m:ctrlPr>
              <w:rPr>
                <w:rFonts w:ascii="Cambria Math" w:hAnsi="Cambria Math"/>
                <w:i/>
              </w:rPr>
            </m:ctrlPr>
          </m:num>
          <m:den>
            <m:r>
              <w:rPr>
                <w:rFonts w:ascii="Cambria Math" w:hAnsi="Cambria Math"/>
              </w:rPr>
              <m:t>ED</m:t>
            </m:r>
            <m:sSub>
              <m:sSubPr>
                <m:ctrlPr>
                  <w:rPr>
                    <w:rFonts w:ascii="Cambria Math" w:hAnsi="Cambria Math"/>
                  </w:rPr>
                </m:ctrlPr>
              </m:sSubPr>
              <m:e>
                <m:r>
                  <w:rPr>
                    <w:rFonts w:ascii="Cambria Math" w:hAnsi="Cambria Math"/>
                  </w:rPr>
                  <m:t>I</m:t>
                </m:r>
              </m:e>
              <m:sub>
                <m:r>
                  <w:rPr>
                    <w:rFonts w:ascii="Cambria Math" w:hAnsi="Cambria Math"/>
                  </w:rPr>
                  <m:t>i,t</m:t>
                </m:r>
              </m:sub>
            </m:sSub>
          </m:den>
        </m:f>
      </m:oMath>
      <w:r w:rsidRPr="00F461B9">
        <w:t>，并将</w:t>
      </w:r>
      <m:oMath>
        <m:r>
          <w:rPr>
            <w:rFonts w:ascii="Cambria Math" w:hAnsi="Cambria Math"/>
          </w:rPr>
          <m:t>g(MO</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;T)</m:t>
        </m:r>
      </m:oMath>
      <w:r w:rsidRPr="00F461B9">
        <w:t>（阈值</w:t>
      </w:r>
      <m:oMath>
        <m:r>
          <w:rPr>
            <w:rFonts w:ascii="Cambria Math" w:hAnsi="Cambria Math"/>
          </w:rPr>
          <m:t>T</m:t>
        </m:r>
      </m:oMath>
      <w:r w:rsidRPr="00F461B9">
        <w:t>下的风险惩罚映射）作为直接的风险输入，使状态特征与公共卫生目标在同一尺度上对齐</w:t>
      </w:r>
      <w:r w:rsidR="00211143">
        <w:fldChar w:fldCharType="begin"/>
      </w:r>
      <w:r w:rsidR="00211143">
        <w:instrText xml:space="preserve"> ADDIN ZOTERO_ITEM CSL_CITATION {"citationID":"omKLvwLW","properties":{"formattedCitation":"(Benford et al., 2010; EFSA Scientific Committee, 2005)","plainCitation":"(Benford et al., 2010; EFSA Scientific Committee, 2005)","noteIndex":0},"citationItems":[{"id":340,"uris":["http://zotero.org/users/17227936/items/6FKSG6UU"],"itemData":{"id":340,"type":"article-journal","abstract":"This paper presents the work of an expert group established by the International Life Sciences Institute –European branch (ILSI Europe) to follow up the recommendations of an international conference on ‘‘Risk Assessment of Compounds that are both Genotoxic and Carcinogenic: New Approaches”. Twelve genotoxic and carcinogenic chemicals that can be present in food were selected for calculation of a Margin of Exposure (MOE) between a point of departure on the dose–response for oral carcinogenicity in animal studies and estimates of human dietary exposure. The MOE can be used to support prioritisation of risk management action and, if the MOE is very large, on communication of a low level of human health concern. Depending on the approaches taken in determining the point of departure and the estimation of exposure, it is possible to derive very different values for the MOE. It is therefore essential that the selection of the cancer endpoint and mathematical treatment of the data are clearly described and justiﬁed if the results of the MOE approach are to be trusted and of value to risk managers. An outline framework for calculating an MOE is proposed in order to help to ensure transparency in the results.","container-title":"Food and Chemical Toxicology","DOI":"10.1016/j.fct.2009.11.003","ISSN":"02786915","journalAbbreviation":"Food and Chemical Toxicology","language":"en","page":"S2-S24","source":"DOI.org (Crossref)","title":"Application of the Margin of Exposure (MOE) approach to substances in food that are genotoxic and carcinogenic","volume":"48","author":[{"family":"Benford","given":"Diane"},{"family":"Bolger","given":"P. Michael"},{"family":"Carthew","given":"Philip"},{"family":"Coulet","given":"Myriam"},{"family":"DiNovi","given":"Michael"},{"family":"Leblanc","given":"Jean-Charles"},{"family":"Renwick","given":"Andrew G."},{"family":"Setzer","given":"Woodrow"},{"family":"Schlatter","given":"Josef"},{"family":"Smith","given":"Benjamin"},{"family":"Slob","given":"Wout"},{"family":"Williams","given":"Gary"},{"family":"Wildemann","given":"Tanja"}],"issued":{"date-parts":[["2010",1]]}}},{"id":417,"uris":["http://zotero.org/users/17227936/items/ICTKSSEK"],"itemData":{"id":417,"type":"article-journal","abstract":"Both favourable and adverse effects on health related to food consumption depend on how much we eat of different ingredients and what these ingredients contain.","container-title":"EFSA Journal","DOI":"10.2903/j.efsa.2005.249","ISSN":"1831-4732","issue":"EFSA Journal","language":"en","source":"DOI.org (CSL JSON)","title":"Opinion of the Scientific Committee on a request from EFSA related to Exposure Assessments","URL":"https://data.europa.eu/doi/10.2903/j.efsa.2005.249","author":[{"literal":"EFSA Scientific Committee"}],"accessed":{"date-parts":[["2025",12,30]]},"issued":{"date-parts":[["2005"]]}}}],"schema":"https://github.com/citation-style-language/schema/raw/master/csl-citation.json"} </w:instrText>
      </w:r>
      <w:r w:rsidR="00211143">
        <w:fldChar w:fldCharType="separate"/>
      </w:r>
      <w:r w:rsidR="00E2692B" w:rsidRPr="00E2692B">
        <w:rPr>
          <w:rFonts w:cs="Times New Roman"/>
        </w:rPr>
        <w:t>(Benford et al., 2010; EFSA Scientific Committee, 2005)</w:t>
      </w:r>
      <w:r w:rsidR="00211143">
        <w:fldChar w:fldCharType="end"/>
      </w:r>
      <w:r w:rsidRPr="00F461B9">
        <w:t>。其三是资</w:t>
      </w:r>
      <w:r w:rsidRPr="00F461B9">
        <w:lastRenderedPageBreak/>
        <w:t>源与惯性信息，即当期预算</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F461B9">
        <w:t>、环节单位成本</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oMath>
      <w:r w:rsidRPr="00F461B9">
        <w:t>抽检产能上限</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i,e,t</m:t>
            </m:r>
          </m:sub>
        </m:sSub>
      </m:oMath>
      <w:r w:rsidRPr="00F461B9">
        <w:t>，以及历史投入与观测（如</w:t>
      </w:r>
      <m:oMath>
        <m:sSub>
          <m:sSubPr>
            <m:ctrlPr>
              <w:rPr>
                <w:rFonts w:ascii="Cambria Math" w:hAnsi="Cambria Math"/>
              </w:rPr>
            </m:ctrlPr>
          </m:sSubPr>
          <m:e>
            <m:r>
              <w:rPr>
                <w:rFonts w:ascii="Cambria Math" w:hAnsi="Cambria Math"/>
              </w:rPr>
              <m:t>n</m:t>
            </m:r>
          </m:e>
          <m:sub>
            <m:r>
              <w:rPr>
                <w:rFonts w:ascii="Cambria Math" w:hAnsi="Cambria Math"/>
              </w:rPr>
              <m:t>i,e,t-1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i,e,t-1</m:t>
            </m:r>
          </m:sub>
        </m:sSub>
      </m:oMath>
      <w:r w:rsidRPr="00F461B9">
        <w:t>或其滚动均值），用于反映制度约束、政策惯性与时间相关性。</w:t>
      </w:r>
    </w:p>
    <w:p w14:paraId="1495BE6B" w14:textId="4BDF6B94" w:rsidR="00F04530" w:rsidRPr="00177237" w:rsidRDefault="00F04530" w:rsidP="00F04530">
      <w:pPr>
        <w:pStyle w:val="af5"/>
        <w:keepNext/>
        <w:rPr>
          <w:b/>
          <w:bCs/>
        </w:rPr>
      </w:pPr>
      <w:r w:rsidRPr="00177237">
        <w:rPr>
          <w:rFonts w:hint="eastAsia"/>
          <w:b/>
          <w:bCs/>
        </w:rPr>
        <w:t>表</w:t>
      </w:r>
      <w:r w:rsidRPr="00177237">
        <w:rPr>
          <w:rFonts w:hint="eastAsia"/>
          <w:b/>
          <w:bCs/>
        </w:rPr>
        <w:t xml:space="preserve"> </w:t>
      </w:r>
      <w:r w:rsidRPr="00177237">
        <w:rPr>
          <w:b/>
          <w:bCs/>
        </w:rPr>
        <w:fldChar w:fldCharType="begin"/>
      </w:r>
      <w:r w:rsidRPr="00177237">
        <w:rPr>
          <w:b/>
          <w:bCs/>
        </w:rPr>
        <w:instrText xml:space="preserve"> </w:instrText>
      </w:r>
      <w:r w:rsidRPr="00177237">
        <w:rPr>
          <w:rFonts w:hint="eastAsia"/>
          <w:b/>
          <w:bCs/>
        </w:rPr>
        <w:instrText xml:space="preserve">SEQ </w:instrText>
      </w:r>
      <w:r w:rsidRPr="00177237">
        <w:rPr>
          <w:rFonts w:hint="eastAsia"/>
          <w:b/>
          <w:bCs/>
        </w:rPr>
        <w:instrText>表</w:instrText>
      </w:r>
      <w:r w:rsidRPr="00177237">
        <w:rPr>
          <w:rFonts w:hint="eastAsia"/>
          <w:b/>
          <w:bCs/>
        </w:rPr>
        <w:instrText xml:space="preserve"> \* ARABIC</w:instrText>
      </w:r>
      <w:r w:rsidRPr="00177237">
        <w:rPr>
          <w:b/>
          <w:bCs/>
        </w:rPr>
        <w:instrText xml:space="preserve"> </w:instrText>
      </w:r>
      <w:r w:rsidRPr="00177237">
        <w:rPr>
          <w:b/>
          <w:bCs/>
        </w:rPr>
        <w:fldChar w:fldCharType="separate"/>
      </w:r>
      <w:r w:rsidRPr="00177237">
        <w:rPr>
          <w:b/>
          <w:bCs/>
          <w:noProof/>
        </w:rPr>
        <w:t>1</w:t>
      </w:r>
      <w:r w:rsidRPr="00177237">
        <w:rPr>
          <w:b/>
          <w:bCs/>
        </w:rPr>
        <w:fldChar w:fldCharType="end"/>
      </w:r>
      <w:r w:rsidRPr="00177237">
        <w:rPr>
          <w:rFonts w:hint="eastAsia"/>
          <w:b/>
          <w:bCs/>
        </w:rPr>
        <w:t xml:space="preserve"> State</w:t>
      </w:r>
      <w:r w:rsidRPr="00177237">
        <w:rPr>
          <w:rFonts w:hint="eastAsia"/>
          <w:b/>
          <w:bCs/>
        </w:rPr>
        <w:t>输入特征</w:t>
      </w:r>
    </w:p>
    <w:tbl>
      <w:tblPr>
        <w:tblStyle w:val="a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9"/>
        <w:gridCol w:w="1699"/>
        <w:gridCol w:w="3659"/>
        <w:gridCol w:w="1583"/>
      </w:tblGrid>
      <w:tr w:rsidR="00D51360" w:rsidRPr="001E2F95" w14:paraId="17089854" w14:textId="77777777" w:rsidTr="001327AB">
        <w:tc>
          <w:tcPr>
            <w:tcW w:w="2129" w:type="dxa"/>
            <w:tcBorders>
              <w:bottom w:val="single" w:sz="4" w:space="0" w:color="auto"/>
            </w:tcBorders>
            <w:vAlign w:val="center"/>
            <w:hideMark/>
          </w:tcPr>
          <w:p w14:paraId="43B5F5C8" w14:textId="77777777" w:rsidR="001B3E8B" w:rsidRPr="005561C7" w:rsidRDefault="001B3E8B" w:rsidP="008905C3">
            <w:pPr>
              <w:ind w:firstLineChars="0" w:firstLine="0"/>
              <w:rPr>
                <w:sz w:val="21"/>
                <w:szCs w:val="20"/>
              </w:rPr>
            </w:pPr>
            <w:r w:rsidRPr="005561C7">
              <w:rPr>
                <w:sz w:val="21"/>
                <w:szCs w:val="20"/>
              </w:rPr>
              <w:t>核心模块</w:t>
            </w:r>
          </w:p>
        </w:tc>
        <w:tc>
          <w:tcPr>
            <w:tcW w:w="1699" w:type="dxa"/>
            <w:tcBorders>
              <w:bottom w:val="single" w:sz="4" w:space="0" w:color="auto"/>
            </w:tcBorders>
            <w:vAlign w:val="center"/>
            <w:hideMark/>
          </w:tcPr>
          <w:p w14:paraId="36A2D4B2" w14:textId="77777777" w:rsidR="001B3E8B" w:rsidRPr="005561C7" w:rsidRDefault="001B3E8B" w:rsidP="008905C3">
            <w:pPr>
              <w:ind w:firstLineChars="0" w:firstLine="0"/>
              <w:rPr>
                <w:sz w:val="21"/>
                <w:szCs w:val="20"/>
              </w:rPr>
            </w:pPr>
            <w:r w:rsidRPr="005561C7">
              <w:rPr>
                <w:sz w:val="21"/>
                <w:szCs w:val="20"/>
              </w:rPr>
              <w:t>变量</w:t>
            </w:r>
            <w:r w:rsidRPr="005561C7">
              <w:rPr>
                <w:sz w:val="21"/>
                <w:szCs w:val="20"/>
              </w:rPr>
              <w:t>/</w:t>
            </w:r>
            <w:r w:rsidRPr="005561C7">
              <w:rPr>
                <w:sz w:val="21"/>
                <w:szCs w:val="20"/>
              </w:rPr>
              <w:t>特征符号</w:t>
            </w:r>
          </w:p>
        </w:tc>
        <w:tc>
          <w:tcPr>
            <w:tcW w:w="3659" w:type="dxa"/>
            <w:tcBorders>
              <w:bottom w:val="single" w:sz="4" w:space="0" w:color="auto"/>
            </w:tcBorders>
            <w:vAlign w:val="center"/>
            <w:hideMark/>
          </w:tcPr>
          <w:p w14:paraId="1FC67EBE" w14:textId="77777777" w:rsidR="001B3E8B" w:rsidRPr="005561C7" w:rsidRDefault="001B3E8B" w:rsidP="008905C3">
            <w:pPr>
              <w:ind w:firstLineChars="0" w:firstLine="0"/>
              <w:rPr>
                <w:sz w:val="21"/>
                <w:szCs w:val="20"/>
              </w:rPr>
            </w:pPr>
            <w:r w:rsidRPr="005561C7">
              <w:rPr>
                <w:sz w:val="21"/>
                <w:szCs w:val="20"/>
              </w:rPr>
              <w:t>物理含义与作用</w:t>
            </w:r>
          </w:p>
        </w:tc>
        <w:tc>
          <w:tcPr>
            <w:tcW w:w="0" w:type="auto"/>
            <w:tcBorders>
              <w:bottom w:val="single" w:sz="4" w:space="0" w:color="auto"/>
            </w:tcBorders>
            <w:vAlign w:val="center"/>
            <w:hideMark/>
          </w:tcPr>
          <w:p w14:paraId="1CF8FCD7" w14:textId="77777777" w:rsidR="001B3E8B" w:rsidRPr="005561C7" w:rsidRDefault="001B3E8B" w:rsidP="008905C3">
            <w:pPr>
              <w:ind w:firstLineChars="0" w:firstLine="0"/>
              <w:rPr>
                <w:sz w:val="21"/>
                <w:szCs w:val="20"/>
              </w:rPr>
            </w:pPr>
            <w:r w:rsidRPr="005561C7">
              <w:rPr>
                <w:sz w:val="21"/>
                <w:szCs w:val="20"/>
              </w:rPr>
              <w:t>数据来源</w:t>
            </w:r>
            <w:r w:rsidRPr="005561C7">
              <w:rPr>
                <w:sz w:val="21"/>
                <w:szCs w:val="20"/>
              </w:rPr>
              <w:t>/</w:t>
            </w:r>
            <w:r w:rsidRPr="005561C7">
              <w:rPr>
                <w:sz w:val="21"/>
                <w:szCs w:val="20"/>
              </w:rPr>
              <w:t>备注</w:t>
            </w:r>
          </w:p>
        </w:tc>
      </w:tr>
      <w:tr w:rsidR="00D51360" w:rsidRPr="001E2F95" w14:paraId="1ADA4C10" w14:textId="77777777" w:rsidTr="001327AB">
        <w:tc>
          <w:tcPr>
            <w:tcW w:w="2129" w:type="dxa"/>
            <w:tcBorders>
              <w:top w:val="single" w:sz="4" w:space="0" w:color="auto"/>
            </w:tcBorders>
            <w:vAlign w:val="center"/>
            <w:hideMark/>
          </w:tcPr>
          <w:p w14:paraId="3FC88849" w14:textId="78D44351" w:rsidR="001B3E8B" w:rsidRPr="005561C7" w:rsidRDefault="001B3E8B" w:rsidP="008905C3">
            <w:pPr>
              <w:ind w:firstLineChars="0" w:firstLine="0"/>
              <w:rPr>
                <w:sz w:val="21"/>
                <w:szCs w:val="20"/>
              </w:rPr>
            </w:pPr>
            <w:r w:rsidRPr="005561C7">
              <w:rPr>
                <w:sz w:val="21"/>
                <w:szCs w:val="20"/>
              </w:rPr>
              <w:t>1.</w:t>
            </w:r>
            <w:r w:rsidRPr="005561C7">
              <w:rPr>
                <w:sz w:val="21"/>
                <w:szCs w:val="20"/>
              </w:rPr>
              <w:t>信念模块（</w:t>
            </w:r>
            <w:r w:rsidRPr="005561C7">
              <w:rPr>
                <w:sz w:val="21"/>
                <w:szCs w:val="20"/>
              </w:rPr>
              <w:t>Belief Module</w:t>
            </w:r>
            <w:r w:rsidRPr="005561C7">
              <w:rPr>
                <w:sz w:val="21"/>
                <w:szCs w:val="20"/>
              </w:rPr>
              <w:t>）</w:t>
            </w:r>
          </w:p>
        </w:tc>
        <w:tc>
          <w:tcPr>
            <w:tcW w:w="1699" w:type="dxa"/>
            <w:tcBorders>
              <w:top w:val="single" w:sz="4" w:space="0" w:color="auto"/>
            </w:tcBorders>
            <w:vAlign w:val="center"/>
            <w:hideMark/>
          </w:tcPr>
          <w:p w14:paraId="0B213416" w14:textId="74D0BF11" w:rsidR="005D7EA5" w:rsidRPr="005561C7" w:rsidRDefault="00000000" w:rsidP="005948EC">
            <w:pPr>
              <w:ind w:firstLineChars="0" w:firstLine="0"/>
              <w:rPr>
                <w:sz w:val="21"/>
                <w:szCs w:val="20"/>
              </w:rPr>
            </w:pPr>
            <m:oMathPara>
              <m:oMath>
                <m:sSub>
                  <m:sSubPr>
                    <m:ctrlPr>
                      <w:rPr>
                        <w:rFonts w:ascii="Cambria Math" w:hAnsi="Cambria Math"/>
                        <w:sz w:val="21"/>
                        <w:szCs w:val="20"/>
                      </w:rPr>
                    </m:ctrlPr>
                  </m:sSubPr>
                  <m:e>
                    <m:r>
                      <w:rPr>
                        <w:rFonts w:ascii="Cambria Math" w:hAnsi="Cambria Math"/>
                        <w:sz w:val="21"/>
                        <w:szCs w:val="20"/>
                      </w:rPr>
                      <m:t>α</m:t>
                    </m:r>
                  </m:e>
                  <m:sub>
                    <m:r>
                      <w:rPr>
                        <w:rFonts w:ascii="Cambria Math" w:hAnsi="Cambria Math"/>
                        <w:sz w:val="21"/>
                        <w:szCs w:val="20"/>
                      </w:rPr>
                      <m:t>i,e,t</m:t>
                    </m:r>
                  </m:sub>
                </m:sSub>
                <m:r>
                  <w:rPr>
                    <w:rFonts w:ascii="Cambria Math" w:hAnsi="Cambria Math"/>
                    <w:sz w:val="21"/>
                    <w:szCs w:val="20"/>
                  </w:rPr>
                  <m:t>,</m:t>
                </m:r>
                <m:r>
                  <m:rPr>
                    <m:sty m:val="p"/>
                  </m:rPr>
                  <w:rPr>
                    <w:rFonts w:ascii="Cambria Math" w:hAnsi="Cambria Math"/>
                    <w:sz w:val="21"/>
                    <w:szCs w:val="20"/>
                  </w:rPr>
                  <m:t xml:space="preserve"> </m:t>
                </m:r>
                <m:sSub>
                  <m:sSubPr>
                    <m:ctrlPr>
                      <w:rPr>
                        <w:rFonts w:ascii="Cambria Math" w:hAnsi="Cambria Math"/>
                        <w:sz w:val="21"/>
                        <w:szCs w:val="20"/>
                      </w:rPr>
                    </m:ctrlPr>
                  </m:sSubPr>
                  <m:e>
                    <m:r>
                      <w:rPr>
                        <w:rFonts w:ascii="Cambria Math" w:hAnsi="Cambria Math"/>
                        <w:sz w:val="21"/>
                        <w:szCs w:val="20"/>
                      </w:rPr>
                      <m:t>β</m:t>
                    </m:r>
                  </m:e>
                  <m:sub>
                    <m:r>
                      <w:rPr>
                        <w:rFonts w:ascii="Cambria Math" w:hAnsi="Cambria Math"/>
                        <w:sz w:val="21"/>
                        <w:szCs w:val="20"/>
                      </w:rPr>
                      <m:t>i,e,t</m:t>
                    </m:r>
                  </m:sub>
                </m:sSub>
              </m:oMath>
            </m:oMathPara>
          </w:p>
        </w:tc>
        <w:tc>
          <w:tcPr>
            <w:tcW w:w="3659" w:type="dxa"/>
            <w:tcBorders>
              <w:top w:val="single" w:sz="4" w:space="0" w:color="auto"/>
            </w:tcBorders>
            <w:vAlign w:val="center"/>
            <w:hideMark/>
          </w:tcPr>
          <w:p w14:paraId="13D7E21F" w14:textId="4A308E4E" w:rsidR="001B3E8B" w:rsidRPr="005561C7" w:rsidRDefault="001B3E8B" w:rsidP="008905C3">
            <w:pPr>
              <w:ind w:firstLineChars="0" w:firstLine="0"/>
              <w:rPr>
                <w:sz w:val="21"/>
                <w:szCs w:val="20"/>
              </w:rPr>
            </w:pPr>
            <w:r w:rsidRPr="005561C7">
              <w:rPr>
                <w:sz w:val="21"/>
                <w:szCs w:val="20"/>
              </w:rPr>
              <w:t>不确定性基础：</w:t>
            </w:r>
            <w:r w:rsidRPr="005561C7">
              <w:rPr>
                <w:sz w:val="21"/>
                <w:szCs w:val="20"/>
              </w:rPr>
              <w:t>Beta</w:t>
            </w:r>
            <w:r w:rsidRPr="005561C7">
              <w:rPr>
                <w:sz w:val="21"/>
                <w:szCs w:val="20"/>
              </w:rPr>
              <w:t>分布的超参数，记录历史累积的合规</w:t>
            </w:r>
            <w:r w:rsidRPr="005561C7">
              <w:rPr>
                <w:sz w:val="21"/>
                <w:szCs w:val="20"/>
              </w:rPr>
              <w:t>/</w:t>
            </w:r>
            <w:r w:rsidRPr="005561C7">
              <w:rPr>
                <w:sz w:val="21"/>
                <w:szCs w:val="20"/>
              </w:rPr>
              <w:t>不合规信息。</w:t>
            </w:r>
          </w:p>
        </w:tc>
        <w:tc>
          <w:tcPr>
            <w:tcW w:w="0" w:type="auto"/>
            <w:tcBorders>
              <w:top w:val="single" w:sz="4" w:space="0" w:color="auto"/>
            </w:tcBorders>
            <w:vAlign w:val="center"/>
            <w:hideMark/>
          </w:tcPr>
          <w:p w14:paraId="5C0A8698" w14:textId="77777777" w:rsidR="001B3E8B" w:rsidRPr="005561C7" w:rsidRDefault="001B3E8B" w:rsidP="008905C3">
            <w:pPr>
              <w:ind w:firstLineChars="0" w:firstLine="0"/>
              <w:rPr>
                <w:sz w:val="21"/>
                <w:szCs w:val="20"/>
              </w:rPr>
            </w:pPr>
            <w:r w:rsidRPr="005561C7">
              <w:rPr>
                <w:sz w:val="21"/>
                <w:szCs w:val="20"/>
              </w:rPr>
              <w:t>贝叶斯后验更新</w:t>
            </w:r>
          </w:p>
        </w:tc>
      </w:tr>
      <w:tr w:rsidR="00D51360" w:rsidRPr="001E2F95" w14:paraId="46BDB5A2" w14:textId="77777777" w:rsidTr="001327AB">
        <w:tc>
          <w:tcPr>
            <w:tcW w:w="2129" w:type="dxa"/>
            <w:vAlign w:val="center"/>
            <w:hideMark/>
          </w:tcPr>
          <w:p w14:paraId="43A4C94B" w14:textId="77777777" w:rsidR="001B3E8B" w:rsidRPr="005561C7" w:rsidRDefault="001B3E8B" w:rsidP="008905C3">
            <w:pPr>
              <w:ind w:firstLineChars="0" w:firstLine="0"/>
              <w:rPr>
                <w:sz w:val="21"/>
                <w:szCs w:val="20"/>
              </w:rPr>
            </w:pPr>
          </w:p>
        </w:tc>
        <w:tc>
          <w:tcPr>
            <w:tcW w:w="1699" w:type="dxa"/>
            <w:vAlign w:val="center"/>
            <w:hideMark/>
          </w:tcPr>
          <w:p w14:paraId="23CB2707" w14:textId="37812916" w:rsidR="001B3E8B" w:rsidRPr="005561C7" w:rsidRDefault="00000000" w:rsidP="008905C3">
            <w:pPr>
              <w:ind w:firstLineChars="0" w:firstLine="0"/>
              <w:rPr>
                <w:sz w:val="21"/>
                <w:szCs w:val="20"/>
              </w:rPr>
            </w:pPr>
            <m:oMathPara>
              <m:oMath>
                <m:sSub>
                  <m:sSubPr>
                    <m:ctrlPr>
                      <w:rPr>
                        <w:rFonts w:ascii="Cambria Math" w:hAnsi="Cambria Math"/>
                        <w:sz w:val="21"/>
                        <w:szCs w:val="20"/>
                      </w:rPr>
                    </m:ctrlPr>
                  </m:sSubPr>
                  <m:e>
                    <m:acc>
                      <m:accPr>
                        <m:ctrlPr>
                          <w:rPr>
                            <w:rFonts w:ascii="Cambria Math" w:hAnsi="Cambria Math"/>
                            <w:sz w:val="21"/>
                            <w:szCs w:val="20"/>
                          </w:rPr>
                        </m:ctrlPr>
                      </m:accPr>
                      <m:e>
                        <m:r>
                          <w:rPr>
                            <w:rFonts w:ascii="Cambria Math" w:hAnsi="Cambria Math"/>
                            <w:sz w:val="21"/>
                            <w:szCs w:val="20"/>
                          </w:rPr>
                          <m:t>p</m:t>
                        </m:r>
                      </m:e>
                    </m:acc>
                  </m:e>
                  <m:sub>
                    <m:r>
                      <w:rPr>
                        <w:rFonts w:ascii="Cambria Math" w:hAnsi="Cambria Math"/>
                        <w:sz w:val="21"/>
                        <w:szCs w:val="20"/>
                      </w:rPr>
                      <m:t>i,e,t</m:t>
                    </m:r>
                  </m:sub>
                </m:sSub>
              </m:oMath>
            </m:oMathPara>
          </w:p>
        </w:tc>
        <w:tc>
          <w:tcPr>
            <w:tcW w:w="3659" w:type="dxa"/>
            <w:vAlign w:val="center"/>
            <w:hideMark/>
          </w:tcPr>
          <w:p w14:paraId="43A4F6C8" w14:textId="212704F2" w:rsidR="001B3E8B" w:rsidRPr="005561C7" w:rsidRDefault="001B3E8B" w:rsidP="008905C3">
            <w:pPr>
              <w:ind w:firstLineChars="0" w:firstLine="0"/>
              <w:rPr>
                <w:sz w:val="21"/>
                <w:szCs w:val="20"/>
              </w:rPr>
            </w:pPr>
            <w:r w:rsidRPr="005561C7">
              <w:rPr>
                <w:sz w:val="21"/>
                <w:szCs w:val="20"/>
              </w:rPr>
              <w:t>后验均值：当前的预期污染率（或不合规概率）。</w:t>
            </w:r>
          </w:p>
        </w:tc>
        <w:tc>
          <w:tcPr>
            <w:tcW w:w="0" w:type="auto"/>
            <w:vAlign w:val="center"/>
            <w:hideMark/>
          </w:tcPr>
          <w:p w14:paraId="2A9C3C30" w14:textId="34317BA8" w:rsidR="001B3E8B" w:rsidRPr="005561C7" w:rsidRDefault="001B3E8B" w:rsidP="008905C3">
            <w:pPr>
              <w:ind w:firstLineChars="0" w:firstLine="0"/>
              <w:rPr>
                <w:sz w:val="21"/>
                <w:szCs w:val="20"/>
              </w:rPr>
            </w:pPr>
            <w:r w:rsidRPr="005561C7">
              <w:rPr>
                <w:sz w:val="21"/>
                <w:szCs w:val="20"/>
              </w:rPr>
              <w:t>由</w:t>
            </w:r>
            <m:oMath>
              <m:r>
                <w:rPr>
                  <w:rFonts w:ascii="Cambria Math" w:hAnsi="Cambria Math"/>
                  <w:sz w:val="21"/>
                  <w:szCs w:val="20"/>
                </w:rPr>
                <m:t>(α,β)</m:t>
              </m:r>
            </m:oMath>
            <w:r w:rsidRPr="005561C7">
              <w:rPr>
                <w:sz w:val="21"/>
                <w:szCs w:val="20"/>
              </w:rPr>
              <w:t>计算</w:t>
            </w:r>
          </w:p>
        </w:tc>
      </w:tr>
      <w:tr w:rsidR="00D51360" w:rsidRPr="001E2F95" w14:paraId="231B0CBF" w14:textId="77777777" w:rsidTr="001327AB">
        <w:tc>
          <w:tcPr>
            <w:tcW w:w="2129" w:type="dxa"/>
            <w:vAlign w:val="center"/>
            <w:hideMark/>
          </w:tcPr>
          <w:p w14:paraId="76EDEA87" w14:textId="77777777" w:rsidR="001B3E8B" w:rsidRPr="005561C7" w:rsidRDefault="001B3E8B" w:rsidP="008905C3">
            <w:pPr>
              <w:ind w:firstLineChars="0" w:firstLine="0"/>
              <w:rPr>
                <w:sz w:val="21"/>
                <w:szCs w:val="20"/>
              </w:rPr>
            </w:pPr>
          </w:p>
        </w:tc>
        <w:tc>
          <w:tcPr>
            <w:tcW w:w="1699" w:type="dxa"/>
            <w:vAlign w:val="center"/>
            <w:hideMark/>
          </w:tcPr>
          <w:p w14:paraId="204B45B7" w14:textId="12A44996" w:rsidR="001B3E8B" w:rsidRPr="005561C7" w:rsidRDefault="0063137E" w:rsidP="008905C3">
            <w:pPr>
              <w:ind w:firstLineChars="0" w:firstLine="0"/>
              <w:rPr>
                <w:sz w:val="21"/>
                <w:szCs w:val="20"/>
              </w:rPr>
            </w:pPr>
            <m:oMathPara>
              <m:oMath>
                <m:r>
                  <m:rPr>
                    <m:sty m:val="p"/>
                  </m:rPr>
                  <w:rPr>
                    <w:rFonts w:ascii="Cambria Math" w:hAnsi="Cambria Math"/>
                    <w:sz w:val="21"/>
                    <w:szCs w:val="20"/>
                  </w:rPr>
                  <m:t>Var</m:t>
                </m:r>
                <m:r>
                  <m:rPr>
                    <m:nor/>
                  </m:rPr>
                  <w:rPr>
                    <w:sz w:val="21"/>
                    <w:szCs w:val="20"/>
                  </w:rPr>
                  <m:t> </m:t>
                </m:r>
                <m:d>
                  <m:dPr>
                    <m:sepChr m:val="∣"/>
                    <m:ctrlPr>
                      <w:rPr>
                        <w:rFonts w:ascii="Cambria Math" w:hAnsi="Cambria Math"/>
                        <w:sz w:val="21"/>
                        <w:szCs w:val="20"/>
                      </w:rPr>
                    </m:ctrlPr>
                  </m:dPr>
                  <m:e>
                    <m:r>
                      <w:rPr>
                        <w:rFonts w:ascii="Cambria Math" w:hAnsi="Cambria Math"/>
                        <w:sz w:val="21"/>
                        <w:szCs w:val="20"/>
                      </w:rPr>
                      <m:t>θ</m:t>
                    </m:r>
                  </m:e>
                  <m:e>
                    <m:r>
                      <w:rPr>
                        <w:rFonts w:ascii="Cambria Math" w:hAnsi="Cambria Math" w:hint="eastAsia"/>
                        <w:sz w:val="21"/>
                        <w:szCs w:val="20"/>
                      </w:rPr>
                      <m:t>b</m:t>
                    </m:r>
                  </m:e>
                </m:d>
              </m:oMath>
            </m:oMathPara>
          </w:p>
        </w:tc>
        <w:tc>
          <w:tcPr>
            <w:tcW w:w="3659" w:type="dxa"/>
            <w:vAlign w:val="center"/>
            <w:hideMark/>
          </w:tcPr>
          <w:p w14:paraId="02BE3CF3" w14:textId="4606F72B" w:rsidR="001B3E8B" w:rsidRPr="005561C7" w:rsidRDefault="001B3E8B" w:rsidP="008905C3">
            <w:pPr>
              <w:ind w:firstLineChars="0" w:firstLine="0"/>
              <w:rPr>
                <w:sz w:val="21"/>
                <w:szCs w:val="20"/>
              </w:rPr>
            </w:pPr>
            <w:r w:rsidRPr="005561C7">
              <w:rPr>
                <w:sz w:val="21"/>
                <w:szCs w:val="20"/>
              </w:rPr>
              <w:t>后验方差：对当前判断的置信度。</w:t>
            </w:r>
          </w:p>
        </w:tc>
        <w:tc>
          <w:tcPr>
            <w:tcW w:w="0" w:type="auto"/>
            <w:vAlign w:val="center"/>
            <w:hideMark/>
          </w:tcPr>
          <w:p w14:paraId="5734E3FC" w14:textId="67574472" w:rsidR="001B3E8B" w:rsidRPr="005561C7" w:rsidRDefault="001B3E8B" w:rsidP="008905C3">
            <w:pPr>
              <w:ind w:firstLineChars="0" w:firstLine="0"/>
              <w:rPr>
                <w:sz w:val="21"/>
                <w:szCs w:val="20"/>
              </w:rPr>
            </w:pPr>
            <w:r w:rsidRPr="005561C7">
              <w:rPr>
                <w:sz w:val="21"/>
                <w:szCs w:val="20"/>
              </w:rPr>
              <w:t>由</w:t>
            </w:r>
            <m:oMath>
              <m:r>
                <w:rPr>
                  <w:rFonts w:ascii="Cambria Math" w:hAnsi="Cambria Math"/>
                  <w:sz w:val="21"/>
                  <w:szCs w:val="20"/>
                </w:rPr>
                <m:t>(α,β)</m:t>
              </m:r>
            </m:oMath>
            <w:r w:rsidRPr="005561C7">
              <w:rPr>
                <w:sz w:val="21"/>
                <w:szCs w:val="20"/>
              </w:rPr>
              <w:t>计算</w:t>
            </w:r>
          </w:p>
        </w:tc>
      </w:tr>
      <w:tr w:rsidR="00D51360" w:rsidRPr="001E2F95" w14:paraId="58D4267B" w14:textId="77777777" w:rsidTr="001327AB">
        <w:tc>
          <w:tcPr>
            <w:tcW w:w="2129" w:type="dxa"/>
            <w:vAlign w:val="center"/>
            <w:hideMark/>
          </w:tcPr>
          <w:p w14:paraId="5FC4CFD4" w14:textId="6B495F27" w:rsidR="001B3E8B" w:rsidRPr="005561C7" w:rsidRDefault="001B3E8B" w:rsidP="008905C3">
            <w:pPr>
              <w:ind w:firstLineChars="0" w:firstLine="0"/>
              <w:rPr>
                <w:sz w:val="21"/>
                <w:szCs w:val="20"/>
              </w:rPr>
            </w:pPr>
            <w:r w:rsidRPr="005561C7">
              <w:rPr>
                <w:sz w:val="21"/>
                <w:szCs w:val="20"/>
              </w:rPr>
              <w:t>2.</w:t>
            </w:r>
            <w:r w:rsidRPr="005561C7">
              <w:rPr>
                <w:sz w:val="21"/>
                <w:szCs w:val="20"/>
              </w:rPr>
              <w:t>风险模块（</w:t>
            </w:r>
            <w:r w:rsidRPr="005561C7">
              <w:rPr>
                <w:sz w:val="21"/>
                <w:szCs w:val="20"/>
              </w:rPr>
              <w:t>Risk Module</w:t>
            </w:r>
            <w:r w:rsidRPr="005561C7">
              <w:rPr>
                <w:sz w:val="21"/>
                <w:szCs w:val="20"/>
              </w:rPr>
              <w:t>）</w:t>
            </w:r>
          </w:p>
        </w:tc>
        <w:tc>
          <w:tcPr>
            <w:tcW w:w="1699" w:type="dxa"/>
            <w:vAlign w:val="center"/>
            <w:hideMark/>
          </w:tcPr>
          <w:p w14:paraId="1C65ED0E" w14:textId="77814DBE" w:rsidR="001B3E8B" w:rsidRPr="005561C7" w:rsidRDefault="00000000" w:rsidP="008905C3">
            <w:pPr>
              <w:ind w:firstLineChars="0" w:firstLine="0"/>
              <w:rPr>
                <w:sz w:val="21"/>
                <w:szCs w:val="20"/>
              </w:rPr>
            </w:pPr>
            <m:oMathPara>
              <m:oMath>
                <m:sSubSup>
                  <m:sSubSupPr>
                    <m:ctrlPr>
                      <w:rPr>
                        <w:rFonts w:ascii="Cambria Math" w:hAnsi="Cambria Math"/>
                        <w:sz w:val="21"/>
                      </w:rPr>
                    </m:ctrlPr>
                  </m:sSubSupPr>
                  <m:e>
                    <m:r>
                      <w:rPr>
                        <w:rFonts w:ascii="Cambria Math" w:hAnsi="Cambria Math"/>
                        <w:sz w:val="21"/>
                      </w:rPr>
                      <m:t>μ</m:t>
                    </m:r>
                  </m:e>
                  <m:sub>
                    <m:r>
                      <w:rPr>
                        <w:rFonts w:ascii="Cambria Math" w:hAnsi="Cambria Math"/>
                        <w:sz w:val="21"/>
                      </w:rPr>
                      <m:t>i,t</m:t>
                    </m:r>
                  </m:sub>
                  <m:sup>
                    <m:r>
                      <w:rPr>
                        <w:rFonts w:ascii="Cambria Math" w:hAnsi="Cambria Math"/>
                        <w:sz w:val="21"/>
                      </w:rPr>
                      <m:t>C</m:t>
                    </m:r>
                  </m:sup>
                </m:sSubSup>
                <m:r>
                  <w:rPr>
                    <w:rFonts w:ascii="Cambria Math" w:hAnsi="Cambria Math"/>
                    <w:sz w:val="21"/>
                  </w:rPr>
                  <m:t>,</m:t>
                </m:r>
                <m:sSubSup>
                  <m:sSubSupPr>
                    <m:ctrlPr>
                      <w:rPr>
                        <w:rFonts w:ascii="Cambria Math" w:hAnsi="Cambria Math"/>
                        <w:sz w:val="21"/>
                      </w:rPr>
                    </m:ctrlPr>
                  </m:sSubSupPr>
                  <m:e>
                    <m:r>
                      <w:rPr>
                        <w:rFonts w:ascii="Cambria Math" w:hAnsi="Cambria Math"/>
                        <w:sz w:val="21"/>
                      </w:rPr>
                      <m:t>σ</m:t>
                    </m:r>
                  </m:e>
                  <m:sub>
                    <m:r>
                      <w:rPr>
                        <w:rFonts w:ascii="Cambria Math" w:hAnsi="Cambria Math"/>
                        <w:sz w:val="21"/>
                      </w:rPr>
                      <m:t>i,t</m:t>
                    </m:r>
                  </m:sub>
                  <m:sup>
                    <m:r>
                      <w:rPr>
                        <w:rFonts w:ascii="Cambria Math" w:hAnsi="Cambria Math"/>
                        <w:sz w:val="21"/>
                      </w:rPr>
                      <m:t>C</m:t>
                    </m:r>
                  </m:sup>
                </m:sSubSup>
              </m:oMath>
            </m:oMathPara>
          </w:p>
        </w:tc>
        <w:tc>
          <w:tcPr>
            <w:tcW w:w="3659" w:type="dxa"/>
            <w:vAlign w:val="center"/>
            <w:hideMark/>
          </w:tcPr>
          <w:p w14:paraId="0D44014A" w14:textId="77777777" w:rsidR="001B3E8B" w:rsidRPr="005561C7" w:rsidRDefault="001B3E8B" w:rsidP="008905C3">
            <w:pPr>
              <w:ind w:firstLineChars="0" w:firstLine="0"/>
              <w:rPr>
                <w:sz w:val="21"/>
                <w:szCs w:val="20"/>
              </w:rPr>
            </w:pPr>
            <w:r w:rsidRPr="005561C7">
              <w:rPr>
                <w:sz w:val="21"/>
                <w:szCs w:val="20"/>
              </w:rPr>
              <w:t>浓度分布参数：对数正态分布的参数，用于刻画污染发生时的严重程度。</w:t>
            </w:r>
          </w:p>
        </w:tc>
        <w:tc>
          <w:tcPr>
            <w:tcW w:w="0" w:type="auto"/>
            <w:vAlign w:val="center"/>
            <w:hideMark/>
          </w:tcPr>
          <w:p w14:paraId="04F22723" w14:textId="77777777" w:rsidR="001B3E8B" w:rsidRPr="005561C7" w:rsidRDefault="001B3E8B" w:rsidP="008905C3">
            <w:pPr>
              <w:ind w:firstLineChars="0" w:firstLine="0"/>
              <w:rPr>
                <w:sz w:val="21"/>
                <w:szCs w:val="20"/>
              </w:rPr>
            </w:pPr>
            <w:r w:rsidRPr="005561C7">
              <w:rPr>
                <w:sz w:val="21"/>
                <w:szCs w:val="20"/>
              </w:rPr>
              <w:t>清洗后的历史风险表</w:t>
            </w:r>
          </w:p>
        </w:tc>
      </w:tr>
      <w:tr w:rsidR="00D51360" w:rsidRPr="001E2F95" w14:paraId="39015FC4" w14:textId="77777777" w:rsidTr="001327AB">
        <w:tc>
          <w:tcPr>
            <w:tcW w:w="2129" w:type="dxa"/>
            <w:vAlign w:val="center"/>
            <w:hideMark/>
          </w:tcPr>
          <w:p w14:paraId="5DD5226F" w14:textId="77777777" w:rsidR="001B3E8B" w:rsidRPr="005561C7" w:rsidRDefault="001B3E8B" w:rsidP="008905C3">
            <w:pPr>
              <w:ind w:firstLineChars="0" w:firstLine="0"/>
              <w:rPr>
                <w:sz w:val="21"/>
                <w:szCs w:val="20"/>
              </w:rPr>
            </w:pPr>
          </w:p>
        </w:tc>
        <w:tc>
          <w:tcPr>
            <w:tcW w:w="1699" w:type="dxa"/>
            <w:vAlign w:val="center"/>
            <w:hideMark/>
          </w:tcPr>
          <w:p w14:paraId="5496EFCA" w14:textId="3ACCA414" w:rsidR="001B3E8B" w:rsidRPr="005561C7" w:rsidRDefault="00000000" w:rsidP="008905C3">
            <w:pPr>
              <w:ind w:firstLineChars="0" w:firstLine="0"/>
              <w:rPr>
                <w:i/>
                <w:sz w:val="21"/>
                <w:szCs w:val="20"/>
              </w:rPr>
            </w:pPr>
            <m:oMathPara>
              <m:oMath>
                <m:sSub>
                  <m:sSubPr>
                    <m:ctrlPr>
                      <w:rPr>
                        <w:rFonts w:ascii="Cambria Math" w:hAnsi="Cambria Math"/>
                        <w:i/>
                        <w:sz w:val="21"/>
                        <w:szCs w:val="20"/>
                      </w:rPr>
                    </m:ctrlPr>
                  </m:sSubPr>
                  <m:e>
                    <m:r>
                      <w:rPr>
                        <w:rFonts w:ascii="Cambria Math" w:hAnsi="Cambria Math" w:hint="eastAsia"/>
                        <w:sz w:val="21"/>
                        <w:szCs w:val="20"/>
                      </w:rPr>
                      <m:t>EDI</m:t>
                    </m:r>
                  </m:e>
                  <m:sub>
                    <m:r>
                      <w:rPr>
                        <w:rFonts w:ascii="Cambria Math" w:hAnsi="Cambria Math"/>
                        <w:sz w:val="21"/>
                        <w:szCs w:val="20"/>
                      </w:rPr>
                      <m:t>i,t</m:t>
                    </m:r>
                  </m:sub>
                </m:sSub>
                <m:r>
                  <w:rPr>
                    <w:rFonts w:ascii="Cambria Math" w:hAnsi="Cambria Math"/>
                    <w:sz w:val="21"/>
                    <w:szCs w:val="20"/>
                  </w:rPr>
                  <m:t xml:space="preserve">, </m:t>
                </m:r>
                <m:sSub>
                  <m:sSubPr>
                    <m:ctrlPr>
                      <w:rPr>
                        <w:rFonts w:ascii="Cambria Math" w:hAnsi="Cambria Math"/>
                        <w:i/>
                        <w:sz w:val="21"/>
                        <w:szCs w:val="20"/>
                      </w:rPr>
                    </m:ctrlPr>
                  </m:sSubPr>
                  <m:e>
                    <m:r>
                      <w:rPr>
                        <w:rFonts w:ascii="Cambria Math" w:hAnsi="Cambria Math"/>
                        <w:sz w:val="21"/>
                        <w:szCs w:val="20"/>
                      </w:rPr>
                      <m:t>MOE</m:t>
                    </m:r>
                  </m:e>
                  <m:sub>
                    <m:r>
                      <w:rPr>
                        <w:rFonts w:ascii="Cambria Math" w:hAnsi="Cambria Math"/>
                        <w:sz w:val="21"/>
                        <w:szCs w:val="20"/>
                      </w:rPr>
                      <m:t>i,t</m:t>
                    </m:r>
                  </m:sub>
                </m:sSub>
              </m:oMath>
            </m:oMathPara>
          </w:p>
        </w:tc>
        <w:tc>
          <w:tcPr>
            <w:tcW w:w="3659" w:type="dxa"/>
            <w:vAlign w:val="center"/>
            <w:hideMark/>
          </w:tcPr>
          <w:p w14:paraId="3D79EEB3" w14:textId="77777777" w:rsidR="001B3E8B" w:rsidRPr="005561C7" w:rsidRDefault="001B3E8B" w:rsidP="008905C3">
            <w:pPr>
              <w:ind w:firstLineChars="0" w:firstLine="0"/>
              <w:rPr>
                <w:sz w:val="21"/>
                <w:szCs w:val="20"/>
              </w:rPr>
            </w:pPr>
            <w:r w:rsidRPr="005561C7">
              <w:rPr>
                <w:sz w:val="21"/>
                <w:szCs w:val="20"/>
              </w:rPr>
              <w:t>暴露与毒理指标：每日预计摄入量（</w:t>
            </w:r>
            <w:r w:rsidRPr="005561C7">
              <w:rPr>
                <w:sz w:val="21"/>
                <w:szCs w:val="20"/>
              </w:rPr>
              <w:t>EDI</w:t>
            </w:r>
            <w:r w:rsidRPr="005561C7">
              <w:rPr>
                <w:sz w:val="21"/>
                <w:szCs w:val="20"/>
              </w:rPr>
              <w:t>）与暴露限值（</w:t>
            </w:r>
            <w:r w:rsidRPr="005561C7">
              <w:rPr>
                <w:sz w:val="21"/>
                <w:szCs w:val="20"/>
              </w:rPr>
              <w:t>MOE</w:t>
            </w:r>
            <w:r w:rsidRPr="005561C7">
              <w:rPr>
                <w:sz w:val="21"/>
                <w:szCs w:val="20"/>
              </w:rPr>
              <w:t>）。</w:t>
            </w:r>
          </w:p>
        </w:tc>
        <w:tc>
          <w:tcPr>
            <w:tcW w:w="0" w:type="auto"/>
            <w:vAlign w:val="center"/>
            <w:hideMark/>
          </w:tcPr>
          <w:p w14:paraId="09C72C76" w14:textId="77777777" w:rsidR="001B3E8B" w:rsidRPr="005561C7" w:rsidRDefault="001B3E8B" w:rsidP="008905C3">
            <w:pPr>
              <w:ind w:firstLineChars="0" w:firstLine="0"/>
              <w:rPr>
                <w:sz w:val="21"/>
                <w:szCs w:val="20"/>
              </w:rPr>
            </w:pPr>
            <w:r w:rsidRPr="005561C7">
              <w:rPr>
                <w:sz w:val="21"/>
                <w:szCs w:val="20"/>
              </w:rPr>
              <w:t>结合消费量与体重计算</w:t>
            </w:r>
          </w:p>
        </w:tc>
      </w:tr>
      <w:tr w:rsidR="00D51360" w:rsidRPr="001E2F95" w14:paraId="7C4FE3B1" w14:textId="77777777" w:rsidTr="001327AB">
        <w:tc>
          <w:tcPr>
            <w:tcW w:w="2129" w:type="dxa"/>
            <w:vAlign w:val="center"/>
            <w:hideMark/>
          </w:tcPr>
          <w:p w14:paraId="04C3C530" w14:textId="77777777" w:rsidR="001B3E8B" w:rsidRPr="005561C7" w:rsidRDefault="001B3E8B" w:rsidP="008905C3">
            <w:pPr>
              <w:ind w:firstLineChars="0" w:firstLine="0"/>
              <w:rPr>
                <w:sz w:val="21"/>
                <w:szCs w:val="20"/>
              </w:rPr>
            </w:pPr>
          </w:p>
        </w:tc>
        <w:tc>
          <w:tcPr>
            <w:tcW w:w="1699" w:type="dxa"/>
            <w:vAlign w:val="center"/>
            <w:hideMark/>
          </w:tcPr>
          <w:p w14:paraId="657073E3" w14:textId="4FA114D5" w:rsidR="001B3E8B" w:rsidRPr="005561C7" w:rsidRDefault="009D179E" w:rsidP="008905C3">
            <w:pPr>
              <w:ind w:firstLineChars="0" w:firstLine="0"/>
              <w:rPr>
                <w:sz w:val="21"/>
                <w:szCs w:val="20"/>
              </w:rPr>
            </w:pPr>
            <m:oMathPara>
              <m:oMath>
                <m:r>
                  <w:rPr>
                    <w:rFonts w:ascii="Cambria Math" w:hAnsi="Cambria Math"/>
                    <w:sz w:val="21"/>
                  </w:rPr>
                  <m:t>g(MO</m:t>
                </m:r>
                <m:sSub>
                  <m:sSubPr>
                    <m:ctrlPr>
                      <w:rPr>
                        <w:rFonts w:ascii="Cambria Math" w:hAnsi="Cambria Math"/>
                        <w:sz w:val="21"/>
                      </w:rPr>
                    </m:ctrlPr>
                  </m:sSubPr>
                  <m:e>
                    <m:r>
                      <w:rPr>
                        <w:rFonts w:ascii="Cambria Math" w:hAnsi="Cambria Math"/>
                        <w:sz w:val="21"/>
                      </w:rPr>
                      <m:t>E</m:t>
                    </m:r>
                  </m:e>
                  <m:sub>
                    <m:r>
                      <w:rPr>
                        <w:rFonts w:ascii="Cambria Math" w:hAnsi="Cambria Math"/>
                        <w:sz w:val="21"/>
                      </w:rPr>
                      <m:t>i,t</m:t>
                    </m:r>
                  </m:sub>
                </m:sSub>
                <m:r>
                  <w:rPr>
                    <w:rFonts w:ascii="Cambria Math" w:hAnsi="Cambria Math"/>
                    <w:sz w:val="21"/>
                  </w:rPr>
                  <m:t>;T)</m:t>
                </m:r>
              </m:oMath>
            </m:oMathPara>
          </w:p>
        </w:tc>
        <w:tc>
          <w:tcPr>
            <w:tcW w:w="3659" w:type="dxa"/>
            <w:vAlign w:val="center"/>
            <w:hideMark/>
          </w:tcPr>
          <w:p w14:paraId="261AC72C" w14:textId="77777777" w:rsidR="001B3E8B" w:rsidRPr="005561C7" w:rsidRDefault="001B3E8B" w:rsidP="008905C3">
            <w:pPr>
              <w:ind w:firstLineChars="0" w:firstLine="0"/>
              <w:rPr>
                <w:sz w:val="21"/>
                <w:szCs w:val="20"/>
              </w:rPr>
            </w:pPr>
            <w:r w:rsidRPr="005561C7">
              <w:rPr>
                <w:sz w:val="21"/>
                <w:szCs w:val="20"/>
              </w:rPr>
              <w:t>风险惩罚映射：阈值</w:t>
            </w:r>
            <w:r w:rsidRPr="005561C7">
              <w:rPr>
                <w:sz w:val="21"/>
                <w:szCs w:val="20"/>
              </w:rPr>
              <w:t xml:space="preserve"> (T) </w:t>
            </w:r>
            <w:r w:rsidRPr="005561C7">
              <w:rPr>
                <w:sz w:val="21"/>
                <w:szCs w:val="20"/>
              </w:rPr>
              <w:t>下的风险评分（如超标概率或风险等级），直接对齐公共卫生目标。</w:t>
            </w:r>
          </w:p>
        </w:tc>
        <w:tc>
          <w:tcPr>
            <w:tcW w:w="0" w:type="auto"/>
            <w:vAlign w:val="center"/>
            <w:hideMark/>
          </w:tcPr>
          <w:p w14:paraId="6C57B88D" w14:textId="77777777" w:rsidR="001B3E8B" w:rsidRPr="005561C7" w:rsidRDefault="001B3E8B" w:rsidP="008905C3">
            <w:pPr>
              <w:ind w:firstLineChars="0" w:firstLine="0"/>
              <w:rPr>
                <w:sz w:val="21"/>
                <w:szCs w:val="20"/>
              </w:rPr>
            </w:pPr>
            <w:r w:rsidRPr="005561C7">
              <w:rPr>
                <w:sz w:val="21"/>
                <w:szCs w:val="20"/>
              </w:rPr>
              <w:t>派生计算</w:t>
            </w:r>
          </w:p>
        </w:tc>
      </w:tr>
      <w:tr w:rsidR="00D51360" w:rsidRPr="001E2F95" w14:paraId="69BD479E" w14:textId="77777777" w:rsidTr="001327AB">
        <w:tc>
          <w:tcPr>
            <w:tcW w:w="2129" w:type="dxa"/>
            <w:vAlign w:val="center"/>
            <w:hideMark/>
          </w:tcPr>
          <w:p w14:paraId="1FDF01DA" w14:textId="022766DA" w:rsidR="001B3E8B" w:rsidRPr="005561C7" w:rsidRDefault="001B3E8B" w:rsidP="008905C3">
            <w:pPr>
              <w:ind w:firstLineChars="0" w:firstLine="0"/>
              <w:rPr>
                <w:sz w:val="21"/>
                <w:szCs w:val="20"/>
              </w:rPr>
            </w:pPr>
            <w:r w:rsidRPr="005561C7">
              <w:rPr>
                <w:sz w:val="21"/>
                <w:szCs w:val="20"/>
              </w:rPr>
              <w:t>3.</w:t>
            </w:r>
            <w:r w:rsidRPr="005561C7">
              <w:rPr>
                <w:sz w:val="21"/>
                <w:szCs w:val="20"/>
              </w:rPr>
              <w:t>规模与权重模块（</w:t>
            </w:r>
            <w:r w:rsidRPr="005561C7">
              <w:rPr>
                <w:sz w:val="21"/>
                <w:szCs w:val="20"/>
              </w:rPr>
              <w:t>Scale &amp; Weight</w:t>
            </w:r>
            <w:r w:rsidRPr="005561C7">
              <w:rPr>
                <w:sz w:val="21"/>
                <w:szCs w:val="20"/>
              </w:rPr>
              <w:t>）</w:t>
            </w:r>
          </w:p>
        </w:tc>
        <w:tc>
          <w:tcPr>
            <w:tcW w:w="1699" w:type="dxa"/>
            <w:vAlign w:val="center"/>
            <w:hideMark/>
          </w:tcPr>
          <w:p w14:paraId="4956C81C" w14:textId="5BFEB1A1" w:rsidR="001B3E8B" w:rsidRPr="005561C7" w:rsidRDefault="00000000" w:rsidP="00817FD7">
            <w:pPr>
              <w:ind w:firstLineChars="0" w:firstLine="0"/>
              <w:jc w:val="center"/>
              <w:rPr>
                <w:sz w:val="21"/>
                <w:szCs w:val="20"/>
              </w:rPr>
            </w:pPr>
            <m:oMath>
              <m:sSub>
                <m:sSubPr>
                  <m:ctrlPr>
                    <w:rPr>
                      <w:rFonts w:ascii="Cambria Math" w:hAnsi="Cambria Math"/>
                      <w:i/>
                      <w:sz w:val="21"/>
                      <w:szCs w:val="20"/>
                    </w:rPr>
                  </m:ctrlPr>
                </m:sSubPr>
                <m:e>
                  <m:r>
                    <w:rPr>
                      <w:rFonts w:ascii="Cambria Math" w:hAnsi="Cambria Math" w:hint="eastAsia"/>
                      <w:sz w:val="21"/>
                      <w:szCs w:val="20"/>
                    </w:rPr>
                    <m:t>Pop</m:t>
                  </m:r>
                </m:e>
                <m:sub>
                  <m:r>
                    <w:rPr>
                      <w:rFonts w:ascii="Cambria Math" w:hAnsi="Cambria Math"/>
                      <w:sz w:val="21"/>
                      <w:szCs w:val="20"/>
                    </w:rPr>
                    <m:t>i</m:t>
                  </m:r>
                </m:sub>
              </m:sSub>
            </m:oMath>
            <w:r w:rsidR="001B3E8B" w:rsidRPr="005561C7">
              <w:rPr>
                <w:sz w:val="21"/>
                <w:szCs w:val="20"/>
              </w:rPr>
              <w:t>或</w:t>
            </w:r>
            <m:oMath>
              <m:sSub>
                <m:sSubPr>
                  <m:ctrlPr>
                    <w:rPr>
                      <w:rFonts w:ascii="Cambria Math" w:hAnsi="Cambria Math"/>
                      <w:i/>
                      <w:sz w:val="21"/>
                      <w:szCs w:val="20"/>
                    </w:rPr>
                  </m:ctrlPr>
                </m:sSubPr>
                <m:e>
                  <m:r>
                    <w:rPr>
                      <w:rFonts w:ascii="Cambria Math" w:hAnsi="Cambria Math"/>
                      <w:sz w:val="21"/>
                      <w:szCs w:val="20"/>
                    </w:rPr>
                    <m:t>ω</m:t>
                  </m:r>
                </m:e>
                <m:sub>
                  <m:r>
                    <w:rPr>
                      <w:rFonts w:ascii="Cambria Math" w:hAnsi="Cambria Math" w:hint="eastAsia"/>
                      <w:sz w:val="21"/>
                      <w:szCs w:val="20"/>
                    </w:rPr>
                    <m:t>i</m:t>
                  </m:r>
                </m:sub>
              </m:sSub>
            </m:oMath>
          </w:p>
        </w:tc>
        <w:tc>
          <w:tcPr>
            <w:tcW w:w="3659" w:type="dxa"/>
            <w:vAlign w:val="center"/>
            <w:hideMark/>
          </w:tcPr>
          <w:p w14:paraId="2147B1B1" w14:textId="77777777" w:rsidR="001B3E8B" w:rsidRPr="005561C7" w:rsidRDefault="001B3E8B" w:rsidP="008905C3">
            <w:pPr>
              <w:ind w:firstLineChars="0" w:firstLine="0"/>
              <w:rPr>
                <w:sz w:val="21"/>
                <w:szCs w:val="20"/>
              </w:rPr>
            </w:pPr>
            <w:r w:rsidRPr="005561C7">
              <w:rPr>
                <w:sz w:val="21"/>
                <w:szCs w:val="20"/>
              </w:rPr>
              <w:t>人口</w:t>
            </w:r>
            <w:r w:rsidRPr="005561C7">
              <w:rPr>
                <w:sz w:val="21"/>
                <w:szCs w:val="20"/>
              </w:rPr>
              <w:t>/</w:t>
            </w:r>
            <w:r w:rsidRPr="005561C7">
              <w:rPr>
                <w:sz w:val="21"/>
                <w:szCs w:val="20"/>
              </w:rPr>
              <w:t>社会权重：该省份的人口规模或重要性权重。用于区分不同区域的社会影响差异。</w:t>
            </w:r>
          </w:p>
        </w:tc>
        <w:tc>
          <w:tcPr>
            <w:tcW w:w="0" w:type="auto"/>
            <w:vAlign w:val="center"/>
            <w:hideMark/>
          </w:tcPr>
          <w:p w14:paraId="56788CC5" w14:textId="77777777" w:rsidR="001B3E8B" w:rsidRPr="005561C7" w:rsidRDefault="001B3E8B" w:rsidP="008905C3">
            <w:pPr>
              <w:ind w:firstLineChars="0" w:firstLine="0"/>
              <w:rPr>
                <w:sz w:val="21"/>
                <w:szCs w:val="20"/>
              </w:rPr>
            </w:pPr>
            <w:r w:rsidRPr="005561C7">
              <w:rPr>
                <w:sz w:val="21"/>
                <w:szCs w:val="20"/>
              </w:rPr>
              <w:t>统计年鉴</w:t>
            </w:r>
            <w:r w:rsidRPr="005561C7">
              <w:rPr>
                <w:sz w:val="21"/>
                <w:szCs w:val="20"/>
              </w:rPr>
              <w:t>/</w:t>
            </w:r>
            <w:r w:rsidRPr="005561C7">
              <w:rPr>
                <w:sz w:val="21"/>
                <w:szCs w:val="20"/>
              </w:rPr>
              <w:t>基础数据</w:t>
            </w:r>
          </w:p>
        </w:tc>
      </w:tr>
      <w:tr w:rsidR="00D51360" w:rsidRPr="001E2F95" w14:paraId="1AF8EE0A" w14:textId="77777777" w:rsidTr="001327AB">
        <w:tc>
          <w:tcPr>
            <w:tcW w:w="2129" w:type="dxa"/>
            <w:vAlign w:val="center"/>
            <w:hideMark/>
          </w:tcPr>
          <w:p w14:paraId="1D716160" w14:textId="77777777" w:rsidR="001B3E8B" w:rsidRPr="005561C7" w:rsidRDefault="001B3E8B" w:rsidP="008905C3">
            <w:pPr>
              <w:ind w:firstLineChars="0" w:firstLine="0"/>
              <w:rPr>
                <w:sz w:val="21"/>
                <w:szCs w:val="20"/>
              </w:rPr>
            </w:pPr>
          </w:p>
        </w:tc>
        <w:tc>
          <w:tcPr>
            <w:tcW w:w="1699" w:type="dxa"/>
            <w:vAlign w:val="center"/>
            <w:hideMark/>
          </w:tcPr>
          <w:p w14:paraId="21B165B6" w14:textId="7F2CD80A" w:rsidR="001B3E8B" w:rsidRPr="005561C7" w:rsidRDefault="00000000" w:rsidP="00D51360">
            <w:pPr>
              <w:ind w:firstLineChars="0" w:firstLine="0"/>
              <w:jc w:val="center"/>
              <w:rPr>
                <w:sz w:val="21"/>
                <w:szCs w:val="20"/>
              </w:rPr>
            </w:pPr>
            <m:oMathPara>
              <m:oMath>
                <m:sSub>
                  <m:sSubPr>
                    <m:ctrlPr>
                      <w:rPr>
                        <w:rFonts w:ascii="Cambria Math" w:hAnsi="Cambria Math"/>
                        <w:i/>
                        <w:sz w:val="21"/>
                        <w:szCs w:val="20"/>
                      </w:rPr>
                    </m:ctrlPr>
                  </m:sSubPr>
                  <m:e>
                    <m:r>
                      <w:rPr>
                        <w:rFonts w:ascii="Cambria Math" w:hAnsi="Cambria Math" w:hint="eastAsia"/>
                        <w:sz w:val="21"/>
                        <w:szCs w:val="20"/>
                      </w:rPr>
                      <m:t>Consumption</m:t>
                    </m:r>
                  </m:e>
                  <m:sub>
                    <m:r>
                      <w:rPr>
                        <w:rFonts w:ascii="Cambria Math" w:hAnsi="Cambria Math" w:hint="eastAsia"/>
                        <w:sz w:val="21"/>
                        <w:szCs w:val="20"/>
                      </w:rPr>
                      <m:t>i</m:t>
                    </m:r>
                  </m:sub>
                </m:sSub>
              </m:oMath>
            </m:oMathPara>
          </w:p>
        </w:tc>
        <w:tc>
          <w:tcPr>
            <w:tcW w:w="3659" w:type="dxa"/>
            <w:vAlign w:val="center"/>
            <w:hideMark/>
          </w:tcPr>
          <w:p w14:paraId="2D97B5AF" w14:textId="77777777" w:rsidR="001B3E8B" w:rsidRPr="005561C7" w:rsidRDefault="001B3E8B" w:rsidP="008905C3">
            <w:pPr>
              <w:ind w:firstLineChars="0" w:firstLine="0"/>
              <w:rPr>
                <w:sz w:val="21"/>
                <w:szCs w:val="20"/>
              </w:rPr>
            </w:pPr>
            <w:r w:rsidRPr="005561C7">
              <w:rPr>
                <w:sz w:val="21"/>
                <w:szCs w:val="20"/>
              </w:rPr>
              <w:t>消费量：该区域的特定食品消费总量（若数据可得）。</w:t>
            </w:r>
          </w:p>
        </w:tc>
        <w:tc>
          <w:tcPr>
            <w:tcW w:w="0" w:type="auto"/>
            <w:vAlign w:val="center"/>
            <w:hideMark/>
          </w:tcPr>
          <w:p w14:paraId="3021C7C0" w14:textId="77777777" w:rsidR="001B3E8B" w:rsidRPr="005561C7" w:rsidRDefault="001B3E8B" w:rsidP="008905C3">
            <w:pPr>
              <w:ind w:firstLineChars="0" w:firstLine="0"/>
              <w:rPr>
                <w:sz w:val="21"/>
                <w:szCs w:val="20"/>
              </w:rPr>
            </w:pPr>
            <w:r w:rsidRPr="005561C7">
              <w:rPr>
                <w:sz w:val="21"/>
                <w:szCs w:val="20"/>
              </w:rPr>
              <w:t>市场数据</w:t>
            </w:r>
          </w:p>
        </w:tc>
      </w:tr>
      <w:tr w:rsidR="00D51360" w:rsidRPr="001E2F95" w14:paraId="6E160C7E" w14:textId="77777777" w:rsidTr="001327AB">
        <w:tc>
          <w:tcPr>
            <w:tcW w:w="2129" w:type="dxa"/>
            <w:vAlign w:val="center"/>
            <w:hideMark/>
          </w:tcPr>
          <w:p w14:paraId="5AD0AE94" w14:textId="5987CC1E" w:rsidR="001B3E8B" w:rsidRPr="005561C7" w:rsidRDefault="001B3E8B" w:rsidP="008905C3">
            <w:pPr>
              <w:ind w:firstLineChars="0" w:firstLine="0"/>
              <w:rPr>
                <w:sz w:val="21"/>
                <w:szCs w:val="20"/>
              </w:rPr>
            </w:pPr>
            <w:r w:rsidRPr="005561C7">
              <w:rPr>
                <w:sz w:val="21"/>
                <w:szCs w:val="20"/>
              </w:rPr>
              <w:t>4.</w:t>
            </w:r>
            <w:r w:rsidRPr="005561C7">
              <w:rPr>
                <w:sz w:val="21"/>
                <w:szCs w:val="20"/>
              </w:rPr>
              <w:t>资源与惯性模块（</w:t>
            </w:r>
            <w:r w:rsidRPr="005561C7">
              <w:rPr>
                <w:sz w:val="21"/>
                <w:szCs w:val="20"/>
              </w:rPr>
              <w:t>Resource&amp;Inertia</w:t>
            </w:r>
            <w:r w:rsidRPr="005561C7">
              <w:rPr>
                <w:sz w:val="21"/>
                <w:szCs w:val="20"/>
              </w:rPr>
              <w:t>）</w:t>
            </w:r>
          </w:p>
        </w:tc>
        <w:tc>
          <w:tcPr>
            <w:tcW w:w="1699" w:type="dxa"/>
            <w:vAlign w:val="center"/>
            <w:hideMark/>
          </w:tcPr>
          <w:p w14:paraId="12C63F68" w14:textId="77C69C1F" w:rsidR="001B3E8B" w:rsidRPr="005561C7" w:rsidRDefault="00000000" w:rsidP="00D61170">
            <w:pPr>
              <w:ind w:firstLineChars="0" w:firstLine="0"/>
              <w:jc w:val="center"/>
              <w:rPr>
                <w:sz w:val="21"/>
                <w:szCs w:val="20"/>
              </w:rPr>
            </w:pPr>
            <m:oMathPara>
              <m:oMath>
                <m:sSub>
                  <m:sSubPr>
                    <m:ctrlPr>
                      <w:rPr>
                        <w:rFonts w:ascii="Cambria Math" w:hAnsi="Cambria Math"/>
                        <w:i/>
                        <w:sz w:val="21"/>
                        <w:szCs w:val="20"/>
                      </w:rPr>
                    </m:ctrlPr>
                  </m:sSubPr>
                  <m:e>
                    <m:r>
                      <w:rPr>
                        <w:rFonts w:ascii="Cambria Math" w:hAnsi="Cambria Math" w:hint="eastAsia"/>
                        <w:sz w:val="21"/>
                        <w:szCs w:val="20"/>
                      </w:rPr>
                      <m:t>B</m:t>
                    </m:r>
                  </m:e>
                  <m:sub>
                    <m:r>
                      <w:rPr>
                        <w:rFonts w:ascii="Cambria Math" w:hAnsi="Cambria Math"/>
                        <w:sz w:val="21"/>
                        <w:szCs w:val="20"/>
                      </w:rPr>
                      <m:t>t</m:t>
                    </m:r>
                  </m:sub>
                </m:sSub>
              </m:oMath>
            </m:oMathPara>
          </w:p>
        </w:tc>
        <w:tc>
          <w:tcPr>
            <w:tcW w:w="3659" w:type="dxa"/>
            <w:vAlign w:val="center"/>
            <w:hideMark/>
          </w:tcPr>
          <w:p w14:paraId="5A7B31E0" w14:textId="77777777" w:rsidR="001B3E8B" w:rsidRPr="005561C7" w:rsidRDefault="001B3E8B" w:rsidP="008905C3">
            <w:pPr>
              <w:ind w:firstLineChars="0" w:firstLine="0"/>
              <w:rPr>
                <w:sz w:val="21"/>
                <w:szCs w:val="20"/>
              </w:rPr>
            </w:pPr>
            <w:r w:rsidRPr="005561C7">
              <w:rPr>
                <w:sz w:val="21"/>
                <w:szCs w:val="20"/>
              </w:rPr>
              <w:t>当前预算：当期剩余可用的总抽检经费。</w:t>
            </w:r>
          </w:p>
        </w:tc>
        <w:tc>
          <w:tcPr>
            <w:tcW w:w="0" w:type="auto"/>
            <w:vAlign w:val="center"/>
            <w:hideMark/>
          </w:tcPr>
          <w:p w14:paraId="433547F3" w14:textId="77777777" w:rsidR="001B3E8B" w:rsidRPr="005561C7" w:rsidRDefault="001B3E8B" w:rsidP="008905C3">
            <w:pPr>
              <w:ind w:firstLineChars="0" w:firstLine="0"/>
              <w:rPr>
                <w:sz w:val="21"/>
                <w:szCs w:val="20"/>
              </w:rPr>
            </w:pPr>
            <w:r w:rsidRPr="005561C7">
              <w:rPr>
                <w:sz w:val="21"/>
                <w:szCs w:val="20"/>
              </w:rPr>
              <w:t>约束条件</w:t>
            </w:r>
          </w:p>
        </w:tc>
      </w:tr>
      <w:tr w:rsidR="00D51360" w:rsidRPr="001E2F95" w14:paraId="7C972641" w14:textId="77777777" w:rsidTr="001327AB">
        <w:tc>
          <w:tcPr>
            <w:tcW w:w="2129" w:type="dxa"/>
            <w:vAlign w:val="center"/>
            <w:hideMark/>
          </w:tcPr>
          <w:p w14:paraId="5EEA2818" w14:textId="77777777" w:rsidR="001B3E8B" w:rsidRPr="005561C7" w:rsidRDefault="001B3E8B" w:rsidP="008905C3">
            <w:pPr>
              <w:ind w:firstLineChars="0" w:firstLine="0"/>
              <w:rPr>
                <w:sz w:val="21"/>
                <w:szCs w:val="20"/>
              </w:rPr>
            </w:pPr>
          </w:p>
        </w:tc>
        <w:tc>
          <w:tcPr>
            <w:tcW w:w="1699" w:type="dxa"/>
            <w:vAlign w:val="center"/>
            <w:hideMark/>
          </w:tcPr>
          <w:p w14:paraId="58111754" w14:textId="4654D45E" w:rsidR="001B3E8B" w:rsidRPr="005561C7" w:rsidRDefault="00000000" w:rsidP="008F03E3">
            <w:pPr>
              <w:ind w:firstLineChars="0" w:firstLine="0"/>
              <w:jc w:val="center"/>
              <w:rPr>
                <w:sz w:val="21"/>
                <w:szCs w:val="20"/>
              </w:rPr>
            </w:pPr>
            <m:oMathPara>
              <m:oMath>
                <m:sSub>
                  <m:sSubPr>
                    <m:ctrlPr>
                      <w:rPr>
                        <w:rFonts w:ascii="Cambria Math" w:hAnsi="Cambria Math"/>
                        <w:i/>
                        <w:sz w:val="21"/>
                        <w:szCs w:val="20"/>
                      </w:rPr>
                    </m:ctrlPr>
                  </m:sSubPr>
                  <m:e>
                    <m:r>
                      <w:rPr>
                        <w:rFonts w:ascii="Cambria Math" w:hAnsi="Cambria Math" w:hint="eastAsia"/>
                        <w:sz w:val="21"/>
                        <w:szCs w:val="20"/>
                      </w:rPr>
                      <m:t>c</m:t>
                    </m:r>
                  </m:e>
                  <m:sub>
                    <m:r>
                      <w:rPr>
                        <w:rFonts w:ascii="Cambria Math" w:hAnsi="Cambria Math"/>
                        <w:sz w:val="21"/>
                        <w:szCs w:val="20"/>
                      </w:rPr>
                      <m:t>S</m:t>
                    </m:r>
                  </m:sub>
                </m:sSub>
                <m:r>
                  <w:rPr>
                    <w:rFonts w:ascii="Cambria Math" w:hAnsi="Cambria Math"/>
                    <w:sz w:val="21"/>
                    <w:szCs w:val="20"/>
                  </w:rPr>
                  <m:t>,</m:t>
                </m:r>
                <m:sSub>
                  <m:sSubPr>
                    <m:ctrlPr>
                      <w:rPr>
                        <w:rFonts w:ascii="Cambria Math" w:hAnsi="Cambria Math"/>
                        <w:i/>
                        <w:sz w:val="21"/>
                        <w:szCs w:val="20"/>
                      </w:rPr>
                    </m:ctrlPr>
                  </m:sSubPr>
                  <m:e>
                    <m:r>
                      <w:rPr>
                        <w:rFonts w:ascii="Cambria Math" w:hAnsi="Cambria Math"/>
                        <w:sz w:val="21"/>
                        <w:szCs w:val="20"/>
                      </w:rPr>
                      <m:t>c</m:t>
                    </m:r>
                  </m:e>
                  <m:sub>
                    <m:r>
                      <w:rPr>
                        <w:rFonts w:ascii="Cambria Math" w:hAnsi="Cambria Math"/>
                        <w:sz w:val="21"/>
                        <w:szCs w:val="20"/>
                      </w:rPr>
                      <m:t>M</m:t>
                    </m:r>
                  </m:sub>
                </m:sSub>
              </m:oMath>
            </m:oMathPara>
          </w:p>
        </w:tc>
        <w:tc>
          <w:tcPr>
            <w:tcW w:w="3659" w:type="dxa"/>
            <w:vAlign w:val="center"/>
            <w:hideMark/>
          </w:tcPr>
          <w:p w14:paraId="22B8DFF6" w14:textId="77777777" w:rsidR="001B3E8B" w:rsidRPr="005561C7" w:rsidRDefault="001B3E8B" w:rsidP="008905C3">
            <w:pPr>
              <w:ind w:firstLineChars="0" w:firstLine="0"/>
              <w:rPr>
                <w:sz w:val="21"/>
                <w:szCs w:val="20"/>
              </w:rPr>
            </w:pPr>
            <w:r w:rsidRPr="005561C7">
              <w:rPr>
                <w:sz w:val="21"/>
                <w:szCs w:val="20"/>
              </w:rPr>
              <w:t>单位成本：各环节单次抽检的成本。</w:t>
            </w:r>
          </w:p>
        </w:tc>
        <w:tc>
          <w:tcPr>
            <w:tcW w:w="0" w:type="auto"/>
            <w:vAlign w:val="center"/>
            <w:hideMark/>
          </w:tcPr>
          <w:p w14:paraId="2974B02B" w14:textId="77777777" w:rsidR="001B3E8B" w:rsidRPr="005561C7" w:rsidRDefault="001B3E8B" w:rsidP="008905C3">
            <w:pPr>
              <w:ind w:firstLineChars="0" w:firstLine="0"/>
              <w:rPr>
                <w:sz w:val="21"/>
                <w:szCs w:val="20"/>
              </w:rPr>
            </w:pPr>
            <w:r w:rsidRPr="005561C7">
              <w:rPr>
                <w:sz w:val="21"/>
                <w:szCs w:val="20"/>
              </w:rPr>
              <w:t>成本参数</w:t>
            </w:r>
          </w:p>
        </w:tc>
      </w:tr>
      <w:tr w:rsidR="00D51360" w:rsidRPr="001E2F95" w14:paraId="1F7D02EE" w14:textId="77777777" w:rsidTr="001327AB">
        <w:tc>
          <w:tcPr>
            <w:tcW w:w="2129" w:type="dxa"/>
            <w:vAlign w:val="center"/>
            <w:hideMark/>
          </w:tcPr>
          <w:p w14:paraId="4DA37423" w14:textId="77777777" w:rsidR="001B3E8B" w:rsidRPr="005561C7" w:rsidRDefault="001B3E8B" w:rsidP="008905C3">
            <w:pPr>
              <w:ind w:firstLineChars="0" w:firstLine="0"/>
              <w:rPr>
                <w:sz w:val="21"/>
                <w:szCs w:val="20"/>
              </w:rPr>
            </w:pPr>
          </w:p>
        </w:tc>
        <w:tc>
          <w:tcPr>
            <w:tcW w:w="1699" w:type="dxa"/>
            <w:vAlign w:val="center"/>
            <w:hideMark/>
          </w:tcPr>
          <w:p w14:paraId="12AB4B8B" w14:textId="3C9B48B9" w:rsidR="001B3E8B" w:rsidRPr="005561C7" w:rsidRDefault="00000000" w:rsidP="008905C3">
            <w:pPr>
              <w:ind w:firstLineChars="0" w:firstLine="0"/>
              <w:rPr>
                <w:sz w:val="21"/>
                <w:szCs w:val="20"/>
              </w:rPr>
            </w:pPr>
            <m:oMathPara>
              <m:oMath>
                <m:sSub>
                  <m:sSubPr>
                    <m:ctrlPr>
                      <w:rPr>
                        <w:rFonts w:ascii="Cambria Math" w:hAnsi="Cambria Math"/>
                        <w:sz w:val="21"/>
                      </w:rPr>
                    </m:ctrlPr>
                  </m:sSubPr>
                  <m:e>
                    <m:acc>
                      <m:accPr>
                        <m:chr m:val="‾"/>
                        <m:ctrlPr>
                          <w:rPr>
                            <w:rFonts w:ascii="Cambria Math" w:hAnsi="Cambria Math"/>
                            <w:sz w:val="21"/>
                          </w:rPr>
                        </m:ctrlPr>
                      </m:accPr>
                      <m:e>
                        <m:r>
                          <w:rPr>
                            <w:rFonts w:ascii="Cambria Math" w:hAnsi="Cambria Math"/>
                            <w:sz w:val="21"/>
                          </w:rPr>
                          <m:t>n</m:t>
                        </m:r>
                      </m:e>
                    </m:acc>
                  </m:e>
                  <m:sub>
                    <m:r>
                      <w:rPr>
                        <w:rFonts w:ascii="Cambria Math" w:hAnsi="Cambria Math"/>
                        <w:sz w:val="21"/>
                      </w:rPr>
                      <m:t>i,e,t</m:t>
                    </m:r>
                  </m:sub>
                </m:sSub>
              </m:oMath>
            </m:oMathPara>
          </w:p>
        </w:tc>
        <w:tc>
          <w:tcPr>
            <w:tcW w:w="3659" w:type="dxa"/>
            <w:vAlign w:val="center"/>
            <w:hideMark/>
          </w:tcPr>
          <w:p w14:paraId="507DCB64" w14:textId="77777777" w:rsidR="001B3E8B" w:rsidRPr="005561C7" w:rsidRDefault="001B3E8B" w:rsidP="008905C3">
            <w:pPr>
              <w:ind w:firstLineChars="0" w:firstLine="0"/>
              <w:rPr>
                <w:sz w:val="21"/>
                <w:szCs w:val="20"/>
              </w:rPr>
            </w:pPr>
            <w:r w:rsidRPr="005561C7">
              <w:rPr>
                <w:sz w:val="21"/>
                <w:szCs w:val="20"/>
              </w:rPr>
              <w:t>产能上限：各省</w:t>
            </w:r>
            <w:r w:rsidRPr="005561C7">
              <w:rPr>
                <w:sz w:val="21"/>
                <w:szCs w:val="20"/>
              </w:rPr>
              <w:t>/</w:t>
            </w:r>
            <w:r w:rsidRPr="005561C7">
              <w:rPr>
                <w:sz w:val="21"/>
                <w:szCs w:val="20"/>
              </w:rPr>
              <w:t>环节的最大可抽检批次限制。</w:t>
            </w:r>
          </w:p>
        </w:tc>
        <w:tc>
          <w:tcPr>
            <w:tcW w:w="0" w:type="auto"/>
            <w:vAlign w:val="center"/>
            <w:hideMark/>
          </w:tcPr>
          <w:p w14:paraId="04F0A881" w14:textId="77777777" w:rsidR="001B3E8B" w:rsidRPr="005561C7" w:rsidRDefault="001B3E8B" w:rsidP="008905C3">
            <w:pPr>
              <w:ind w:firstLineChars="0" w:firstLine="0"/>
              <w:rPr>
                <w:sz w:val="21"/>
                <w:szCs w:val="20"/>
              </w:rPr>
            </w:pPr>
            <w:r w:rsidRPr="005561C7">
              <w:rPr>
                <w:sz w:val="21"/>
                <w:szCs w:val="20"/>
              </w:rPr>
              <w:t>制度</w:t>
            </w:r>
            <w:r w:rsidRPr="005561C7">
              <w:rPr>
                <w:sz w:val="21"/>
                <w:szCs w:val="20"/>
              </w:rPr>
              <w:t>/</w:t>
            </w:r>
            <w:r w:rsidRPr="005561C7">
              <w:rPr>
                <w:sz w:val="21"/>
                <w:szCs w:val="20"/>
              </w:rPr>
              <w:t>物理约束</w:t>
            </w:r>
          </w:p>
        </w:tc>
      </w:tr>
      <w:tr w:rsidR="00D51360" w:rsidRPr="001E2F95" w14:paraId="6EC5314B" w14:textId="77777777" w:rsidTr="001327AB">
        <w:tc>
          <w:tcPr>
            <w:tcW w:w="2129" w:type="dxa"/>
            <w:vAlign w:val="center"/>
            <w:hideMark/>
          </w:tcPr>
          <w:p w14:paraId="19E6226E" w14:textId="77777777" w:rsidR="001B3E8B" w:rsidRPr="005561C7" w:rsidRDefault="001B3E8B" w:rsidP="008905C3">
            <w:pPr>
              <w:ind w:firstLineChars="0" w:firstLine="0"/>
              <w:rPr>
                <w:sz w:val="21"/>
                <w:szCs w:val="20"/>
              </w:rPr>
            </w:pPr>
          </w:p>
        </w:tc>
        <w:tc>
          <w:tcPr>
            <w:tcW w:w="1699" w:type="dxa"/>
            <w:vAlign w:val="center"/>
            <w:hideMark/>
          </w:tcPr>
          <w:p w14:paraId="2CC391C1" w14:textId="370233F2" w:rsidR="001B3E8B" w:rsidRPr="005561C7" w:rsidRDefault="00000000" w:rsidP="006A3D41">
            <w:pPr>
              <w:ind w:firstLineChars="0" w:firstLine="0"/>
              <w:jc w:val="center"/>
              <w:rPr>
                <w:sz w:val="21"/>
                <w:szCs w:val="20"/>
              </w:rPr>
            </w:pPr>
            <m:oMathPara>
              <m:oMath>
                <m:sSub>
                  <m:sSubPr>
                    <m:ctrlPr>
                      <w:rPr>
                        <w:rFonts w:ascii="Cambria Math" w:hAnsi="Cambria Math"/>
                        <w:i/>
                        <w:sz w:val="21"/>
                        <w:szCs w:val="20"/>
                      </w:rPr>
                    </m:ctrlPr>
                  </m:sSubPr>
                  <m:e>
                    <m:r>
                      <w:rPr>
                        <w:rFonts w:ascii="Cambria Math" w:hAnsi="Cambria Math" w:hint="eastAsia"/>
                        <w:sz w:val="21"/>
                        <w:szCs w:val="20"/>
                      </w:rPr>
                      <m:t>n</m:t>
                    </m:r>
                  </m:e>
                  <m:sub>
                    <m:r>
                      <w:rPr>
                        <w:rFonts w:ascii="Cambria Math" w:hAnsi="Cambria Math"/>
                        <w:sz w:val="21"/>
                        <w:szCs w:val="20"/>
                      </w:rPr>
                      <m:t>i,e,t-1</m:t>
                    </m:r>
                  </m:sub>
                </m:sSub>
                <m:r>
                  <w:rPr>
                    <w:rFonts w:ascii="Cambria Math" w:hAnsi="Cambria Math"/>
                    <w:sz w:val="21"/>
                    <w:szCs w:val="20"/>
                  </w:rPr>
                  <m:t>,</m:t>
                </m:r>
                <m:sSub>
                  <m:sSubPr>
                    <m:ctrlPr>
                      <w:rPr>
                        <w:rFonts w:ascii="Cambria Math" w:hAnsi="Cambria Math"/>
                        <w:i/>
                        <w:sz w:val="21"/>
                        <w:szCs w:val="20"/>
                      </w:rPr>
                    </m:ctrlPr>
                  </m:sSubPr>
                  <m:e>
                    <m:r>
                      <w:rPr>
                        <w:rFonts w:ascii="Cambria Math" w:hAnsi="Cambria Math"/>
                        <w:sz w:val="21"/>
                        <w:szCs w:val="20"/>
                      </w:rPr>
                      <m:t>Y</m:t>
                    </m:r>
                  </m:e>
                  <m:sub>
                    <m:r>
                      <w:rPr>
                        <w:rFonts w:ascii="Cambria Math" w:hAnsi="Cambria Math" w:hint="eastAsia"/>
                        <w:sz w:val="21"/>
                        <w:szCs w:val="20"/>
                      </w:rPr>
                      <m:t>i</m:t>
                    </m:r>
                    <m:r>
                      <w:rPr>
                        <w:rFonts w:ascii="Cambria Math" w:hAnsi="Cambria Math"/>
                        <w:sz w:val="21"/>
                        <w:szCs w:val="20"/>
                      </w:rPr>
                      <m:t>,e,t-1</m:t>
                    </m:r>
                  </m:sub>
                </m:sSub>
              </m:oMath>
            </m:oMathPara>
          </w:p>
        </w:tc>
        <w:tc>
          <w:tcPr>
            <w:tcW w:w="3659" w:type="dxa"/>
            <w:vAlign w:val="center"/>
            <w:hideMark/>
          </w:tcPr>
          <w:p w14:paraId="65BB7101" w14:textId="77777777" w:rsidR="001B3E8B" w:rsidRPr="005561C7" w:rsidRDefault="001B3E8B" w:rsidP="008905C3">
            <w:pPr>
              <w:ind w:firstLineChars="0" w:firstLine="0"/>
              <w:rPr>
                <w:sz w:val="21"/>
                <w:szCs w:val="20"/>
              </w:rPr>
            </w:pPr>
            <w:r w:rsidRPr="005561C7">
              <w:rPr>
                <w:sz w:val="21"/>
                <w:szCs w:val="20"/>
              </w:rPr>
              <w:t>历史投入与观测：上一期的抽检量或观测值（或其滚动均值）。反映政策执行的惯性与时间相关性。</w:t>
            </w:r>
          </w:p>
        </w:tc>
        <w:tc>
          <w:tcPr>
            <w:tcW w:w="0" w:type="auto"/>
            <w:vAlign w:val="center"/>
            <w:hideMark/>
          </w:tcPr>
          <w:p w14:paraId="62EB0FAC" w14:textId="77777777" w:rsidR="001B3E8B" w:rsidRPr="005561C7" w:rsidRDefault="001B3E8B" w:rsidP="00F04530">
            <w:pPr>
              <w:keepNext/>
              <w:ind w:firstLineChars="0" w:firstLine="0"/>
              <w:rPr>
                <w:sz w:val="21"/>
                <w:szCs w:val="20"/>
              </w:rPr>
            </w:pPr>
            <w:r w:rsidRPr="005561C7">
              <w:rPr>
                <w:sz w:val="21"/>
                <w:szCs w:val="20"/>
              </w:rPr>
              <w:t>历史记录</w:t>
            </w:r>
          </w:p>
        </w:tc>
      </w:tr>
    </w:tbl>
    <w:p w14:paraId="4F717CEC" w14:textId="77777777" w:rsidR="00C474C7" w:rsidRDefault="006B3560" w:rsidP="00C474C7">
      <w:pPr>
        <w:ind w:leftChars="100" w:left="240" w:firstLineChars="100" w:firstLine="240"/>
      </w:pPr>
      <w:r w:rsidRPr="006B3560">
        <w:t>（</w:t>
      </w:r>
      <w:r w:rsidRPr="006B3560">
        <w:t>2</w:t>
      </w:r>
      <w:r w:rsidRPr="006B3560">
        <w:t>）</w:t>
      </w:r>
      <w:r w:rsidRPr="006B3560">
        <w:t>Action</w:t>
      </w:r>
      <w:r w:rsidRPr="006B3560">
        <w:t>（动作空间、离散化与可行域约束）</w:t>
      </w:r>
    </w:p>
    <w:p w14:paraId="541DDA7A" w14:textId="48B0450D" w:rsidR="006B3560" w:rsidRPr="006B3560" w:rsidRDefault="006B3560" w:rsidP="00C474C7">
      <w:pPr>
        <w:ind w:firstLine="480"/>
      </w:pPr>
      <w:r w:rsidRPr="006B3560">
        <w:t>政府在每期同时对所有省份的两类环节分配抽检批次，动作写为</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i,S,t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m:t>
            </m:r>
          </m:sub>
        </m:sSub>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I</m:t>
            </m:r>
          </m:sup>
        </m:sSubSup>
      </m:oMath>
      <w:r w:rsidRPr="006B3560">
        <w:t>，并要求</w:t>
      </w:r>
      <m:oMath>
        <m:sSub>
          <m:sSubPr>
            <m:ctrlPr>
              <w:rPr>
                <w:rFonts w:ascii="Cambria Math" w:hAnsi="Cambria Math"/>
              </w:rPr>
            </m:ctrlPr>
          </m:sSubPr>
          <m:e>
            <m:r>
              <w:rPr>
                <w:rFonts w:ascii="Cambria Math" w:hAnsi="Cambria Math"/>
              </w:rPr>
              <m:t>n</m:t>
            </m:r>
          </m:e>
          <m:sub>
            <m:r>
              <w:rPr>
                <w:rFonts w:ascii="Cambria Math" w:hAnsi="Cambria Math"/>
              </w:rPr>
              <m:t>i,e,t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≥0</m:t>
            </m:r>
          </m:sub>
        </m:sSub>
      </m:oMath>
      <w:r w:rsidRPr="006B3560">
        <w:t>。由于直接在连续或超大整数域上学习会导致动作空间不可控，实验实现中对每个</w:t>
      </w:r>
      <m:oMath>
        <m:d>
          <m:dPr>
            <m:ctrlPr>
              <w:rPr>
                <w:rFonts w:ascii="Cambria Math" w:hAnsi="Cambria Math"/>
                <w:i/>
              </w:rPr>
            </m:ctrlPr>
          </m:dPr>
          <m:e>
            <m:r>
              <w:rPr>
                <w:rFonts w:ascii="Cambria Math" w:hAnsi="Cambria Math"/>
              </w:rPr>
              <m:t>i,e</m:t>
            </m:r>
          </m:e>
        </m:d>
      </m:oMath>
      <w:r w:rsidRPr="006B3560">
        <w:t>预先设定一个有限离散档位集合</w:t>
      </w:r>
      <m:oMath>
        <m:sSub>
          <m:sSubPr>
            <m:ctrlPr>
              <w:rPr>
                <w:rFonts w:ascii="Cambria Math" w:hAnsi="Cambria Math"/>
              </w:rPr>
            </m:ctrlPr>
          </m:sSubPr>
          <m:e>
            <m:r>
              <m:rPr>
                <m:scr m:val="script"/>
              </m:rPr>
              <w:rPr>
                <w:rFonts w:ascii="Cambria Math" w:hAnsi="Cambria Math"/>
              </w:rPr>
              <m:t>N</m:t>
            </m:r>
          </m:e>
          <m:sub>
            <m:r>
              <w:rPr>
                <w:rFonts w:ascii="Cambria Math" w:hAnsi="Cambria Math"/>
              </w:rPr>
              <m:t>e</m:t>
            </m:r>
          </m:sub>
        </m:sSub>
        <m:r>
          <w:rPr>
            <w:rFonts w:ascii="Cambria Math" w:hAnsi="Cambria Math"/>
          </w:rPr>
          <m:t>={0,</m:t>
        </m:r>
        <m:sSubSup>
          <m:sSubSupPr>
            <m:ctrlPr>
              <w:rPr>
                <w:rFonts w:ascii="Cambria Math" w:hAnsi="Cambria Math"/>
              </w:rPr>
            </m:ctrlPr>
          </m:sSubSupPr>
          <m:e>
            <m:r>
              <w:rPr>
                <w:rFonts w:ascii="Cambria Math" w:hAnsi="Cambria Math"/>
              </w:rPr>
              <m:t>n</m:t>
            </m:r>
          </m:e>
          <m:sub>
            <m:r>
              <w:rPr>
                <w:rFonts w:ascii="Cambria Math" w:hAnsi="Cambria Math"/>
              </w:rPr>
              <m:t>e</m:t>
            </m:r>
          </m:sub>
          <m:sup>
            <m:d>
              <m:dPr>
                <m:ctrlPr>
                  <w:rPr>
                    <w:rFonts w:ascii="Cambria Math" w:hAnsi="Cambria Math"/>
                  </w:rPr>
                </m:ctrlPr>
              </m:dPr>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e</m:t>
            </m:r>
          </m:sub>
          <m:sup>
            <m:d>
              <m:dPr>
                <m:ctrlPr>
                  <w:rPr>
                    <w:rFonts w:ascii="Cambria Math" w:hAnsi="Cambria Math"/>
                  </w:rPr>
                </m:ctrlPr>
              </m:dPr>
              <m:e>
                <m:r>
                  <w:rPr>
                    <w:rFonts w:ascii="Cambria Math" w:hAnsi="Cambria Math"/>
                  </w:rPr>
                  <m:t>L</m:t>
                </m:r>
              </m:e>
            </m:d>
          </m:sup>
        </m:sSubSup>
        <m:r>
          <w:rPr>
            <w:rFonts w:ascii="Cambria Math" w:hAnsi="Cambria Math"/>
          </w:rPr>
          <m:t>}</m:t>
        </m:r>
      </m:oMath>
      <w:r w:rsidRPr="006B3560">
        <w:t>，</w:t>
      </w:r>
      <w:r w:rsidRPr="006B3560">
        <w:lastRenderedPageBreak/>
        <w:t>并令</w:t>
      </w:r>
      <m:oMath>
        <m:sSub>
          <m:sSubPr>
            <m:ctrlPr>
              <w:rPr>
                <w:rFonts w:ascii="Cambria Math" w:hAnsi="Cambria Math"/>
              </w:rPr>
            </m:ctrlPr>
          </m:sSubPr>
          <m:e>
            <m:r>
              <w:rPr>
                <w:rFonts w:ascii="Cambria Math" w:hAnsi="Cambria Math"/>
              </w:rPr>
              <m:t>n</m:t>
            </m:r>
          </m:e>
          <m:sub>
            <m:r>
              <w:rPr>
                <w:rFonts w:ascii="Cambria Math" w:hAnsi="Cambria Math"/>
              </w:rPr>
              <m:t>i,e,t</m:t>
            </m:r>
          </m:sub>
        </m:sSub>
        <m:r>
          <w:rPr>
            <w:rFonts w:ascii="Cambria Math" w:hAnsi="Cambria Math"/>
          </w:rPr>
          <m:t>∈</m:t>
        </m:r>
        <m:sSub>
          <m:sSubPr>
            <m:ctrlPr>
              <w:rPr>
                <w:rFonts w:ascii="Cambria Math" w:hAnsi="Cambria Math"/>
              </w:rPr>
            </m:ctrlPr>
          </m:sSubPr>
          <m:e>
            <m:r>
              <m:rPr>
                <m:scr m:val="script"/>
              </m:rPr>
              <w:rPr>
                <w:rFonts w:ascii="Cambria Math" w:hAnsi="Cambria Math"/>
              </w:rPr>
              <m:t>N</m:t>
            </m:r>
          </m:e>
          <m:sub>
            <m:r>
              <w:rPr>
                <w:rFonts w:ascii="Cambria Math" w:hAnsi="Cambria Math"/>
              </w:rPr>
              <m:t>e</m:t>
            </m:r>
          </m:sub>
        </m:sSub>
      </m:oMath>
      <w:r w:rsidRPr="006B3560">
        <w:t>。这样，动作成为一个由</w:t>
      </w:r>
      <m:oMath>
        <m:r>
          <w:rPr>
            <w:rFonts w:ascii="Cambria Math" w:hAnsi="Cambria Math"/>
          </w:rPr>
          <m:t>2I</m:t>
        </m:r>
      </m:oMath>
      <w:r w:rsidRPr="006B3560">
        <w:t>个离散分量组成的多维离散向量，能够与</w:t>
      </w:r>
      <w:r w:rsidRPr="006B3560">
        <w:t>DQN</w:t>
      </w:r>
      <w:r w:rsidRPr="006B3560">
        <w:t>的离散动作学习框架兼容</w:t>
      </w:r>
      <w:r w:rsidR="008B2D1A">
        <w:fldChar w:fldCharType="begin"/>
      </w:r>
      <w:r w:rsidR="008B2D1A">
        <w:instrText xml:space="preserve"> ADDIN ZOTERO_ITEM CSL_CITATION {"citationID":"7eWwsDg0","properties":{"formattedCitation":"(Mnih et al., 2015)","plainCitation":"(Mnih et al., 2015)","noteIndex":0},"citationItems":[{"id":384,"uris":["http://zotero.org/users/17227936/items/97AXAPTT"],"itemData":{"id":384,"type":"article-journal","container-title":"Nature","DOI":"10.1038/nature14236","ISSN":"0028-0836, 1476-4687","issue":"7540","journalAbbreviation":"Nature","language":"en","page":"529-533","source":"DOI.org (Crossref)","title":"Human-level control through deep reinforcement learning","volume":"518","author":[{"family":"Mnih","given":"Volodymyr"},{"family":"Kavukcuoglu","given":"Koray"},{"family":"Silver","given":"David"},{"family":"Rusu","given":"Andrei A."},{"family":"Veness","given":"Joel"},{"family":"Bellemare","given":"Marc G."},{"family":"Graves","given":"Alex"},{"family":"Riedmiller","given":"Martin"},{"family":"Fidjeland","given":"Andreas K."},{"family":"Ostrovski","given":"Georg"},{"family":"Petersen","given":"Stig"},{"family":"Beattie","given":"Charles"},{"family":"Sadik","given":"Amir"},{"family":"Antonoglou","given":"Ioannis"},{"family":"King","given":"Helen"},{"family":"Kumaran","given":"Dharshan"},{"family":"Wierstra","given":"Daan"},{"family":"Legg","given":"Shane"},{"family":"Hassabis","given":"Demis"}],"issued":{"date-parts":[["2015",2,26]]}}}],"schema":"https://github.com/citation-style-language/schema/raw/master/csl-citation.json"} </w:instrText>
      </w:r>
      <w:r w:rsidR="008B2D1A">
        <w:fldChar w:fldCharType="separate"/>
      </w:r>
      <w:r w:rsidR="00E2692B" w:rsidRPr="00E2692B">
        <w:rPr>
          <w:rFonts w:cs="Times New Roman"/>
        </w:rPr>
        <w:t>(Mnih et al., 2015)</w:t>
      </w:r>
      <w:r w:rsidR="008B2D1A">
        <w:fldChar w:fldCharType="end"/>
      </w:r>
      <w:r w:rsidRPr="006B3560">
        <w:t>。为确保策略在每期均满足监管制度下的刚性资源约束，定义逐期可行动作集合</w:t>
      </w:r>
    </w:p>
    <w:p w14:paraId="18535AD5" w14:textId="42F4B0F4" w:rsidR="006B3560" w:rsidRPr="006B3560" w:rsidRDefault="006B3560" w:rsidP="006B3560">
      <w:pPr>
        <w:ind w:firstLine="480"/>
      </w:pPr>
      <m:oMathPara>
        <m:oMath>
          <m:r>
            <m:rPr>
              <m:scr m:val="script"/>
            </m:rP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)={a:</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I</m:t>
              </m:r>
            </m:sup>
            <m:e>
              <m:nary>
                <m:naryPr>
                  <m:chr m:val="∑"/>
                  <m:limLoc m:val="undOvr"/>
                  <m:grow m:val="1"/>
                  <m:supHide m:val="1"/>
                  <m:ctrlPr>
                    <w:rPr>
                      <w:rFonts w:ascii="Cambria Math" w:hAnsi="Cambria Math"/>
                    </w:rPr>
                  </m:ctrlPr>
                </m:naryPr>
                <m:sub>
                  <m:r>
                    <w:rPr>
                      <w:rFonts w:ascii="Cambria Math" w:hAnsi="Cambria Math"/>
                    </w:rPr>
                    <m:t>e∈</m:t>
                  </m:r>
                  <m:d>
                    <m:dPr>
                      <m:begChr m:val="{"/>
                      <m:endChr m:val="}"/>
                      <m:ctrlPr>
                        <w:rPr>
                          <w:rFonts w:ascii="Cambria Math" w:hAnsi="Cambria Math"/>
                          <w:i/>
                        </w:rPr>
                      </m:ctrlPr>
                    </m:dPr>
                    <m:e>
                      <m:r>
                        <w:rPr>
                          <w:rFonts w:ascii="Cambria Math" w:hAnsi="Cambria Math"/>
                        </w:rPr>
                        <m:t>S,M</m:t>
                      </m:r>
                    </m:e>
                  </m:d>
                </m:sub>
                <m:sup/>
                <m:e>
                  <m:sSub>
                    <m:sSubPr>
                      <m:ctrlPr>
                        <w:rPr>
                          <w:rFonts w:ascii="Cambria Math" w:hAnsi="Cambria Math"/>
                        </w:rPr>
                      </m:ctrlPr>
                    </m:sSubPr>
                    <m:e>
                      <m:r>
                        <w:rPr>
                          <w:rFonts w:ascii="Cambria Math" w:hAnsi="Cambria Math"/>
                        </w:rPr>
                        <m:t>c</m:t>
                      </m:r>
                    </m:e>
                    <m:sub>
                      <m:r>
                        <w:rPr>
                          <w:rFonts w:ascii="Cambria Math" w:hAnsi="Cambria Math"/>
                        </w:rPr>
                        <m:t>e</m:t>
                      </m:r>
                    </m:sub>
                  </m:sSub>
                </m:e>
              </m:nary>
            </m:e>
          </m:nary>
          <m:sSub>
            <m:sSubPr>
              <m:ctrlPr>
                <w:rPr>
                  <w:rFonts w:ascii="Cambria Math" w:hAnsi="Cambria Math"/>
                </w:rPr>
              </m:ctrlPr>
            </m:sSubPr>
            <m:e>
              <m:r>
                <w:rPr>
                  <w:rFonts w:ascii="Cambria Math" w:hAnsi="Cambria Math"/>
                </w:rPr>
                <m:t>n</m:t>
              </m:r>
            </m:e>
            <m:sub>
              <m:r>
                <w:rPr>
                  <w:rFonts w:ascii="Cambria Math" w:hAnsi="Cambria Math"/>
                </w:rPr>
                <m:t>i,e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 xml:space="preserve">, </m:t>
          </m:r>
          <m:r>
            <m:rPr>
              <m:nor/>
            </m:rPr>
            <w:rPr>
              <w:rFonts w:ascii="Cambria Math" w:hint="eastAsia"/>
            </w:rPr>
            <m:t>0</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i,e</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i,e</m:t>
              </m:r>
            </m:sub>
          </m:sSub>
          <m:r>
            <w:rPr>
              <w:rFonts w:ascii="Cambria Math" w:hAnsi="Cambria Math"/>
            </w:rPr>
            <m:t>∈</m:t>
          </m:r>
          <m:sSub>
            <m:sSubPr>
              <m:ctrlPr>
                <w:rPr>
                  <w:rFonts w:ascii="Cambria Math" w:hAnsi="Cambria Math"/>
                </w:rPr>
              </m:ctrlPr>
            </m:sSubPr>
            <m:e>
              <m:r>
                <m:rPr>
                  <m:scr m:val="script"/>
                </m:rPr>
                <w:rPr>
                  <w:rFonts w:ascii="Cambria Math" w:hAnsi="Cambria Math"/>
                </w:rPr>
                <m:t>N</m:t>
              </m:r>
            </m:e>
            <m:sub>
              <m:r>
                <w:rPr>
                  <w:rFonts w:ascii="Cambria Math" w:hAnsi="Cambria Math"/>
                </w:rPr>
                <m:t>e</m:t>
              </m:r>
            </m:sub>
          </m:sSub>
          <m:r>
            <w:rPr>
              <w:rFonts w:ascii="Cambria Math" w:hAnsi="Cambria Math"/>
            </w:rPr>
            <m:t>},</m:t>
          </m:r>
        </m:oMath>
      </m:oMathPara>
    </w:p>
    <w:p w14:paraId="50D04F0E" w14:textId="2347BFC5" w:rsidR="006B3560" w:rsidRPr="006B3560" w:rsidRDefault="006B3560" w:rsidP="006B3560">
      <w:pPr>
        <w:ind w:firstLine="480"/>
      </w:pPr>
      <w:r w:rsidRPr="006B3560">
        <w:t>其中</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6B3560">
        <w:t>为当期预算上限，</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i,e,t</m:t>
            </m:r>
          </m:sub>
        </m:sSub>
      </m:oMath>
      <w:r w:rsidRPr="006B3560">
        <w:t>为当期产能</w:t>
      </w:r>
      <w:r w:rsidRPr="006B3560">
        <w:t>/</w:t>
      </w:r>
      <w:r w:rsidRPr="006B3560">
        <w:t>制度上限。实现上采用动作掩码（</w:t>
      </w:r>
      <w:r w:rsidRPr="006B3560">
        <w:t>actionmasking</w:t>
      </w:r>
      <w:r w:rsidRPr="006B3560">
        <w:t>）：在网络输出候选动作的价值后，对不满足预算或上限约束的动作赋值为</w:t>
      </w:r>
      <m:oMath>
        <m:r>
          <w:rPr>
            <w:rFonts w:ascii="Cambria Math" w:hAnsi="Cambria Math"/>
          </w:rPr>
          <m:t>-</m:t>
        </m:r>
        <m:r>
          <m:rPr>
            <m:sty m:val="p"/>
          </m:rPr>
          <w:rPr>
            <w:rFonts w:ascii="Cambria Math" w:hAnsi="Cambria Math"/>
          </w:rPr>
          <m:t>∞</m:t>
        </m:r>
      </m:oMath>
      <w:r w:rsidRPr="006B3560">
        <w:t>（或极小常数），使其在</w:t>
      </w:r>
      <m:oMath>
        <m:r>
          <w:rPr>
            <w:rFonts w:ascii="Cambria Math" w:hAnsi="Cambria Math"/>
          </w:rPr>
          <m:t>ε</m:t>
        </m:r>
      </m:oMath>
      <w:r w:rsidRPr="006B3560">
        <w:t>-greedy</w:t>
      </w:r>
      <w:r w:rsidRPr="006B3560">
        <w:t>探索与贪婪选择中永不被选取，从而保证学习过程始终在可行域内展开，避免软惩罚带来的违规策略与不可部署问题</w:t>
      </w:r>
      <w:r w:rsidR="007F3A92">
        <w:fldChar w:fldCharType="begin"/>
      </w:r>
      <w:r w:rsidR="007F3A92">
        <w:instrText xml:space="preserve"> ADDIN ZOTERO_ITEM CSL_CITATION {"citationID":"Vzaexpdi","properties":{"formattedCitation":"(Boute et al., 2022)","plainCitation":"(Boute et al., 2022)","noteIndex":0},"citationItems":[{"id":371,"uris":["http://zotero.org/users/17227936/items/RKUUAG39"],"itemData":{"id":371,"type":"article-journal","abstract":"Deep reinforcement learning (DRL) has shown great potential for sequential decision-making, including early developments in inventory control. Yet, the abundance of choices that come with designing a DRL algorithm, combined with the intense computational effort to tune and evaluate each choice, may hamper their application in practice. This paper describes the key design choices of DRL algorithms to facilitate their implementation in inventory control. We also shed light on possible future research avenues that may elevate the current state-of-the-art of DRL applications for inventory control and broaden their scope by leveraging and improving on the structural policy insights within inventory research. Our discussion and roadmap may also spur future research in other domains within operations management.","container-title":"European Journal of Operational Research","DOI":"10.1016/j.ejor.2021.07.016","ISSN":"03772217","issue":"2","journalAbbreviation":"European Journal of Operational Research","language":"en","page":"401-412","source":"DOI.org (Crossref)","title":"Deep reinforcement learning for inventory control: A roadmap","title-short":"Deep reinforcement learning for inventory control","volume":"298","author":[{"family":"Boute","given":"Robert N."},{"family":"Gijsbrechts","given":"Joren"},{"family":"Van Jaarsveld","given":"Willem"},{"family":"Vanvuchelen","given":"Nathalie"}],"issued":{"date-parts":[["2022",4]]}}}],"schema":"https://github.com/citation-style-language/schema/raw/master/csl-citation.json"} </w:instrText>
      </w:r>
      <w:r w:rsidR="007F3A92">
        <w:fldChar w:fldCharType="separate"/>
      </w:r>
      <w:r w:rsidR="00E2692B" w:rsidRPr="00E2692B">
        <w:rPr>
          <w:rFonts w:cs="Times New Roman"/>
        </w:rPr>
        <w:t>(Boute et al., 2022)</w:t>
      </w:r>
      <w:r w:rsidR="007F3A92">
        <w:fldChar w:fldCharType="end"/>
      </w:r>
      <w:r w:rsidRPr="006B3560">
        <w:t>。</w:t>
      </w:r>
    </w:p>
    <w:p w14:paraId="69F1B8C6" w14:textId="520858D7" w:rsidR="005D73C8" w:rsidRDefault="005D73C8" w:rsidP="005D73C8">
      <w:pPr>
        <w:ind w:firstLine="480"/>
      </w:pPr>
      <w:r w:rsidRPr="005D73C8">
        <w:t>（</w:t>
      </w:r>
      <w:r w:rsidRPr="005D73C8">
        <w:t>3</w:t>
      </w:r>
      <w:r w:rsidRPr="005D73C8">
        <w:t>）</w:t>
      </w:r>
      <w:r w:rsidRPr="005D73C8">
        <w:t>Reward</w:t>
      </w:r>
      <w:r w:rsidRPr="005D73C8">
        <w:t>（单期回报</w:t>
      </w:r>
      <w:r w:rsidR="00834A0C">
        <w:rPr>
          <w:rFonts w:hint="eastAsia"/>
        </w:rPr>
        <w:t>函数</w:t>
      </w:r>
      <w:r w:rsidRPr="005D73C8">
        <w:t>）</w:t>
      </w:r>
    </w:p>
    <w:p w14:paraId="77F4706F" w14:textId="5B424269" w:rsidR="005D73C8" w:rsidRPr="005D73C8" w:rsidRDefault="005D73C8" w:rsidP="005D73C8">
      <w:pPr>
        <w:ind w:firstLine="480"/>
      </w:pPr>
      <w:r w:rsidRPr="005D73C8">
        <w:t>单期回报以最小化暴露风险为主导，并把监管成本、处置</w:t>
      </w:r>
      <w:r w:rsidRPr="005D73C8">
        <w:t>/</w:t>
      </w:r>
      <w:r w:rsidRPr="005D73C8">
        <w:t>召回后果与信息价值统一到同一目标中。令人口权重</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Po</m:t>
            </m:r>
            <m:sSub>
              <m:sSubPr>
                <m:ctrlPr>
                  <w:rPr>
                    <w:rFonts w:ascii="Cambria Math" w:hAnsi="Cambria Math"/>
                  </w:rPr>
                </m:ctrlPr>
              </m:sSubPr>
              <m:e>
                <m:r>
                  <w:rPr>
                    <w:rFonts w:ascii="Cambria Math" w:hAnsi="Cambria Math"/>
                  </w:rPr>
                  <m:t>p</m:t>
                </m:r>
              </m:e>
              <m:sub>
                <m:r>
                  <w:rPr>
                    <w:rFonts w:ascii="Cambria Math" w:hAnsi="Cambria Math"/>
                  </w:rPr>
                  <m:t>i</m:t>
                </m:r>
              </m:sub>
            </m:sSub>
            <m:ctrlPr>
              <w:rPr>
                <w:rFonts w:ascii="Cambria Math" w:hAnsi="Cambria Math"/>
                <w:i/>
              </w:rPr>
            </m:ctrlPr>
          </m:num>
          <m:den>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I</m:t>
                </m:r>
              </m:sup>
              <m:e>
                <m:r>
                  <w:rPr>
                    <w:rFonts w:ascii="Cambria Math" w:hAnsi="Cambria Math"/>
                  </w:rPr>
                  <m:t>Po</m:t>
                </m:r>
              </m:e>
            </m:nary>
            <m:sSub>
              <m:sSubPr>
                <m:ctrlPr>
                  <w:rPr>
                    <w:rFonts w:ascii="Cambria Math" w:hAnsi="Cambria Math"/>
                  </w:rPr>
                </m:ctrlPr>
              </m:sSubPr>
              <m:e>
                <m:r>
                  <w:rPr>
                    <w:rFonts w:ascii="Cambria Math" w:hAnsi="Cambria Math"/>
                  </w:rPr>
                  <m:t>p</m:t>
                </m:r>
              </m:e>
              <m:sub>
                <m:r>
                  <w:rPr>
                    <w:rFonts w:ascii="Cambria Math" w:hAnsi="Cambria Math"/>
                  </w:rPr>
                  <m:t>k</m:t>
                </m:r>
              </m:sub>
            </m:sSub>
          </m:den>
        </m:f>
      </m:oMath>
      <w:r w:rsidRPr="005D73C8">
        <w:t>，并用</w:t>
      </w:r>
      <m:oMath>
        <m:r>
          <w:rPr>
            <w:rFonts w:ascii="Cambria Math" w:hAnsi="Cambria Math"/>
          </w:rPr>
          <m:t>g(MO</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;T)</m:t>
        </m:r>
      </m:oMath>
      <w:r w:rsidRPr="005D73C8">
        <w:t>表示</w:t>
      </w:r>
      <w:r w:rsidRPr="005D73C8">
        <w:t>MOE</w:t>
      </w:r>
      <w:r w:rsidRPr="005D73C8">
        <w:t>映射后的风险惩罚强度（例如阈值缺口或</w:t>
      </w:r>
      <m:oMath>
        <m:r>
          <m:rPr>
            <m:sty m:val="p"/>
          </m:rPr>
          <w:rPr>
            <w:rFonts w:ascii="Cambria Math" w:hAnsi="Cambria Math"/>
          </w:rPr>
          <m:t>Pr</m:t>
        </m:r>
        <m:r>
          <w:rPr>
            <w:rFonts w:ascii="Cambria Math" w:hAnsi="Cambria Math"/>
          </w:rPr>
          <m:t>⁡(MO</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&lt;T)</m:t>
        </m:r>
      </m:oMath>
      <w:r w:rsidRPr="005D73C8">
        <w:t>），则风险项写为</w:t>
      </w:r>
      <m:oMath>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g(MO</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;T)</m:t>
        </m:r>
      </m:oMath>
      <w:r w:rsidRPr="005D73C8">
        <w:t>。抽检成本项按两环节单位成本计入</w:t>
      </w:r>
      <m:oMath>
        <m:nary>
          <m:naryPr>
            <m:chr m:val="∑"/>
            <m:limLoc m:val="subSup"/>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c</m:t>
            </m:r>
          </m:e>
          <m:sub>
            <m:r>
              <w:rPr>
                <w:rFonts w:ascii="Cambria Math" w:hAnsi="Cambria Math"/>
              </w:rPr>
              <m:t>S</m:t>
            </m:r>
          </m:sub>
        </m:sSub>
        <m:sSub>
          <m:sSubPr>
            <m:ctrlPr>
              <w:rPr>
                <w:rFonts w:ascii="Cambria Math" w:hAnsi="Cambria Math"/>
              </w:rPr>
            </m:ctrlPr>
          </m:sSubPr>
          <m:e>
            <m:r>
              <w:rPr>
                <w:rFonts w:ascii="Cambria Math" w:hAnsi="Cambria Math"/>
              </w:rPr>
              <m:t>n</m:t>
            </m:r>
          </m:e>
          <m:sub>
            <m:r>
              <w:rPr>
                <w:rFonts w:ascii="Cambria Math" w:hAnsi="Cambria Math"/>
              </w:rPr>
              <m:t>i,S,t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sSub>
          <m:sSubPr>
            <m:ctrlPr>
              <w:rPr>
                <w:rFonts w:ascii="Cambria Math" w:hAnsi="Cambria Math"/>
              </w:rPr>
            </m:ctrlPr>
          </m:sSubPr>
          <m:e>
            <m:r>
              <w:rPr>
                <w:rFonts w:ascii="Cambria Math" w:hAnsi="Cambria Math"/>
              </w:rPr>
              <m:t>n</m:t>
            </m:r>
          </m:e>
          <m:sub>
            <m:r>
              <w:rPr>
                <w:rFonts w:ascii="Cambria Math" w:hAnsi="Cambria Math"/>
              </w:rPr>
              <m:t>i,M,t</m:t>
            </m:r>
          </m:sub>
        </m:sSub>
        <m:r>
          <w:rPr>
            <w:rFonts w:ascii="Cambria Math" w:hAnsi="Cambria Math"/>
          </w:rPr>
          <m:t>)</m:t>
        </m:r>
      </m:oMath>
      <w:r w:rsidRPr="005D73C8">
        <w:t>。处置</w:t>
      </w:r>
      <w:r w:rsidRPr="005D73C8">
        <w:t>/</w:t>
      </w:r>
      <w:r w:rsidRPr="005D73C8">
        <w:t>召回损失以期望形式进入回报，用以</w:t>
      </w:r>
      <w:r w:rsidR="00423396">
        <w:rPr>
          <w:rFonts w:hint="eastAsia"/>
        </w:rPr>
        <w:t>说明</w:t>
      </w:r>
      <w:r w:rsidR="00D0257B">
        <w:rPr>
          <w:rFonts w:hint="eastAsia"/>
        </w:rPr>
        <w:t>“</w:t>
      </w:r>
      <w:r w:rsidRPr="005D73C8">
        <w:t>下游检出触发处置</w:t>
      </w:r>
      <w:r w:rsidRPr="005D73C8">
        <w:t>/</w:t>
      </w:r>
      <w:r w:rsidRPr="005D73C8">
        <w:t>召回并将损失部分向上游归因</w:t>
      </w:r>
      <w:r w:rsidR="00D0257B">
        <w:rPr>
          <w:rFonts w:hint="eastAsia"/>
        </w:rPr>
        <w:t>”</w:t>
      </w:r>
      <w:r w:rsidRPr="005D73C8">
        <w:t>：</w:t>
      </w:r>
      <m:oMath>
        <m:nary>
          <m:naryPr>
            <m:chr m:val="∑"/>
            <m:limLoc m:val="subSup"/>
            <m:grow m:val="1"/>
            <m:supHide m:val="1"/>
            <m:ctrlPr>
              <w:rPr>
                <w:rFonts w:ascii="Cambria Math" w:hAnsi="Cambria Math"/>
              </w:rPr>
            </m:ctrlPr>
          </m:naryPr>
          <m:sub>
            <m:r>
              <w:rPr>
                <w:rFonts w:ascii="Cambria Math" w:hAnsi="Cambria Math"/>
              </w:rPr>
              <m:t>i</m:t>
            </m:r>
          </m:sub>
          <m:sup/>
          <m:e>
            <m:r>
              <m:rPr>
                <m:scr m:val="double-struck"/>
                <m:sty m:val="p"/>
              </m:rPr>
              <w:rPr>
                <w:rFonts w:ascii="Cambria Math" w:hAnsi="Cambria Math"/>
              </w:rPr>
              <m:t>E</m:t>
            </m:r>
            <m:r>
              <w:rPr>
                <w:rFonts w:ascii="Cambria Math" w:hAnsi="Cambria Math"/>
              </w:rPr>
              <m:t>[</m:t>
            </m:r>
          </m:e>
        </m:nary>
        <m:sSubSup>
          <m:sSubSupPr>
            <m:ctrlPr>
              <w:rPr>
                <w:rFonts w:ascii="Cambria Math" w:hAnsi="Cambria Math"/>
              </w:rPr>
            </m:ctrlPr>
          </m:sSubSupPr>
          <m:e>
            <m:r>
              <w:rPr>
                <w:rFonts w:ascii="Cambria Math" w:hAnsi="Cambria Math"/>
              </w:rPr>
              <m:t>L</m:t>
            </m:r>
          </m:e>
          <m:sub>
            <m:r>
              <w:rPr>
                <w:rFonts w:ascii="Cambria Math" w:hAnsi="Cambria Math"/>
              </w:rPr>
              <m:t>i,t</m:t>
            </m:r>
          </m:sub>
          <m:sup>
            <m:r>
              <w:rPr>
                <w:rFonts w:ascii="Cambria Math" w:hAnsi="Cambria Math"/>
              </w:rPr>
              <m:t>recall</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oMath>
      <w:r w:rsidRPr="005D73C8">
        <w:t>，其中</w:t>
      </w:r>
      <m:oMath>
        <m:sSubSup>
          <m:sSubSupPr>
            <m:ctrlPr>
              <w:rPr>
                <w:rFonts w:ascii="Cambria Math" w:hAnsi="Cambria Math"/>
              </w:rPr>
            </m:ctrlPr>
          </m:sSubSupPr>
          <m:e>
            <m:r>
              <w:rPr>
                <w:rFonts w:ascii="Cambria Math" w:hAnsi="Cambria Math"/>
              </w:rPr>
              <m:t>L</m:t>
            </m:r>
          </m:e>
          <m:sub>
            <m:r>
              <w:rPr>
                <w:rFonts w:ascii="Cambria Math" w:hAnsi="Cambria Math"/>
              </w:rPr>
              <m:t>i,t</m:t>
            </m:r>
          </m:sub>
          <m:sup>
            <m:r>
              <w:rPr>
                <w:rFonts w:ascii="Cambria Math" w:hAnsi="Cambria Math"/>
              </w:rPr>
              <m:t>recall</m:t>
            </m:r>
          </m:sup>
        </m:sSubSup>
      </m:oMath>
      <w:r w:rsidRPr="005D73C8">
        <w:t>可由检出概率（由信念与当期抽检强度决定）与单位处置成本</w:t>
      </w:r>
      <w:r w:rsidRPr="005D73C8">
        <w:t>/</w:t>
      </w:r>
      <w:r w:rsidRPr="005D73C8">
        <w:t>惩罚参数化得到，确保在数据结构不足以逐笔追溯企业时仍能以省域代表性后果闭合激励链条</w:t>
      </w:r>
      <w:r w:rsidR="002F4727">
        <w:fldChar w:fldCharType="begin"/>
      </w:r>
      <w:r w:rsidR="002F4727">
        <w:instrText xml:space="preserve"> ADDIN ZOTERO_ITEM CSL_CITATION {"citationID":"dkbBi2CT","properties":{"formattedCitation":"(Starbird, 2005)","plainCitation":"(Starbird, 2005)","noteIndex":0},"citationItems":[{"id":393,"uris":["http://zotero.org/users/17227936/items/HWQINFPF"],"itemData":{"id":393,"type":"article-journal","abstract":"Abstract\n            Buyers have imperfect information about the food safety efforts exerted by suppliers. To gather information about safety, buyers often employ sampling inspection. Sampling inspection e</w:instrText>
      </w:r>
      <w:r w:rsidR="002F4727">
        <w:rPr>
          <w:rFonts w:hint="eastAsia"/>
        </w:rPr>
        <w:instrText>xhibits sampling error so some unsafe product passes inspection and some safe product does not. This uncertainty influences buyer and supplier behavior. In this article, I use a principal</w:instrText>
      </w:r>
      <w:r w:rsidR="002F4727">
        <w:rPr>
          <w:rFonts w:hint="eastAsia"/>
        </w:rPr>
        <w:instrText>‐</w:instrText>
      </w:r>
      <w:r w:rsidR="002F4727">
        <w:rPr>
          <w:rFonts w:hint="eastAsia"/>
        </w:rPr>
        <w:instrText>agent model to examine how sampling inspection policies influence f</w:instrText>
      </w:r>
      <w:r w:rsidR="002F4727">
        <w:instrText xml:space="preserve">ood safety. I use the model to examine the sampling inspection policies in the 1996 Pathogen Reduction/Hazard Analysis Critical Control Point Act. I conclude that the regulation of sampling inspection procedures is an effective tool for policy makers who wish to improve food safety.","container-title":"American Journal of Agricultural Economics","DOI":"10.1111/j.0002-9092.2005.00698.x","ISSN":"0002-9092, 1467-8276","issue":"1","journalAbbreviation":"American J Agri Economics","language":"en","license":"http://onlinelibrary.wiley.com/termsAndConditions#vor","page":"15-27","source":"DOI.org (Crossref)","title":"Moral Hazard, Inspection Policy, and Food Safety","volume":"87","author":[{"family":"Starbird","given":"S. Andrew"}],"issued":{"date-parts":[["2005",2]]}}}],"schema":"https://github.com/citation-style-language/schema/raw/master/csl-citation.json"} </w:instrText>
      </w:r>
      <w:r w:rsidR="002F4727">
        <w:fldChar w:fldCharType="separate"/>
      </w:r>
      <w:r w:rsidR="00E2692B" w:rsidRPr="00E2692B">
        <w:rPr>
          <w:rFonts w:cs="Times New Roman"/>
        </w:rPr>
        <w:t>(Starbird, 2005)</w:t>
      </w:r>
      <w:r w:rsidR="002F4727">
        <w:fldChar w:fldCharType="end"/>
      </w:r>
      <w:r w:rsidRPr="005D73C8">
        <w:t>。同时，为体现抽检的信息获取价值，引入信息增益项，以信念方差缩减刻画抽检后不确定性下降：</w:t>
      </w:r>
      <m:oMath>
        <m:r>
          <m:rPr>
            <m:sty m:val="p"/>
          </m:rPr>
          <w:rPr>
            <w:rFonts w:ascii="Cambria Math" w:hAnsi="Cambria Math"/>
          </w:rPr>
          <m:t>Δ</m:t>
        </m:r>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i,e</m:t>
            </m:r>
          </m:sub>
          <m:sup/>
          <m:e>
            <m:r>
              <w:rPr>
                <w:rFonts w:ascii="Cambria Math" w:hAnsi="Cambria Math"/>
              </w:rPr>
              <m:t>(Var(</m:t>
            </m:r>
          </m:e>
        </m:nary>
        <m:sSub>
          <m:sSubPr>
            <m:ctrlPr>
              <w:rPr>
                <w:rFonts w:ascii="Cambria Math" w:hAnsi="Cambria Math"/>
              </w:rPr>
            </m:ctrlPr>
          </m:sSubPr>
          <m:e>
            <m:r>
              <w:rPr>
                <w:rFonts w:ascii="Cambria Math" w:hAnsi="Cambria Math"/>
              </w:rPr>
              <m:t>θ</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i,e,t</m:t>
            </m:r>
          </m:sub>
        </m:sSub>
        <m:r>
          <w:rPr>
            <w:rFonts w:ascii="Cambria Math" w:hAnsi="Cambria Math"/>
          </w:rPr>
          <m:t>)-</m:t>
        </m:r>
        <m:r>
          <m:rPr>
            <m:scr m:val="double-struck"/>
            <m:sty m:val="p"/>
          </m:rPr>
          <w:rPr>
            <w:rFonts w:ascii="Cambria Math" w:hAnsi="Cambria Math"/>
          </w:rPr>
          <m:t>E</m:t>
        </m:r>
        <m:r>
          <w:rPr>
            <w:rFonts w:ascii="Cambria Math" w:hAnsi="Cambria Math"/>
          </w:rPr>
          <m:t>[Var(</m:t>
        </m:r>
        <m:sSub>
          <m:sSubPr>
            <m:ctrlPr>
              <w:rPr>
                <w:rFonts w:ascii="Cambria Math" w:hAnsi="Cambria Math"/>
              </w:rPr>
            </m:ctrlPr>
          </m:sSubPr>
          <m:e>
            <m:r>
              <w:rPr>
                <w:rFonts w:ascii="Cambria Math" w:hAnsi="Cambria Math"/>
              </w:rPr>
              <m:t>θ</m:t>
            </m:r>
          </m:e>
          <m:sub>
            <m:r>
              <w:rPr>
                <w:rFonts w:ascii="Cambria Math" w:hAnsi="Cambria Math"/>
              </w:rPr>
              <m:t>i,e,t+1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i,e,t+1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oMath>
      <w:r w:rsidRPr="005D73C8">
        <w:t>。综合后，采用回报最大化的形式写为</w:t>
      </w:r>
    </w:p>
    <w:p w14:paraId="778A40B1" w14:textId="699D9FDC" w:rsidR="005D73C8" w:rsidRPr="005D73C8" w:rsidRDefault="00000000" w:rsidP="005D73C8">
      <w:pPr>
        <w:ind w:firstLine="480"/>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I</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nor/>
            </m:rPr>
            <m:t> </m:t>
          </m:r>
          <m:r>
            <w:rPr>
              <w:rFonts w:ascii="Cambria Math" w:hAnsi="Cambria Math"/>
            </w:rPr>
            <m:t>g(MO</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;T)-</m:t>
          </m:r>
          <m:sSub>
            <m:sSubPr>
              <m:ctrlPr>
                <w:rPr>
                  <w:rFonts w:ascii="Cambria Math" w:hAnsi="Cambria Math"/>
                </w:rPr>
              </m:ctrlPr>
            </m:sSubPr>
            <m:e>
              <m:r>
                <w:rPr>
                  <w:rFonts w:ascii="Cambria Math" w:hAnsi="Cambria Math"/>
                </w:rPr>
                <m:t>λ</m:t>
              </m:r>
            </m:e>
            <m:sub>
              <m:r>
                <w:rPr>
                  <w:rFonts w:ascii="Cambria Math" w:hAnsi="Cambria Math"/>
                </w:rPr>
                <m:t>1</m:t>
              </m:r>
            </m:sub>
          </m:sSub>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I</m:t>
              </m:r>
            </m:sup>
            <m:e>
              <m:r>
                <w:rPr>
                  <w:rFonts w:ascii="Cambria Math" w:hAnsi="Cambria Math"/>
                </w:rPr>
                <m:t>(</m:t>
              </m:r>
            </m:e>
          </m:nary>
          <m:sSub>
            <m:sSubPr>
              <m:ctrlPr>
                <w:rPr>
                  <w:rFonts w:ascii="Cambria Math" w:hAnsi="Cambria Math"/>
                </w:rPr>
              </m:ctrlPr>
            </m:sSubPr>
            <m:e>
              <m:r>
                <w:rPr>
                  <w:rFonts w:ascii="Cambria Math" w:hAnsi="Cambria Math"/>
                </w:rPr>
                <m:t>c</m:t>
              </m:r>
            </m:e>
            <m:sub>
              <m:r>
                <w:rPr>
                  <w:rFonts w:ascii="Cambria Math" w:hAnsi="Cambria Math"/>
                </w:rPr>
                <m:t>S</m:t>
              </m:r>
            </m:sub>
          </m:sSub>
          <m:sSub>
            <m:sSubPr>
              <m:ctrlPr>
                <w:rPr>
                  <w:rFonts w:ascii="Cambria Math" w:hAnsi="Cambria Math"/>
                </w:rPr>
              </m:ctrlPr>
            </m:sSubPr>
            <m:e>
              <m:r>
                <w:rPr>
                  <w:rFonts w:ascii="Cambria Math" w:hAnsi="Cambria Math"/>
                </w:rPr>
                <m:t>n</m:t>
              </m:r>
            </m:e>
            <m:sub>
              <m:r>
                <w:rPr>
                  <w:rFonts w:ascii="Cambria Math" w:hAnsi="Cambria Math"/>
                </w:rPr>
                <m:t>i,S,t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sSub>
            <m:sSubPr>
              <m:ctrlPr>
                <w:rPr>
                  <w:rFonts w:ascii="Cambria Math" w:hAnsi="Cambria Math"/>
                </w:rPr>
              </m:ctrlPr>
            </m:sSubPr>
            <m:e>
              <m:r>
                <w:rPr>
                  <w:rFonts w:ascii="Cambria Math" w:hAnsi="Cambria Math"/>
                </w:rPr>
                <m:t>n</m:t>
              </m:r>
            </m:e>
            <m:sub>
              <m:r>
                <w:rPr>
                  <w:rFonts w:ascii="Cambria Math" w:hAnsi="Cambria Math"/>
                </w:rPr>
                <m:t>i,M,t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I</m:t>
              </m:r>
            </m:sup>
            <m:e>
              <m:r>
                <m:rPr>
                  <m:scr m:val="double-struck"/>
                  <m:sty m:val="p"/>
                </m:rPr>
                <w:rPr>
                  <w:rFonts w:ascii="Cambria Math" w:hAnsi="Cambria Math"/>
                </w:rPr>
                <m:t>E</m:t>
              </m:r>
              <m:r>
                <m:rPr>
                  <m:nor/>
                </m:rPr>
                <m:t> </m:t>
              </m:r>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i,t</m:t>
                  </m:r>
                </m:sub>
                <m:sup>
                  <m:r>
                    <w:rPr>
                      <w:rFonts w:ascii="Cambria Math" w:hAnsi="Cambria Math"/>
                    </w:rPr>
                    <m:t>recall</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Δ</m:t>
          </m:r>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oMath>
      </m:oMathPara>
    </w:p>
    <w:p w14:paraId="0DE0B593" w14:textId="2BEE421B" w:rsidR="005D73C8" w:rsidRPr="005D73C8" w:rsidRDefault="005D73C8" w:rsidP="005D73C8">
      <w:pPr>
        <w:ind w:firstLine="480"/>
      </w:pPr>
      <w:r w:rsidRPr="005D73C8">
        <w:t>其中</w:t>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oMath>
      <w:r w:rsidRPr="005D73C8">
        <w:t>为权衡系数，分别控制成本敏感度、信息价值权重与处置后果权重。该回报结构确保模型不会仅追求</w:t>
      </w:r>
      <w:r w:rsidR="001250BC">
        <w:rPr>
          <w:rFonts w:hint="eastAsia"/>
        </w:rPr>
        <w:t>“</w:t>
      </w:r>
      <w:r w:rsidRPr="005D73C8">
        <w:t>检出率最大化</w:t>
      </w:r>
      <w:r w:rsidR="001250BC">
        <w:rPr>
          <w:rFonts w:hint="eastAsia"/>
        </w:rPr>
        <w:t>”</w:t>
      </w:r>
      <w:r w:rsidRPr="005D73C8">
        <w:t>，而是将抽检投入、暴露风险与不确定性共同纳入，从而与风险导向监管的公共卫生目标一致</w:t>
      </w:r>
    </w:p>
    <w:p w14:paraId="5307203B" w14:textId="77777777" w:rsidR="00CD6DE9" w:rsidRDefault="00CD6DE9" w:rsidP="000A0CBD">
      <w:pPr>
        <w:ind w:firstLine="480"/>
      </w:pPr>
      <w:r w:rsidRPr="00CD6DE9">
        <w:t>（</w:t>
      </w:r>
      <w:r w:rsidRPr="00CD6DE9">
        <w:t>4</w:t>
      </w:r>
      <w:r w:rsidRPr="00CD6DE9">
        <w:t>）</w:t>
      </w:r>
      <w:r w:rsidRPr="00CD6DE9">
        <w:t>Transition</w:t>
      </w:r>
      <w:r w:rsidRPr="00CD6DE9">
        <w:t>（环境转移、观测生成、</w:t>
      </w:r>
      <w:r w:rsidRPr="00CD6DE9">
        <w:t>belief</w:t>
      </w:r>
      <w:r w:rsidRPr="00CD6DE9">
        <w:t>更新与经验样本构造）</w:t>
      </w:r>
    </w:p>
    <w:p w14:paraId="08A05A8F" w14:textId="66EA5864" w:rsidR="00CD6DE9" w:rsidRPr="00CD6DE9" w:rsidRDefault="00CD6DE9" w:rsidP="000A0CBD">
      <w:pPr>
        <w:ind w:firstLine="480"/>
      </w:pPr>
      <w:r w:rsidRPr="00CD6DE9">
        <w:lastRenderedPageBreak/>
        <w:t>每一期的环境转移严格遵循</w:t>
      </w:r>
      <w:r w:rsidR="0085672C">
        <w:rPr>
          <w:rFonts w:hint="eastAsia"/>
        </w:rPr>
        <w:t>“</w:t>
      </w:r>
      <w:r w:rsidRPr="00CD6DE9">
        <w:t>行动</w:t>
      </w:r>
      <w:r w:rsidRPr="00CD6DE9">
        <w:t>—</w:t>
      </w:r>
      <w:r w:rsidRPr="00CD6DE9">
        <w:t>观测</w:t>
      </w:r>
      <w:r w:rsidRPr="00CD6DE9">
        <w:t>—</w:t>
      </w:r>
      <w:r w:rsidRPr="00CD6DE9">
        <w:t>信念更新</w:t>
      </w:r>
      <w:r w:rsidRPr="00CD6DE9">
        <w:t>—</w:t>
      </w:r>
      <w:r w:rsidRPr="00CD6DE9">
        <w:t>状态推进</w:t>
      </w:r>
      <w:r w:rsidRPr="00CD6DE9">
        <w:t>—</w:t>
      </w:r>
      <w:r w:rsidRPr="00CD6DE9">
        <w:t>奖励计算</w:t>
      </w:r>
      <w:r w:rsidR="0085672C">
        <w:rPr>
          <w:rFonts w:hint="eastAsia"/>
        </w:rPr>
        <w:t>”</w:t>
      </w:r>
      <w:r w:rsidRPr="00CD6DE9">
        <w:t>的顺序，从而把受限</w:t>
      </w:r>
      <w:r w:rsidRPr="00CD6DE9">
        <w:t>POMDP</w:t>
      </w:r>
      <w:r w:rsidRPr="00CD6DE9">
        <w:t>落实为可模拟与可训练的</w:t>
      </w:r>
      <w:r w:rsidRPr="00CD6DE9">
        <w:t>belief-MDP</w:t>
      </w:r>
      <w:r w:rsidRPr="00CD6DE9">
        <w:t>。具体而言，在期</w:t>
      </w:r>
      <m:oMath>
        <m:r>
          <w:rPr>
            <w:rFonts w:ascii="Cambria Math" w:hAnsi="Cambria Math"/>
          </w:rPr>
          <m:t>t</m:t>
        </m:r>
      </m:oMath>
      <w:r w:rsidRPr="00CD6DE9">
        <w:t>给定政府动作</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i,e,t</m:t>
            </m:r>
          </m:sub>
        </m:sSub>
        <m:r>
          <w:rPr>
            <w:rFonts w:ascii="Cambria Math" w:hAnsi="Cambria Math"/>
          </w:rPr>
          <m:t>}</m:t>
        </m:r>
      </m:oMath>
      <w:r w:rsidRPr="00CD6DE9">
        <w:t>后，环境首先根据真实污染隐状态</w:t>
      </w:r>
      <m:oMath>
        <m:sSub>
          <m:sSubPr>
            <m:ctrlPr>
              <w:rPr>
                <w:rFonts w:ascii="Cambria Math" w:hAnsi="Cambria Math"/>
              </w:rPr>
            </m:ctrlPr>
          </m:sSubPr>
          <m:e>
            <m:r>
              <w:rPr>
                <w:rFonts w:ascii="Cambria Math" w:hAnsi="Cambria Math"/>
              </w:rPr>
              <m:t>θ</m:t>
            </m:r>
          </m:e>
          <m:sub>
            <m:r>
              <w:rPr>
                <w:rFonts w:ascii="Cambria Math" w:hAnsi="Cambria Math"/>
              </w:rPr>
              <m:t>i,e,t</m:t>
            </m:r>
          </m:sub>
        </m:sSub>
      </m:oMath>
      <w:r w:rsidRPr="00CD6DE9">
        <w:t>生成抽检观测</w:t>
      </w:r>
      <m:oMath>
        <m:sSub>
          <m:sSubPr>
            <m:ctrlPr>
              <w:rPr>
                <w:rFonts w:ascii="Cambria Math" w:hAnsi="Cambria Math"/>
              </w:rPr>
            </m:ctrlPr>
          </m:sSubPr>
          <m:e>
            <m:r>
              <w:rPr>
                <w:rFonts w:ascii="Cambria Math" w:hAnsi="Cambria Math"/>
              </w:rPr>
              <m:t>y</m:t>
            </m:r>
          </m:e>
          <m:sub>
            <m:r>
              <w:rPr>
                <w:rFonts w:ascii="Cambria Math" w:hAnsi="Cambria Math"/>
              </w:rPr>
              <m:t>i,e,t</m:t>
            </m:r>
          </m:sub>
        </m:sSub>
        <m:r>
          <w:rPr>
            <w:rFonts w:ascii="Cambria Math" w:hAnsi="Cambria Math"/>
          </w:rPr>
          <m:t>∼Binomial(</m:t>
        </m:r>
        <m:sSub>
          <m:sSubPr>
            <m:ctrlPr>
              <w:rPr>
                <w:rFonts w:ascii="Cambria Math" w:hAnsi="Cambria Math"/>
              </w:rPr>
            </m:ctrlPr>
          </m:sSubPr>
          <m:e>
            <m:r>
              <w:rPr>
                <w:rFonts w:ascii="Cambria Math" w:hAnsi="Cambria Math"/>
              </w:rPr>
              <m:t>n</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i,e,t</m:t>
            </m:r>
          </m:sub>
        </m:sSub>
        <m:r>
          <w:rPr>
            <w:rFonts w:ascii="Cambria Math" w:hAnsi="Cambria Math"/>
          </w:rPr>
          <m:t>)</m:t>
        </m:r>
      </m:oMath>
      <w:r w:rsidRPr="00CD6DE9">
        <w:t>，并在数据可得时同步生成浓度观测（用于滚动平滑</w:t>
      </w:r>
      <m:oMath>
        <m:sSubSup>
          <m:sSubSupPr>
            <m:ctrlPr>
              <w:rPr>
                <w:rFonts w:ascii="Cambria Math" w:hAnsi="Cambria Math"/>
              </w:rPr>
            </m:ctrlPr>
          </m:sSubSupPr>
          <m:e>
            <m:r>
              <w:rPr>
                <w:rFonts w:ascii="Cambria Math" w:hAnsi="Cambria Math"/>
              </w:rPr>
              <m:t>μ</m:t>
            </m:r>
          </m:e>
          <m:sub>
            <m:r>
              <w:rPr>
                <w:rFonts w:ascii="Cambria Math" w:hAnsi="Cambria Math"/>
              </w:rPr>
              <m:t>i,t</m:t>
            </m:r>
          </m:sub>
          <m:sup>
            <m:r>
              <w:rPr>
                <w:rFonts w:ascii="Cambria Math" w:hAnsi="Cambria Math"/>
              </w:rPr>
              <m:t>C</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i,t</m:t>
            </m:r>
          </m:sub>
          <m:sup>
            <m:r>
              <w:rPr>
                <w:rFonts w:ascii="Cambria Math" w:hAnsi="Cambria Math"/>
              </w:rPr>
              <m:t>C</m:t>
            </m:r>
          </m:sup>
        </m:sSubSup>
      </m:oMath>
      <w:r w:rsidRPr="00CD6DE9">
        <w:t>的估计，但不改变核心计数观测结构）。随后，监管者使用观测对信念进行共轭更新：</w:t>
      </w:r>
      <m:oMath>
        <m:sSubSup>
          <m:sSubSupPr>
            <m:ctrlPr>
              <w:rPr>
                <w:rFonts w:ascii="Cambria Math" w:hAnsi="Cambria Math"/>
              </w:rPr>
            </m:ctrlPr>
          </m:sSubSupPr>
          <m:e>
            <m:r>
              <w:rPr>
                <w:rFonts w:ascii="Cambria Math" w:hAnsi="Cambria Math"/>
              </w:rPr>
              <m:t>α</m:t>
            </m:r>
          </m:e>
          <m:sub>
            <m:r>
              <w:rPr>
                <w:rFonts w:ascii="Cambria Math" w:hAnsi="Cambria Math"/>
              </w:rPr>
              <m:t>i,e,t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i,e,t</m:t>
            </m:r>
          </m:sub>
        </m:sSub>
      </m:oMath>
      <w:r w:rsidRPr="00CD6DE9">
        <w:t>，</w:t>
      </w:r>
      <m:oMath>
        <m:sSubSup>
          <m:sSubSupPr>
            <m:ctrlPr>
              <w:rPr>
                <w:rFonts w:ascii="Cambria Math" w:hAnsi="Cambria Math"/>
              </w:rPr>
            </m:ctrlPr>
          </m:sSubSupPr>
          <m:e>
            <m:r>
              <w:rPr>
                <w:rFonts w:ascii="Cambria Math" w:hAnsi="Cambria Math"/>
              </w:rPr>
              <m:t>β</m:t>
            </m:r>
          </m:e>
          <m:sub>
            <m:r>
              <w:rPr>
                <w:rFonts w:ascii="Cambria Math" w:hAnsi="Cambria Math"/>
              </w:rPr>
              <m:t>i,e,t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i,e,t</m:t>
            </m:r>
          </m:sub>
        </m:sSub>
      </m:oMath>
      <w:r w:rsidRPr="00CD6DE9">
        <w:t>，并通过遗忘因子</w:t>
      </w:r>
      <m:oMath>
        <m:r>
          <w:rPr>
            <w:rFonts w:ascii="Cambria Math" w:hAnsi="Cambria Math"/>
          </w:rPr>
          <m:t>λ</m:t>
        </m:r>
      </m:oMath>
      <w:r w:rsidRPr="00CD6DE9">
        <w:t>传播到下一期先验：</w:t>
      </w:r>
      <m:oMath>
        <m:sSub>
          <m:sSubPr>
            <m:ctrlPr>
              <w:rPr>
                <w:rFonts w:ascii="Cambria Math" w:hAnsi="Cambria Math"/>
              </w:rPr>
            </m:ctrlPr>
          </m:sSubPr>
          <m:e>
            <m:r>
              <w:rPr>
                <w:rFonts w:ascii="Cambria Math" w:hAnsi="Cambria Math"/>
              </w:rPr>
              <m:t>α</m:t>
            </m:r>
          </m:e>
          <m:sub>
            <m:r>
              <w:rPr>
                <w:rFonts w:ascii="Cambria Math" w:hAnsi="Cambria Math"/>
              </w:rPr>
              <m:t>i,e,t+1</m:t>
            </m:r>
          </m:sub>
        </m:sSub>
        <m:r>
          <w:rPr>
            <w:rFonts w:ascii="Cambria Math" w:hAnsi="Cambria Math"/>
          </w:rPr>
          <m:t>=λ</m:t>
        </m:r>
        <m:sSubSup>
          <m:sSubSupPr>
            <m:ctrlPr>
              <w:rPr>
                <w:rFonts w:ascii="Cambria Math" w:hAnsi="Cambria Math"/>
              </w:rPr>
            </m:ctrlPr>
          </m:sSubSupPr>
          <m:e>
            <m:r>
              <w:rPr>
                <w:rFonts w:ascii="Cambria Math" w:hAnsi="Cambria Math"/>
              </w:rPr>
              <m:t>α</m:t>
            </m:r>
          </m:e>
          <m:sub>
            <m:r>
              <w:rPr>
                <w:rFonts w:ascii="Cambria Math" w:hAnsi="Cambria Math"/>
              </w:rPr>
              <m:t>i,e,t</m:t>
            </m:r>
          </m:sub>
          <m:sup>
            <m:r>
              <w:rPr>
                <w:rFonts w:ascii="Cambria Math" w:hAnsi="Cambria Math"/>
              </w:rPr>
              <m:t>+</m:t>
            </m:r>
          </m:sup>
        </m:sSubSup>
      </m:oMath>
      <w:r w:rsidRPr="00CD6DE9">
        <w:t>，</w:t>
      </w:r>
      <m:oMath>
        <m:sSub>
          <m:sSubPr>
            <m:ctrlPr>
              <w:rPr>
                <w:rFonts w:ascii="Cambria Math" w:hAnsi="Cambria Math"/>
              </w:rPr>
            </m:ctrlPr>
          </m:sSubPr>
          <m:e>
            <m:r>
              <w:rPr>
                <w:rFonts w:ascii="Cambria Math" w:hAnsi="Cambria Math"/>
              </w:rPr>
              <m:t>β</m:t>
            </m:r>
          </m:e>
          <m:sub>
            <m:r>
              <w:rPr>
                <w:rFonts w:ascii="Cambria Math" w:hAnsi="Cambria Math"/>
              </w:rPr>
              <m:t>i,e,t+1</m:t>
            </m:r>
          </m:sub>
        </m:sSub>
        <m:r>
          <w:rPr>
            <w:rFonts w:ascii="Cambria Math" w:hAnsi="Cambria Math"/>
          </w:rPr>
          <m:t>=λ</m:t>
        </m:r>
        <m:sSubSup>
          <m:sSubSupPr>
            <m:ctrlPr>
              <w:rPr>
                <w:rFonts w:ascii="Cambria Math" w:hAnsi="Cambria Math"/>
              </w:rPr>
            </m:ctrlPr>
          </m:sSubSupPr>
          <m:e>
            <m:r>
              <w:rPr>
                <w:rFonts w:ascii="Cambria Math" w:hAnsi="Cambria Math"/>
              </w:rPr>
              <m:t>β</m:t>
            </m:r>
          </m:e>
          <m:sub>
            <m:r>
              <w:rPr>
                <w:rFonts w:ascii="Cambria Math" w:hAnsi="Cambria Math"/>
              </w:rPr>
              <m:t>i,e,t</m:t>
            </m:r>
          </m:sub>
          <m:sup>
            <m:r>
              <w:rPr>
                <w:rFonts w:ascii="Cambria Math" w:hAnsi="Cambria Math"/>
              </w:rPr>
              <m:t>+</m:t>
            </m:r>
          </m:sup>
        </m:sSubSup>
      </m:oMath>
      <w:r w:rsidRPr="00CD6DE9">
        <w:t>。在信念更新完成后，环境再推进真实污染状态</w:t>
      </w:r>
      <m:oMath>
        <m:sSub>
          <m:sSubPr>
            <m:ctrlPr>
              <w:rPr>
                <w:rFonts w:ascii="Cambria Math" w:hAnsi="Cambria Math"/>
              </w:rPr>
            </m:ctrlPr>
          </m:sSubPr>
          <m:e>
            <m:r>
              <w:rPr>
                <w:rFonts w:ascii="Cambria Math" w:hAnsi="Cambria Math"/>
              </w:rPr>
              <m:t>θ</m:t>
            </m:r>
          </m:e>
          <m:sub>
            <m:r>
              <w:rPr>
                <w:rFonts w:ascii="Cambria Math" w:hAnsi="Cambria Math"/>
              </w:rPr>
              <m:t>i,e,t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i,e,t+1</m:t>
            </m:r>
          </m:sub>
        </m:sSub>
      </m:oMath>
      <w:r w:rsidRPr="00CD6DE9">
        <w:t>，其转移核包含供应链响应与外生冲击：</w:t>
      </w:r>
      <m:oMath>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i,S,t+1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i,M,t+1</m:t>
                </m:r>
              </m:sub>
            </m:sSub>
            <m:r>
              <m:rPr>
                <m:scr m:val="script"/>
              </m:rPr>
              <w:rPr>
                <w:rFonts w:ascii="Cambria Math" w:hAnsi="Cambria Math"/>
              </w:rPr>
              <m:t>)∼T((</m:t>
            </m:r>
            <m:sSub>
              <m:sSubPr>
                <m:ctrlPr>
                  <w:rPr>
                    <w:rFonts w:ascii="Cambria Math" w:hAnsi="Cambria Math"/>
                  </w:rPr>
                </m:ctrlPr>
              </m:sSubPr>
              <m:e>
                <m:r>
                  <w:rPr>
                    <w:rFonts w:ascii="Cambria Math" w:hAnsi="Cambria Math"/>
                  </w:rPr>
                  <m:t>θ</m:t>
                </m:r>
              </m:e>
              <m:sub>
                <m:r>
                  <w:rPr>
                    <w:rFonts w:ascii="Cambria Math" w:hAnsi="Cambria Math"/>
                  </w:rPr>
                  <m:t>i,S,t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S,i,t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M,i,t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i,t</m:t>
                </m:r>
              </m:sub>
            </m:sSub>
          </m:e>
        </m:d>
      </m:oMath>
      <w:r w:rsidRPr="00CD6DE9">
        <w:t>。其中</w:t>
      </w:r>
      <m:oMath>
        <m:sSub>
          <m:sSubPr>
            <m:ctrlPr>
              <w:rPr>
                <w:rFonts w:ascii="Cambria Math" w:hAnsi="Cambria Math"/>
              </w:rPr>
            </m:ctrlPr>
          </m:sSubPr>
          <m:e>
            <m:r>
              <w:rPr>
                <w:rFonts w:ascii="Cambria Math" w:hAnsi="Cambria Math"/>
              </w:rPr>
              <m:t>e</m:t>
            </m:r>
          </m:e>
          <m:sub>
            <m:r>
              <w:rPr>
                <w:rFonts w:ascii="Cambria Math" w:hAnsi="Cambria Math"/>
              </w:rPr>
              <m:t>S,i,t</m:t>
            </m:r>
          </m:sub>
        </m:sSub>
      </m:oMath>
      <w:r w:rsidRPr="00CD6DE9">
        <w:t>与</w:t>
      </w:r>
      <m:oMath>
        <m:sSub>
          <m:sSubPr>
            <m:ctrlPr>
              <w:rPr>
                <w:rFonts w:ascii="Cambria Math" w:hAnsi="Cambria Math"/>
              </w:rPr>
            </m:ctrlPr>
          </m:sSubPr>
          <m:e>
            <m:r>
              <w:rPr>
                <w:rFonts w:ascii="Cambria Math" w:hAnsi="Cambria Math"/>
              </w:rPr>
              <m:t>e</m:t>
            </m:r>
          </m:e>
          <m:sub>
            <m:r>
              <w:rPr>
                <w:rFonts w:ascii="Cambria Math" w:hAnsi="Cambria Math"/>
              </w:rPr>
              <m:t>M,i,t</m:t>
            </m:r>
          </m:sub>
        </m:sSub>
      </m:oMath>
      <w:r w:rsidRPr="00CD6DE9">
        <w:t>分别表示源头质量努力与流通端筛检强度，作为环境内生响应由监管压力与风险信号驱动（可形式化为</w:t>
      </w:r>
      <m:oMath>
        <m:sSub>
          <m:sSubPr>
            <m:ctrlPr>
              <w:rPr>
                <w:rFonts w:ascii="Cambria Math" w:hAnsi="Cambria Math"/>
              </w:rPr>
            </m:ctrlPr>
          </m:sSubPr>
          <m:e>
            <m:r>
              <w:rPr>
                <w:rFonts w:ascii="Cambria Math" w:hAnsi="Cambria Math"/>
              </w:rPr>
              <m:t>e</m:t>
            </m:r>
          </m:e>
          <m:sub>
            <m:r>
              <w:rPr>
                <w:rFonts w:ascii="Cambria Math" w:hAnsi="Cambria Math"/>
              </w:rPr>
              <m:t>S,i,t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i,S,t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i,S,t</m:t>
            </m:r>
          </m:sub>
        </m:sSub>
        <m:r>
          <w:rPr>
            <w:rFonts w:ascii="Cambria Math" w:hAnsi="Cambria Math"/>
          </w:rPr>
          <m:t>,⋅)</m:t>
        </m:r>
      </m:oMath>
      <w:r w:rsidRPr="00CD6DE9">
        <w:t>、</w:t>
      </w:r>
      <m:oMath>
        <m:sSub>
          <m:sSubPr>
            <m:ctrlPr>
              <w:rPr>
                <w:rFonts w:ascii="Cambria Math" w:hAnsi="Cambria Math"/>
              </w:rPr>
            </m:ctrlPr>
          </m:sSubPr>
          <m:e>
            <m:r>
              <w:rPr>
                <w:rFonts w:ascii="Cambria Math" w:hAnsi="Cambria Math"/>
              </w:rPr>
              <m:t>e</m:t>
            </m:r>
          </m:e>
          <m:sub>
            <m:r>
              <w:rPr>
                <w:rFonts w:ascii="Cambria Math" w:hAnsi="Cambria Math"/>
              </w:rPr>
              <m:t>M,i,t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i,S,t</m:t>
            </m:r>
          </m:sub>
        </m:sSub>
        <m:r>
          <w:rPr>
            <w:rFonts w:ascii="Cambria Math" w:hAnsi="Cambria Math"/>
          </w:rPr>
          <m:t>,⋅)</m:t>
        </m:r>
      </m:oMath>
      <w:r w:rsidRPr="00CD6DE9">
        <w:t>），</w:t>
      </w:r>
      <m:oMath>
        <m:sSub>
          <m:sSubPr>
            <m:ctrlPr>
              <w:rPr>
                <w:rFonts w:ascii="Cambria Math" w:hAnsi="Cambria Math"/>
              </w:rPr>
            </m:ctrlPr>
          </m:sSubPr>
          <m:e>
            <m:r>
              <w:rPr>
                <w:rFonts w:ascii="Cambria Math" w:hAnsi="Cambria Math"/>
              </w:rPr>
              <m:t>ξ</m:t>
            </m:r>
          </m:e>
          <m:sub>
            <m:r>
              <w:rPr>
                <w:rFonts w:ascii="Cambria Math" w:hAnsi="Cambria Math"/>
              </w:rPr>
              <m:t>i,t</m:t>
            </m:r>
          </m:sub>
        </m:sSub>
      </m:oMath>
      <w:r w:rsidRPr="00CD6DE9">
        <w:t>表示季节、气候与价格等外生扰动。最后，基于更新后的信念与风险度量计算当期回报</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CD6DE9">
        <w:t>，并构造下一期状态向量</w:t>
      </w:r>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r>
          <m:rPr>
            <m:sty m:val="p"/>
          </m:rPr>
          <w:rPr>
            <w:rFonts w:ascii="Cambria Math" w:hAnsi="Cambria Math"/>
          </w:rPr>
          <m:t>Φ</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t+1</m:t>
            </m:r>
          </m:sub>
          <m:sup>
            <m:r>
              <w:rPr>
                <w:rFonts w:ascii="Cambria Math" w:hAnsi="Cambria Math"/>
              </w:rPr>
              <m:t>G</m:t>
            </m:r>
          </m:sup>
        </m:sSubSup>
        <m:r>
          <w:rPr>
            <w:rFonts w:ascii="Cambria Math" w:hAnsi="Cambria Math"/>
          </w:rPr>
          <m:t>)</m:t>
        </m:r>
      </m:oMath>
      <w:r w:rsidRPr="00CD6DE9">
        <w:t>。由此形成标准的经验样本四元组</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oMath>
      <w:r w:rsidRPr="00CD6DE9">
        <w:t>存入经验回放池，保证学习样本与模型的生成机制一致。</w:t>
      </w:r>
    </w:p>
    <w:p w14:paraId="2C38B2B8" w14:textId="77777777" w:rsidR="00CD6DE9" w:rsidRDefault="00CD6DE9" w:rsidP="000A0CBD">
      <w:pPr>
        <w:ind w:firstLine="480"/>
      </w:pPr>
      <w:r w:rsidRPr="00CD6DE9">
        <w:t>（</w:t>
      </w:r>
      <w:r w:rsidRPr="00CD6DE9">
        <w:t>5</w:t>
      </w:r>
      <w:r w:rsidRPr="00CD6DE9">
        <w:t>）学习更新（</w:t>
      </w:r>
      <w:r w:rsidRPr="00CD6DE9">
        <w:t>DQN</w:t>
      </w:r>
      <w:r w:rsidRPr="00CD6DE9">
        <w:t>训练规则与可行策略学习实现）</w:t>
      </w:r>
    </w:p>
    <w:p w14:paraId="0ABEC292" w14:textId="2F3055EB" w:rsidR="00CD6DE9" w:rsidRPr="00CD6DE9" w:rsidRDefault="00CD6DE9" w:rsidP="000A0CBD">
      <w:pPr>
        <w:ind w:firstLine="480"/>
      </w:pPr>
      <w:r w:rsidRPr="00CD6DE9">
        <w:t>在训练阶段，用神经网络</w:t>
      </w:r>
      <m:oMath>
        <m:r>
          <w:rPr>
            <w:rFonts w:ascii="Cambria Math" w:hAnsi="Cambria Math"/>
          </w:rPr>
          <m:t>Q(x,a;ω)</m:t>
        </m:r>
      </m:oMath>
      <w:r w:rsidRPr="00CD6DE9">
        <w:t>近似最优动作价值函数，采用经验回放与目标网络稳定训练。每次从回放池采样小批量样本，构造</w:t>
      </w:r>
      <w:r w:rsidRPr="00CD6DE9">
        <w:t>TD</w:t>
      </w:r>
      <w:r w:rsidRPr="00CD6DE9">
        <w:t>目标</w:t>
      </w:r>
    </w:p>
    <w:p w14:paraId="533B0B5E" w14:textId="162D04B4" w:rsidR="00CD6DE9" w:rsidRPr="00CD6DE9" w:rsidRDefault="00000000" w:rsidP="000A0CBD">
      <w:pPr>
        <w:ind w:firstLine="480"/>
      </w:pPr>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+γ</m:t>
          </m:r>
          <m:limLow>
            <m:limLowPr>
              <m:ctrlPr>
                <w:rPr>
                  <w:rFonts w:ascii="Cambria Math" w:hAnsi="Cambria Math"/>
                </w:rPr>
              </m:ctrlPr>
            </m:limLowPr>
            <m:e>
              <m:r>
                <m:rPr>
                  <m:sty m:val="p"/>
                </m:rPr>
                <w:rPr>
                  <w:rFonts w:ascii="Cambria Math" w:hAnsi="Cambria Math"/>
                </w:rPr>
                <m:t>max</m:t>
              </m:r>
              <m:r>
                <w:rPr>
                  <w:rFonts w:ascii="Cambria Math" w:hAnsi="Cambria Math"/>
                </w:rPr>
                <m:t>⁡</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cr m:val="script"/>
                </m:rP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lim>
          </m:limLow>
          <m:r>
            <w:rPr>
              <w:rFonts w:ascii="Cambria Math" w:hAnsi="Cambria Math"/>
            </w:rPr>
            <m:t>Q(</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m:t>
              </m:r>
            </m:sup>
          </m:sSup>
          <m:r>
            <w:rPr>
              <w:rFonts w:ascii="Cambria Math" w:hAnsi="Cambria Math"/>
            </w:rPr>
            <m:t>),</m:t>
          </m:r>
        </m:oMath>
      </m:oMathPara>
    </w:p>
    <w:p w14:paraId="1B2FF50F" w14:textId="77777777" w:rsidR="00CD6DE9" w:rsidRPr="00CD6DE9" w:rsidRDefault="00CD6DE9" w:rsidP="000A0CBD">
      <w:pPr>
        <w:ind w:firstLine="480"/>
      </w:pPr>
      <w:r w:rsidRPr="00CD6DE9">
        <w:t>并最小化均方</w:t>
      </w:r>
      <w:r w:rsidRPr="00CD6DE9">
        <w:t>TD</w:t>
      </w:r>
      <w:r w:rsidRPr="00CD6DE9">
        <w:t>误差</w:t>
      </w:r>
    </w:p>
    <w:p w14:paraId="19D9071C" w14:textId="6927D858" w:rsidR="00CD6DE9" w:rsidRPr="00CD6DE9" w:rsidRDefault="00000000" w:rsidP="000A0CBD">
      <w:pPr>
        <w:ind w:firstLine="480"/>
      </w:pPr>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ω</m:t>
              </m:r>
            </m:lim>
          </m:limLow>
          <m:r>
            <m:rPr>
              <m:scr m:val="double-struck"/>
              <m:sty m:val="p"/>
            </m:rPr>
            <w:rPr>
              <w:rFonts w:ascii="Cambria Math" w:hAnsi="Cambria Math"/>
            </w:rPr>
            <m:t>E</m:t>
          </m:r>
          <m:r>
            <w:rPr>
              <w:rFonts w:ascii="Cambria Math" w:hAnsi="Cambria Math"/>
            </w:rPr>
            <m:t>[-Q(</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p w14:paraId="35F27BAA" w14:textId="645F8699" w:rsidR="00CD6DE9" w:rsidRDefault="00CD6DE9" w:rsidP="000A0CBD">
      <w:pPr>
        <w:ind w:firstLine="480"/>
      </w:pPr>
      <w:r w:rsidRPr="00CD6DE9">
        <w:t>其中</w:t>
      </w:r>
      <m:oMath>
        <m:sSup>
          <m:sSupPr>
            <m:ctrlPr>
              <w:rPr>
                <w:rFonts w:ascii="Cambria Math" w:hAnsi="Cambria Math"/>
              </w:rPr>
            </m:ctrlPr>
          </m:sSupPr>
          <m:e>
            <m:r>
              <w:rPr>
                <w:rFonts w:ascii="Cambria Math" w:hAnsi="Cambria Math"/>
              </w:rPr>
              <m:t>ω</m:t>
            </m:r>
          </m:e>
          <m:sup>
            <m:r>
              <w:rPr>
                <w:rFonts w:ascii="Cambria Math" w:hAnsi="Cambria Math"/>
              </w:rPr>
              <m:t>-</m:t>
            </m:r>
          </m:sup>
        </m:sSup>
      </m:oMath>
      <w:r w:rsidRPr="00CD6DE9">
        <w:t>为目标网络参数，按固定频率从在线网络同步更新（</w:t>
      </w:r>
      <w:r w:rsidRPr="00CD6DE9">
        <w:t>Mnihetal.</w:t>
      </w:r>
      <w:r w:rsidRPr="00CD6DE9">
        <w:t>，</w:t>
      </w:r>
      <w:r w:rsidRPr="00CD6DE9">
        <w:t>2015</w:t>
      </w:r>
      <w:r w:rsidRPr="00CD6DE9">
        <w:t>）。为降低动作价值过估计，可在同一训练框架下采用</w:t>
      </w:r>
      <w:r w:rsidRPr="00CD6DE9">
        <w:t>DoubleDQN</w:t>
      </w:r>
      <w:r w:rsidRPr="00CD6DE9">
        <w:t>的目标构造，即用在线网络选择动作、目标网络评估价值</w:t>
      </w:r>
      <w:r w:rsidR="00D151D8">
        <w:fldChar w:fldCharType="begin"/>
      </w:r>
      <w:r w:rsidR="00D151D8">
        <w:instrText xml:space="preserve"> ADDIN ZOTERO_ITEM CSL_CITATION {"citationID":"S5yzIViP","properties":{"formattedCitation":"(Van Asselt et al., 2021)","plainCitation":"(Van Asselt et al., 2021)","noteIndex":0},"citationItems":[{"id":396,"uris":["http://zotero.org/users/17227936/items/8D</w:instrText>
      </w:r>
      <w:r w:rsidR="00D151D8">
        <w:rPr>
          <w:rFonts w:hint="eastAsia"/>
        </w:rPr>
        <w:instrText>NMGWDQ"],"itemData":{"id":396,"type":"article-journal","abstract":"Abstract\n              Risk</w:instrText>
      </w:r>
      <w:r w:rsidR="00D151D8">
        <w:rPr>
          <w:rFonts w:hint="eastAsia"/>
        </w:rPr>
        <w:instrText>‐</w:instrText>
      </w:r>
      <w:r w:rsidR="00D151D8">
        <w:rPr>
          <w:rFonts w:hint="eastAsia"/>
        </w:rPr>
        <w:instrText>based monitoring programs are increasingly applied for cost</w:instrText>
      </w:r>
      <w:r w:rsidR="00D151D8">
        <w:rPr>
          <w:rFonts w:hint="eastAsia"/>
        </w:rPr>
        <w:instrText>‐</w:instrText>
      </w:r>
      <w:r w:rsidR="00D151D8">
        <w:rPr>
          <w:rFonts w:hint="eastAsia"/>
        </w:rPr>
        <w:instrText>effective monitoring of food safety. Such programs ideally consist of three steps: risk</w:instrText>
      </w:r>
      <w:r w:rsidR="00D151D8">
        <w:rPr>
          <w:rFonts w:hint="eastAsia"/>
        </w:rPr>
        <w:instrText>‐</w:instrText>
      </w:r>
      <w:r w:rsidR="00D151D8">
        <w:rPr>
          <w:rFonts w:hint="eastAsia"/>
        </w:rPr>
        <w:instrText>ranking, risk</w:instrText>
      </w:r>
      <w:r w:rsidR="00D151D8">
        <w:rPr>
          <w:rFonts w:hint="eastAsia"/>
        </w:rPr>
        <w:instrText>‐</w:instrText>
      </w:r>
      <w:r w:rsidR="00D151D8">
        <w:rPr>
          <w:rFonts w:hint="eastAsia"/>
        </w:rPr>
        <w:instrText>based inspections, and cost</w:instrText>
      </w:r>
      <w:r w:rsidR="00D151D8">
        <w:rPr>
          <w:rFonts w:hint="eastAsia"/>
        </w:rPr>
        <w:instrText>‐</w:instrText>
      </w:r>
      <w:r w:rsidR="00D151D8">
        <w:rPr>
          <w:rFonts w:hint="eastAsia"/>
        </w:rPr>
        <w:instrText>effective monitoring. Various methods have been described to perform the first step of risk</w:instrText>
      </w:r>
      <w:r w:rsidR="00D151D8">
        <w:rPr>
          <w:rFonts w:hint="eastAsia"/>
        </w:rPr>
        <w:instrText>‐</w:instrText>
      </w:r>
      <w:r w:rsidR="00D151D8">
        <w:rPr>
          <w:rFonts w:hint="eastAsia"/>
        </w:rPr>
        <w:instrText>based monitoring. However, once the risk</w:instrText>
      </w:r>
      <w:r w:rsidR="00D151D8">
        <w:rPr>
          <w:rFonts w:hint="eastAsia"/>
        </w:rPr>
        <w:instrText>‐</w:instrText>
      </w:r>
      <w:r w:rsidR="00D151D8">
        <w:rPr>
          <w:rFonts w:hint="eastAsia"/>
        </w:rPr>
        <w:instrText>ranking has been completed, identifying the hazard</w:instrText>
      </w:r>
      <w:r w:rsidR="00D151D8">
        <w:rPr>
          <w:rFonts w:hint="eastAsia"/>
        </w:rPr>
        <w:instrText>‐</w:instrText>
      </w:r>
      <w:r w:rsidR="00D151D8">
        <w:rPr>
          <w:rFonts w:hint="eastAsia"/>
        </w:rPr>
        <w:instrText>food combinations to monitor, the frequency of inspection needs to be established based on a prioritization of food business operators (FBOs). The aim of this paper is to provide an overview of methods available for risk</w:instrText>
      </w:r>
      <w:r w:rsidR="00D151D8">
        <w:rPr>
          <w:rFonts w:hint="eastAsia"/>
        </w:rPr>
        <w:instrText>‐</w:instrText>
      </w:r>
      <w:r w:rsidR="00D151D8">
        <w:rPr>
          <w:rFonts w:hint="eastAsia"/>
        </w:rPr>
        <w:instrText>based inspections. Literature shows that FBO's food safety compliance can be assessed based on company size, historical monitoring data, and socio</w:instrText>
      </w:r>
      <w:r w:rsidR="00D151D8">
        <w:rPr>
          <w:rFonts w:hint="eastAsia"/>
        </w:rPr>
        <w:instrText>‐</w:instrText>
      </w:r>
      <w:r w:rsidR="00D151D8">
        <w:rPr>
          <w:rFonts w:hint="eastAsia"/>
        </w:rPr>
        <w:instrText>economic factors influencing compliance behavior. Non</w:instrText>
      </w:r>
      <w:r w:rsidR="00D151D8">
        <w:rPr>
          <w:rFonts w:hint="eastAsia"/>
        </w:rPr>
        <w:instrText>‐</w:instrText>
      </w:r>
      <w:r w:rsidR="00D151D8">
        <w:rPr>
          <w:rFonts w:hint="eastAsia"/>
        </w:rPr>
        <w:instrText>compliance can either be intentional or unintentional. The latter can be assessed by evaluating the food safety culture of a com</w:instrText>
      </w:r>
      <w:r w:rsidR="00D151D8">
        <w:instrText>pany. Various models—ranging from qualitative (e.g., focus groups) to quantitative (e.g., scoring)—can be used for this purpose. These models usually include an evaluation of the organizational structure (e.g., management control, communication, commitmen</w:instrText>
      </w:r>
      <w:r w:rsidR="00D151D8">
        <w:rPr>
          <w:rFonts w:hint="eastAsia"/>
        </w:rPr>
        <w:instrText>t), the technical food safety environment (e.g., hygienic design, zoning), and employee characteristics (e.g., knowledge, risk awareness). Intentional non</w:instrText>
      </w:r>
      <w:r w:rsidR="00D151D8">
        <w:rPr>
          <w:rFonts w:hint="eastAsia"/>
        </w:rPr>
        <w:instrText>‐</w:instrText>
      </w:r>
      <w:r w:rsidR="00D151D8">
        <w:rPr>
          <w:rFonts w:hint="eastAsia"/>
        </w:rPr>
        <w:instrText>compliance can be assessed using food fraud vulnerability tools. These tools incorporate factors influencing the likelihood of food fraud at the company, that is, opportunity, motivation, and (lack of) control measures. The literature indicates that either self</w:instrText>
      </w:r>
      <w:r w:rsidR="00D151D8">
        <w:rPr>
          <w:rFonts w:hint="eastAsia"/>
        </w:rPr>
        <w:instrText>‐</w:instrText>
      </w:r>
      <w:r w:rsidR="00D151D8">
        <w:rPr>
          <w:rFonts w:hint="eastAsia"/>
        </w:rPr>
        <w:instrText>assessment tools or risk matrices are applied. There is no global consensus on the methods to apply for risk</w:instrText>
      </w:r>
      <w:r w:rsidR="00D151D8">
        <w:rPr>
          <w:rFonts w:hint="eastAsia"/>
        </w:rPr>
        <w:instrText>‐</w:instrText>
      </w:r>
      <w:r w:rsidR="00D151D8">
        <w:rPr>
          <w:rFonts w:hint="eastAsia"/>
        </w:rPr>
        <w:instrText>based inspections. Depending on time and budget available as well as preferred output, one of the presented methods may be applied for prioritizing FBOs.","container-title":"Journal of Food Science","DOI":"10.1111/1750-3841.15978","ISSN":"0022-1147, 1750-3841","issue":"12","journalAbbreviation":"Journal of Food Science","language":"en","page":"5078-5086","source":"DOI.org (Crossref)","title":"Methods to perform risk</w:instrText>
      </w:r>
      <w:r w:rsidR="00D151D8">
        <w:rPr>
          <w:rFonts w:hint="eastAsia"/>
        </w:rPr>
        <w:instrText>‐</w:instrText>
      </w:r>
      <w:r w:rsidR="00D151D8">
        <w:rPr>
          <w:rFonts w:hint="eastAsia"/>
        </w:rPr>
        <w:instrText>based inspections of food companies","volume":"86","author":[{"family":"Van Asselt","given":"E.D."},{"family":"Hoffmans","given":"Y."},{"family":"Hoek</w:instrText>
      </w:r>
      <w:r w:rsidR="00D151D8">
        <w:rPr>
          <w:rFonts w:hint="eastAsia"/>
        </w:rPr>
        <w:instrText>‐</w:instrText>
      </w:r>
      <w:r w:rsidR="00D151D8">
        <w:rPr>
          <w:rFonts w:hint="eastAsia"/>
        </w:rPr>
        <w:instrText xml:space="preserve"> Van Den Hil","given":"E.F."},{"family":"Van Der Fels</w:instrText>
      </w:r>
      <w:r w:rsidR="00D151D8">
        <w:rPr>
          <w:rFonts w:hint="eastAsia"/>
        </w:rPr>
        <w:instrText>‐</w:instrText>
      </w:r>
      <w:r w:rsidR="00D151D8">
        <w:rPr>
          <w:rFonts w:hint="eastAsia"/>
        </w:rPr>
        <w:instrText>Klerx","given":"H.J."}],"issued":{"date-parts":[["2021",12]]}}}],"schema":"https://github.com/citation-style-language/schema</w:instrText>
      </w:r>
      <w:r w:rsidR="00D151D8">
        <w:instrText xml:space="preserve">/raw/master/csl-citation.json"} </w:instrText>
      </w:r>
      <w:r w:rsidR="00D151D8">
        <w:fldChar w:fldCharType="separate"/>
      </w:r>
      <w:r w:rsidR="00E2692B" w:rsidRPr="00E2692B">
        <w:rPr>
          <w:rFonts w:cs="Times New Roman"/>
        </w:rPr>
        <w:t>(Van Asselt et al., 2021)</w:t>
      </w:r>
      <w:r w:rsidR="00D151D8">
        <w:fldChar w:fldCharType="end"/>
      </w:r>
      <w:r w:rsidRPr="00CD6DE9">
        <w:t>。在策略执行时，通过</w:t>
      </w:r>
      <m:oMath>
        <m:r>
          <w:rPr>
            <w:rFonts w:ascii="Cambria Math" w:hAnsi="Cambria Math"/>
          </w:rPr>
          <m:t>ε</m:t>
        </m:r>
      </m:oMath>
      <w:r w:rsidRPr="00CD6DE9">
        <w:t>-greedy</w:t>
      </w:r>
      <w:r w:rsidRPr="00CD6DE9">
        <w:t>在可行动作集合</w:t>
      </w:r>
      <m:oMath>
        <m:r>
          <m:rPr>
            <m:scr m:val="script"/>
          </m:rP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Pr="00CD6DE9">
        <w:t>内探索；由于不可行动作在掩码下被永久排除，训练得到的策略天然满足预算与产能约束，从而输出的抽检规则在制度约束下具有可直接部署的可行性与可解释性</w:t>
      </w:r>
      <w:r w:rsidR="00B847FB">
        <w:fldChar w:fldCharType="begin"/>
      </w:r>
      <w:r w:rsidR="00B847FB">
        <w:instrText xml:space="preserve"> ADDIN ZOTERO_ITEM CSL_CITATION {"citationID":"687Rr4xL","properties":{"formattedCitation":"(Sutton &amp; Barto, 1998)","plainCitation":"(Sutton &amp; Barto, 1998)","noteIndex":0},"citationItems":[{"id":394,"uris":["http://zotero.org/users/17227936/items/5HAZ2INF"],"itemData":{"id":394,"type":"book","collection-number":"1","publisher":"MIT press Cambridge","source":"Google Scholar","title":"Reinforcement learning: An introduction","title-short":"Reinforcement learning","URL":"https://www.cambridge.org/core/journals/robotica/article/robot-learning-edited-by-jonathan-h-connell-and-sridhar-mahadevan-kluwer-boston-19931997-xii240-pp-isbn-0792393651-hardback-21800-guilders-12000-8995/737FD21CA908246DF17779E9C20B6DF6","volume":"1","author":[{"family":"Sutton","given":"Richard S."},{"family":"Barto","given":"Andrew G."}],"accessed":{"date-parts":[["2025",12,30]]},"issued":{"date-parts":[["1998"]]}}}],"schema":"https://github.com/citation-style-language/schema/raw/master/csl-citation.json"} </w:instrText>
      </w:r>
      <w:r w:rsidR="00B847FB">
        <w:fldChar w:fldCharType="separate"/>
      </w:r>
      <w:r w:rsidR="00B847FB" w:rsidRPr="00B847FB">
        <w:rPr>
          <w:rFonts w:cs="Times New Roman"/>
        </w:rPr>
        <w:t>(Sutton &amp; Barto, 1998)</w:t>
      </w:r>
      <w:r w:rsidR="00B847FB">
        <w:fldChar w:fldCharType="end"/>
      </w:r>
      <w:r w:rsidRPr="00CD6DE9">
        <w:t>。</w:t>
      </w:r>
    </w:p>
    <w:p w14:paraId="51049C8C" w14:textId="77777777" w:rsidR="00F35BC8" w:rsidRDefault="008A73E2" w:rsidP="00F35BC8">
      <w:pPr>
        <w:keepNext/>
        <w:ind w:firstLineChars="0" w:firstLine="0"/>
      </w:pPr>
      <w:r>
        <w:rPr>
          <w:rFonts w:hint="eastAsia"/>
          <w:noProof/>
        </w:rPr>
        <w:lastRenderedPageBreak/>
        <w:drawing>
          <wp:inline distT="0" distB="0" distL="0" distR="0" wp14:anchorId="5B270373" wp14:editId="293975DF">
            <wp:extent cx="5756275" cy="3214370"/>
            <wp:effectExtent l="0" t="0" r="0" b="5080"/>
            <wp:docPr id="1147695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6275" cy="3214370"/>
                    </a:xfrm>
                    <a:prstGeom prst="rect">
                      <a:avLst/>
                    </a:prstGeom>
                    <a:noFill/>
                    <a:ln>
                      <a:noFill/>
                    </a:ln>
                  </pic:spPr>
                </pic:pic>
              </a:graphicData>
            </a:graphic>
          </wp:inline>
        </w:drawing>
      </w:r>
    </w:p>
    <w:p w14:paraId="34670CA5" w14:textId="06BA2824" w:rsidR="008A73E2" w:rsidRPr="00CD6DE9" w:rsidRDefault="00F35BC8" w:rsidP="00F35BC8">
      <w:pPr>
        <w:pStyle w:val="af5"/>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0261C">
        <w:rPr>
          <w:noProof/>
        </w:rPr>
        <w:t>1</w:t>
      </w:r>
      <w:r>
        <w:fldChar w:fldCharType="end"/>
      </w:r>
      <w:r>
        <w:rPr>
          <w:rFonts w:hint="eastAsia"/>
        </w:rPr>
        <w:t xml:space="preserve"> DQN</w:t>
      </w:r>
      <w:r>
        <w:rPr>
          <w:rFonts w:hint="eastAsia"/>
        </w:rPr>
        <w:t>模型示意图</w:t>
      </w:r>
    </w:p>
    <w:p w14:paraId="7BBAA057" w14:textId="7811E22B" w:rsidR="006B3560" w:rsidRDefault="00284AE1" w:rsidP="00284AE1">
      <w:pPr>
        <w:pStyle w:val="2"/>
      </w:pPr>
      <w:bookmarkStart w:id="47" w:name="_Toc218094782"/>
      <w:r>
        <w:rPr>
          <w:rFonts w:hint="eastAsia"/>
        </w:rPr>
        <w:t>技术路线图</w:t>
      </w:r>
      <w:bookmarkEnd w:id="47"/>
    </w:p>
    <w:p w14:paraId="4AECF7E1" w14:textId="77777777" w:rsidR="0060261C" w:rsidRDefault="00AA617C" w:rsidP="0060261C">
      <w:pPr>
        <w:keepNext/>
        <w:ind w:firstLineChars="0" w:firstLine="0"/>
      </w:pPr>
      <w:r>
        <w:rPr>
          <w:noProof/>
        </w:rPr>
        <w:drawing>
          <wp:inline distT="0" distB="0" distL="0" distR="0" wp14:anchorId="0DE1E597" wp14:editId="3BC99FAA">
            <wp:extent cx="5757545" cy="3208655"/>
            <wp:effectExtent l="0" t="0" r="0" b="0"/>
            <wp:docPr id="440431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7545" cy="3208655"/>
                    </a:xfrm>
                    <a:prstGeom prst="rect">
                      <a:avLst/>
                    </a:prstGeom>
                    <a:noFill/>
                    <a:ln>
                      <a:noFill/>
                    </a:ln>
                  </pic:spPr>
                </pic:pic>
              </a:graphicData>
            </a:graphic>
          </wp:inline>
        </w:drawing>
      </w:r>
    </w:p>
    <w:p w14:paraId="072F3D52" w14:textId="74132919" w:rsidR="00466EB8" w:rsidRPr="00FA3833" w:rsidRDefault="0060261C" w:rsidP="00FA3833">
      <w:pPr>
        <w:pStyle w:val="af5"/>
        <w:rPr>
          <w:b/>
          <w:bCs/>
        </w:rPr>
      </w:pPr>
      <w:r w:rsidRPr="00FA3833">
        <w:rPr>
          <w:rFonts w:hint="eastAsia"/>
          <w:b/>
          <w:bCs/>
        </w:rPr>
        <w:t>图</w:t>
      </w:r>
      <w:r w:rsidRPr="00FA3833">
        <w:rPr>
          <w:rFonts w:hint="eastAsia"/>
          <w:b/>
          <w:bCs/>
        </w:rPr>
        <w:t xml:space="preserve"> </w:t>
      </w:r>
      <w:r w:rsidRPr="00FA3833">
        <w:rPr>
          <w:b/>
          <w:bCs/>
        </w:rPr>
        <w:fldChar w:fldCharType="begin"/>
      </w:r>
      <w:r w:rsidRPr="00FA3833">
        <w:rPr>
          <w:b/>
          <w:bCs/>
        </w:rPr>
        <w:instrText xml:space="preserve"> </w:instrText>
      </w:r>
      <w:r w:rsidRPr="00FA3833">
        <w:rPr>
          <w:rFonts w:hint="eastAsia"/>
          <w:b/>
          <w:bCs/>
        </w:rPr>
        <w:instrText xml:space="preserve">SEQ </w:instrText>
      </w:r>
      <w:r w:rsidRPr="00FA3833">
        <w:rPr>
          <w:rFonts w:hint="eastAsia"/>
          <w:b/>
          <w:bCs/>
        </w:rPr>
        <w:instrText>图</w:instrText>
      </w:r>
      <w:r w:rsidRPr="00FA3833">
        <w:rPr>
          <w:rFonts w:hint="eastAsia"/>
          <w:b/>
          <w:bCs/>
        </w:rPr>
        <w:instrText xml:space="preserve"> \* ARABIC</w:instrText>
      </w:r>
      <w:r w:rsidRPr="00FA3833">
        <w:rPr>
          <w:b/>
          <w:bCs/>
        </w:rPr>
        <w:instrText xml:space="preserve"> </w:instrText>
      </w:r>
      <w:r w:rsidRPr="00FA3833">
        <w:rPr>
          <w:b/>
          <w:bCs/>
        </w:rPr>
        <w:fldChar w:fldCharType="separate"/>
      </w:r>
      <w:r w:rsidRPr="00FA3833">
        <w:rPr>
          <w:b/>
          <w:bCs/>
          <w:noProof/>
        </w:rPr>
        <w:t>2</w:t>
      </w:r>
      <w:r w:rsidRPr="00FA3833">
        <w:rPr>
          <w:b/>
          <w:bCs/>
        </w:rPr>
        <w:fldChar w:fldCharType="end"/>
      </w:r>
      <w:r w:rsidRPr="00FA3833">
        <w:rPr>
          <w:rFonts w:hint="eastAsia"/>
          <w:b/>
          <w:bCs/>
        </w:rPr>
        <w:t>技术路线图</w:t>
      </w:r>
    </w:p>
    <w:p w14:paraId="149F7C3D" w14:textId="3E83E36B" w:rsidR="00FD740B" w:rsidRDefault="00616E0E" w:rsidP="002024DD">
      <w:pPr>
        <w:pStyle w:val="1"/>
        <w:spacing w:line="300" w:lineRule="auto"/>
      </w:pPr>
      <w:bookmarkStart w:id="48" w:name="_Toc218094783"/>
      <w:r>
        <w:t>研究创新之处</w:t>
      </w:r>
      <w:bookmarkEnd w:id="42"/>
      <w:bookmarkEnd w:id="48"/>
    </w:p>
    <w:p w14:paraId="456DE2F6" w14:textId="31FF665A" w:rsidR="00FD740B" w:rsidRDefault="00616E0E" w:rsidP="002024DD">
      <w:pPr>
        <w:pStyle w:val="1"/>
        <w:numPr>
          <w:ilvl w:val="0"/>
          <w:numId w:val="0"/>
        </w:numPr>
        <w:spacing w:line="300" w:lineRule="auto"/>
        <w:rPr>
          <w:sz w:val="24"/>
          <w:szCs w:val="28"/>
        </w:rPr>
      </w:pPr>
      <w:bookmarkStart w:id="49" w:name="_Toc218094784"/>
      <w:r>
        <w:t>Possible</w:t>
      </w:r>
      <w:r w:rsidR="00BC2B81">
        <w:rPr>
          <w:rFonts w:hint="eastAsia"/>
        </w:rPr>
        <w:t xml:space="preserve"> </w:t>
      </w:r>
      <w:r>
        <w:t>Innovations</w:t>
      </w:r>
      <w:bookmarkEnd w:id="49"/>
    </w:p>
    <w:p w14:paraId="23A8D70D" w14:textId="180AFD34" w:rsidR="00FD740B" w:rsidRDefault="009A386B">
      <w:pPr>
        <w:ind w:firstLine="480"/>
        <w:rPr>
          <w:rFonts w:cs="Times New Roman"/>
        </w:rPr>
      </w:pPr>
      <w:r w:rsidRPr="009A386B">
        <w:rPr>
          <w:rFonts w:cs="Times New Roman"/>
        </w:rPr>
        <w:t>现有研究一方面证明了检查与召回会通过信息披露、声誉与责任分担影响企业行为，但多将监管强度视为外生或以静态策略处理，难以刻画风险在时间上的</w:t>
      </w:r>
      <w:r w:rsidR="00572E2A">
        <w:rPr>
          <w:rFonts w:cs="Times New Roman" w:hint="eastAsia"/>
        </w:rPr>
        <w:t>转移</w:t>
      </w:r>
      <w:r w:rsidRPr="009A386B">
        <w:rPr>
          <w:rFonts w:cs="Times New Roman"/>
        </w:rPr>
        <w:t>与监管者依</w:t>
      </w:r>
      <w:r w:rsidRPr="009A386B">
        <w:rPr>
          <w:rFonts w:cs="Times New Roman"/>
        </w:rPr>
        <w:lastRenderedPageBreak/>
        <w:t>据新观测持续修正判断的过程</w:t>
      </w:r>
      <w:r w:rsidR="004E5C08">
        <w:rPr>
          <w:rFonts w:cs="Times New Roman"/>
        </w:rPr>
        <w:fldChar w:fldCharType="begin"/>
      </w:r>
      <w:r w:rsidR="004E5C08">
        <w:rPr>
          <w:rFonts w:cs="Times New Roman"/>
        </w:rPr>
        <w:instrText xml:space="preserve"> ADDIN ZOTERO_ITEM CSL_CITATION {"citationID":"043mGS3h","properties":{"formattedCitation":"(Ball et al., 2017; Starbird, 2005; Zou et al., 2023)","plainCitation":"(Ball et al., 2017; Starbird, 2005; Zou et al., 2023)","noteIndex":0},"citationItems":[{"id":369,"uris":["http://zotero.org/users/17227936/items/W8EBT55Z"],"itemData":{"id":369,"type":"article-journal","abstract":"Plant inspections enable ﬁrms to manage their quality risk in global supply chains. However, surprisingly little research examines the relationship between such inspections and future product quality. In this paper, we study how well plant inspection outcomes predict the hazard of a future recall and analyze how investigator experience aﬀects this predictive relationship. Using secondary data spanning a seven-year period in the medical device industry and a recurrent-event Cox proportional hazard model, our analysis shows that inspection outcomes reliably predict future product recalls. However, inspection outcomes become an unreliable predictor of recalls with an increase in sitespeciﬁc investigator experience. Through post hoc analysis, we also show that the hazard of a recall at a plant increases with site-speciﬁc experience, independent of the inspection outcome. Compared to the ﬁrst visit by an investigator, the recall hazard increases by 21% the second time the investigator visits a speciﬁc plant, and by 57% on the third visit. We propose investigator rotation and investigator sequencing as two policies to help mitigate this increased recall risk.","container-title":"Manufacturing &amp; Service Operations Management","DOI":"10.1287/msom.2017.0661","ISSN":"1523-4614, 1526-5498","issue":"4","journalAbbreviation":"M&amp;SOM","language":"en","page":"534-550","source":"DOI.org (Crossref)","title":"Do Plant Inspections Predict Future Quality? The Role of Investigator Experience","title-short":"Do Plant Inspections Predict Future Quality?","volume":"19","author":[{"family":"Ball","given":"George"},{"family":"Siemsen","given":"Enno"},{"family":"Shah","given":"Rachna"}],"issued":{"date-parts":[["2017",10]]}}},{"id":393,"uris":["http://zotero.org/users/17227936/items/HWQINFPF"],"itemData":{"id":393,"type":"article-journal","abstract":"Abstract\n            Buyers have imperfect information about the food safety efforts exerted by suppliers. To gather information about safety, buyers often employ sampling inspection. Sampling inspection exhibits sampling error so some unsafe product passes inspection and some safe product does not. This uncertaint</w:instrText>
      </w:r>
      <w:r w:rsidR="004E5C08">
        <w:rPr>
          <w:rFonts w:cs="Times New Roman" w:hint="eastAsia"/>
        </w:rPr>
        <w:instrText>y influences buyer and supplier behavior. In this article, I use a principal</w:instrText>
      </w:r>
      <w:r w:rsidR="004E5C08">
        <w:rPr>
          <w:rFonts w:cs="Times New Roman" w:hint="eastAsia"/>
        </w:rPr>
        <w:instrText>‐</w:instrText>
      </w:r>
      <w:r w:rsidR="004E5C08">
        <w:rPr>
          <w:rFonts w:cs="Times New Roman" w:hint="eastAsia"/>
        </w:rPr>
        <w:instrText>agent model to examine how sampling inspection policies influence food safety. I use the model to examine the sampling inspection policies in the 1996 Pathogen Reduction/Hazard A</w:instrText>
      </w:r>
      <w:r w:rsidR="004E5C08">
        <w:rPr>
          <w:rFonts w:cs="Times New Roman"/>
        </w:rPr>
        <w:instrText xml:space="preserve">nalysis Critical Control Point Act. I conclude that the regulation of sampling inspection procedures is an effective tool for policy makers who wish to improve food safety.","container-title":"American Journal of Agricultural Economics","DOI":"10.1111/j.0002-9092.2005.00698.x","ISSN":"0002-9092, 1467-8276","issue":"1","journalAbbreviation":"American J Agri Economics","language":"en","license":"http://onlinelibrary.wiley.com/termsAndConditions#vor","page":"15-27","source":"DOI.org (Crossref)","title":"Moral Hazard, Inspection Policy, and Food Safety","volume":"87","author":[{"family":"Starbird","given":"S. Andrew"}],"issued":{"date-parts":[["2005",2]]}}},{"id":406,"uris":["http://zotero.org/users/17227936/items/E267C7PK"],"itemData":{"id":406,"type":"article-journal","abstract":"Problem definition: Suppliers are increasingly involved in innovation activities that contribute to a firm’s product quality and introduce risks to firms’ quality control, leading to quality failures and recalls. This quality trade-off suggests the possibility of a nonlinear relationship between supplier innovation and product recalls, which is the focus of this research. Recall literature focuses on firms’ internal drivers of recalls, whereas anecdotal evidence increasingly points to the role of external drivers, such as suppliers. We contribute to the literature by examining supplier innovation as an external driver leading to recalls via quality and risk spillovers. Methodology/results: We collect and assemble a unique panel data set of consumer product recalls from firms and their supply bases (i.e., first tier suppliers). We estimate econometric models to examine the nonlinear relationship between supply base innovation, measured by research and development (R&amp;D) intensity of the supply bases, and the likelihood of product recalls. We find a quadratic (i.e., U-shaped) relationship between the probability of recalls and supply base R&amp;D intensity. We also find that this nonlinear relationship is critically related to three specific sources of risk: radicalness of supplier innovation, technological distance between firms and their suppliers, and complexity of supply base. Managerial implications: Our findings suggest that firms should be mindful of the quality trade-offs in encouraging supplier innovation to reduce product recalls. Further, to minimize recall risks, firms should better evaluate and manage the risks associated with external supplier knowledge that is novel and different and closely work with global suppliers to reduce coordination challenges in knowledge transfer and integration.\n            Supplemental Material: The online appendix is available at https://doi.org/10.1287/msom.2023.1213 .","container-title":"Manufacturing &amp; Service Operations Management","DOI":"10.1287/msom.2023.1213","ISSN":"1523-4614, 1526-5498","issue":"5","journalAbbreviation":"M&amp;SOM","language":"en","page":"1931-1946","source":"DOI.org (Crossref)","title":"Product Recalls and Supply Base Innovation","volume":"25","author":[{"family":"Zou","given":"Fan"},{"family":"Dong","given":"Yan"},{"family":"Song","given":"Sining"},{"family":"Rungtusanatham","given":"Manus"}],"issued":{"date-parts":[["2023",9]]}}}],"schema":"https://github.com/citation-style-language/schema/raw/master/csl-citation.json"} </w:instrText>
      </w:r>
      <w:r w:rsidR="004E5C08">
        <w:rPr>
          <w:rFonts w:cs="Times New Roman"/>
        </w:rPr>
        <w:fldChar w:fldCharType="separate"/>
      </w:r>
      <w:r w:rsidR="00E2692B" w:rsidRPr="00E2692B">
        <w:rPr>
          <w:rFonts w:cs="Times New Roman"/>
        </w:rPr>
        <w:t>(Ball et al., 2017; Starbird, 2005; Zou et al., 2023)</w:t>
      </w:r>
      <w:r w:rsidR="004E5C08">
        <w:rPr>
          <w:rFonts w:cs="Times New Roman"/>
        </w:rPr>
        <w:fldChar w:fldCharType="end"/>
      </w:r>
      <w:r w:rsidRPr="009A386B">
        <w:rPr>
          <w:rFonts w:cs="Times New Roman"/>
        </w:rPr>
        <w:t>；另一方面，风险导向检查的综述性证据通常围绕历史记录、企业特征与合规文化进行风险排序与频率设定，较少把毒理学风险表征直接写入资源分配目标</w:t>
      </w:r>
      <w:r w:rsidR="00ED01E9">
        <w:rPr>
          <w:rFonts w:cs="Times New Roman"/>
        </w:rPr>
        <w:fldChar w:fldCharType="begin"/>
      </w:r>
      <w:r w:rsidR="00FD7369">
        <w:rPr>
          <w:rFonts w:cs="Times New Roman"/>
        </w:rPr>
        <w:instrText xml:space="preserve"> ADDIN ZOTERO_ITEM CSL_CITATION {"citationID":"PY8p5bMm","properties":{"formattedCitation":"(Benford et al., 2010; EFSA Scientific Committee, 2005; Van Asselt et al., 2021)","plainCitation":"(Benford et al., 2010; EFSA Scientific Committee, 2005; Van Asselt et al., 2021)","noteIndex":0},"citationItems":[{"id":340,"uris":["http://zotero.org/users/17227936/items/6FKSG6UU"],"itemData":{"id":340,"type":"article-journal","abstract":"This paper presents the work of an expert group established by the International Life Sciences Institute –European branch (ILSI Europe) to follow up the recommendations of an international conference on ‘‘Risk Assessment of Compounds that are both Genotoxic and Carcinogenic: New Approaches”. Twelve genotoxic and carcinogenic chemicals that can be present in food were selected for calculation of a Margin of Exposure (MOE) between a point of departure on the dose–response for oral carcinogenicity in animal studies and estimates of human dietary exposure. The MOE can be used to support prioritisation of risk management action and, if the MOE is very large, on communication of a low level of human health concern. Depending on the approaches taken in determining the point of departure and the estimation of exposure, it is possible to derive very different values for the MOE. It is therefore essential that the selection of the cancer endpoint and mathematical treatment of the data are clearly described and justiﬁed if the results of the MOE approach are to be trusted and of value to risk managers. An outline framework for calculating an MOE is proposed in order to help to ensure transparency in the results.","container-title":"Food and Chemical Toxicology","DOI":"10.1016/j.fct.2009.11.003","ISSN":"02786915","journalAbbreviation":"Food and Chemical Toxicology","language":"en","page":"S2-S24","source":"DOI.org (Crossref)","title":"Application of the Margin of Exposure (MOE) approach to substances in food that are genotoxic and carcinogenic","volume":"48","author":[{"family":"Benford","given":"Diane"},{"family":"Bolger","given":"P. Michael"},{"family":"Carthew","given":"Philip"},{"family":"Coulet","given":"Myriam"},{"family":"DiNovi","given":"Michael"},{"family":"Leblanc","given":"Jean-Charles"},{"family":"Renwick","given":"Andrew G."},{"family":"Setzer","given":"Woodrow"},{"family":"Schlatter","given":"Josef"},{"family":"Smith","given":"Benjamin"},{"family":"Slob","given":"Wout"},{"family":"Williams","given":"Gary"},{"family":"Wildemann","given":"Tanja"}],"issued":{"date-parts":[["2010",1]]}}},{"id":417,"uris":["http://zotero.org/users/17227936/items/ICTKSSEK"],"itemData":{"id":417,"type":"article-journal","abstract":"Both favourable and adverse effects on health related to food consumption depend on how much we eat of different ingredients and what these ingredients contain.","container-title":"EFSA Journal","DOI":"10.2903/j.efsa.2005.249","ISSN":"1831-4732","issue":"EFSA Journal","language":"en","source":"DOI.org (CSL JSON)","title":"Opinion of the Scientific Committee on a request from EFSA related to Exposure Assessments","URL":"https://data.europa.eu/doi/10.2903/j.efsa.2005.249","author":[{"literal":"EFSA Scientific Committee"}],"accessed":{"date-parts":[["2025",12,30]]},"issued":{"date-parts":[["2005"]]}}},{"id":396,"uris":["http://z</w:instrText>
      </w:r>
      <w:r w:rsidR="00FD7369">
        <w:rPr>
          <w:rFonts w:cs="Times New Roman" w:hint="eastAsia"/>
        </w:rPr>
        <w:instrText>otero.org/users/17227936/items/8DNMGWDQ"],"itemData":{"id":396,"type":"article-journal","abstract":"Abstract\n              Risk</w:instrText>
      </w:r>
      <w:r w:rsidR="00FD7369">
        <w:rPr>
          <w:rFonts w:cs="Times New Roman" w:hint="eastAsia"/>
        </w:rPr>
        <w:instrText>‐</w:instrText>
      </w:r>
      <w:r w:rsidR="00FD7369">
        <w:rPr>
          <w:rFonts w:cs="Times New Roman" w:hint="eastAsia"/>
        </w:rPr>
        <w:instrText>based monitoring programs are increasingly applied for cost</w:instrText>
      </w:r>
      <w:r w:rsidR="00FD7369">
        <w:rPr>
          <w:rFonts w:cs="Times New Roman" w:hint="eastAsia"/>
        </w:rPr>
        <w:instrText>‐</w:instrText>
      </w:r>
      <w:r w:rsidR="00FD7369">
        <w:rPr>
          <w:rFonts w:cs="Times New Roman" w:hint="eastAsia"/>
        </w:rPr>
        <w:instrText>effective monitoring of food safety. Such programs ideally consist of three steps: risk</w:instrText>
      </w:r>
      <w:r w:rsidR="00FD7369">
        <w:rPr>
          <w:rFonts w:cs="Times New Roman" w:hint="eastAsia"/>
        </w:rPr>
        <w:instrText>‐</w:instrText>
      </w:r>
      <w:r w:rsidR="00FD7369">
        <w:rPr>
          <w:rFonts w:cs="Times New Roman" w:hint="eastAsia"/>
        </w:rPr>
        <w:instrText>ranking, risk</w:instrText>
      </w:r>
      <w:r w:rsidR="00FD7369">
        <w:rPr>
          <w:rFonts w:cs="Times New Roman" w:hint="eastAsia"/>
        </w:rPr>
        <w:instrText>‐</w:instrText>
      </w:r>
      <w:r w:rsidR="00FD7369">
        <w:rPr>
          <w:rFonts w:cs="Times New Roman" w:hint="eastAsia"/>
        </w:rPr>
        <w:instrText>based inspections, and cost</w:instrText>
      </w:r>
      <w:r w:rsidR="00FD7369">
        <w:rPr>
          <w:rFonts w:cs="Times New Roman" w:hint="eastAsia"/>
        </w:rPr>
        <w:instrText>‐</w:instrText>
      </w:r>
      <w:r w:rsidR="00FD7369">
        <w:rPr>
          <w:rFonts w:cs="Times New Roman" w:hint="eastAsia"/>
        </w:rPr>
        <w:instrText>effective monitoring. Various methods have been described to perform the first step of risk</w:instrText>
      </w:r>
      <w:r w:rsidR="00FD7369">
        <w:rPr>
          <w:rFonts w:cs="Times New Roman" w:hint="eastAsia"/>
        </w:rPr>
        <w:instrText>‐</w:instrText>
      </w:r>
      <w:r w:rsidR="00FD7369">
        <w:rPr>
          <w:rFonts w:cs="Times New Roman" w:hint="eastAsia"/>
        </w:rPr>
        <w:instrText>based monitoring. However, once the risk</w:instrText>
      </w:r>
      <w:r w:rsidR="00FD7369">
        <w:rPr>
          <w:rFonts w:cs="Times New Roman" w:hint="eastAsia"/>
        </w:rPr>
        <w:instrText>‐</w:instrText>
      </w:r>
      <w:r w:rsidR="00FD7369">
        <w:rPr>
          <w:rFonts w:cs="Times New Roman" w:hint="eastAsia"/>
        </w:rPr>
        <w:instrText>ranking has been completed, identifying the hazard</w:instrText>
      </w:r>
      <w:r w:rsidR="00FD7369">
        <w:rPr>
          <w:rFonts w:cs="Times New Roman" w:hint="eastAsia"/>
        </w:rPr>
        <w:instrText>‐</w:instrText>
      </w:r>
      <w:r w:rsidR="00FD7369">
        <w:rPr>
          <w:rFonts w:cs="Times New Roman" w:hint="eastAsia"/>
        </w:rPr>
        <w:instrText>food combinations to monitor, the frequency of inspection needs to be established based on a prioritization of food business operators (FBOs). The aim of this paper is to provide an overview of methods available for risk</w:instrText>
      </w:r>
      <w:r w:rsidR="00FD7369">
        <w:rPr>
          <w:rFonts w:cs="Times New Roman" w:hint="eastAsia"/>
        </w:rPr>
        <w:instrText>‐</w:instrText>
      </w:r>
      <w:r w:rsidR="00FD7369">
        <w:rPr>
          <w:rFonts w:cs="Times New Roman" w:hint="eastAsia"/>
        </w:rPr>
        <w:instrText>based inspections. Literature shows that FBO's food safety compliance can be assessed based on company size, historical monitoring data, and socio</w:instrText>
      </w:r>
      <w:r w:rsidR="00FD7369">
        <w:rPr>
          <w:rFonts w:cs="Times New Roman" w:hint="eastAsia"/>
        </w:rPr>
        <w:instrText>‐</w:instrText>
      </w:r>
      <w:r w:rsidR="00FD7369">
        <w:rPr>
          <w:rFonts w:cs="Times New Roman" w:hint="eastAsia"/>
        </w:rPr>
        <w:instrText>economic factors influencing compliance behavior. Non</w:instrText>
      </w:r>
      <w:r w:rsidR="00FD7369">
        <w:rPr>
          <w:rFonts w:cs="Times New Roman" w:hint="eastAsia"/>
        </w:rPr>
        <w:instrText>‐</w:instrText>
      </w:r>
      <w:r w:rsidR="00FD7369">
        <w:rPr>
          <w:rFonts w:cs="Times New Roman" w:hint="eastAsia"/>
        </w:rPr>
        <w:instrText>compliance can either be intentional or unintentional. The latter can be assessed by evaluating</w:instrText>
      </w:r>
      <w:r w:rsidR="00FD7369">
        <w:rPr>
          <w:rFonts w:cs="Times New Roman"/>
        </w:rPr>
        <w:instrText xml:space="preserve"> the food safety culture of a company. Various models—ranging from qualitative (e.g., focus groups) to quantitative (e.g., scoring)—can be used for this purpose. These models usually include an evaluation of the organizational structure (e.g., management </w:instrText>
      </w:r>
      <w:r w:rsidR="00FD7369">
        <w:rPr>
          <w:rFonts w:cs="Times New Roman" w:hint="eastAsia"/>
        </w:rPr>
        <w:instrText>control, communication, commitment), the technical food safety environment (e.g., hygienic design, zoning), and employee characteristics (e.g., knowledge, risk awareness). Intentional non</w:instrText>
      </w:r>
      <w:r w:rsidR="00FD7369">
        <w:rPr>
          <w:rFonts w:cs="Times New Roman" w:hint="eastAsia"/>
        </w:rPr>
        <w:instrText>‐</w:instrText>
      </w:r>
      <w:r w:rsidR="00FD7369">
        <w:rPr>
          <w:rFonts w:cs="Times New Roman" w:hint="eastAsia"/>
        </w:rPr>
        <w:instrText>compliance can be assessed using food fraud vulnerability tools. These tools incorporate factors influencing the likelihood of food fraud at the company, that is, opportunity, motivation, and (lack of) control measures. The literature indicates that either self</w:instrText>
      </w:r>
      <w:r w:rsidR="00FD7369">
        <w:rPr>
          <w:rFonts w:cs="Times New Roman" w:hint="eastAsia"/>
        </w:rPr>
        <w:instrText>‐</w:instrText>
      </w:r>
      <w:r w:rsidR="00FD7369">
        <w:rPr>
          <w:rFonts w:cs="Times New Roman" w:hint="eastAsia"/>
        </w:rPr>
        <w:instrText>assessment tools or risk matrices are applied. There is no global consensus on the methods to apply for risk</w:instrText>
      </w:r>
      <w:r w:rsidR="00FD7369">
        <w:rPr>
          <w:rFonts w:cs="Times New Roman" w:hint="eastAsia"/>
        </w:rPr>
        <w:instrText>‐</w:instrText>
      </w:r>
      <w:r w:rsidR="00FD7369">
        <w:rPr>
          <w:rFonts w:cs="Times New Roman" w:hint="eastAsia"/>
        </w:rPr>
        <w:instrText>based inspections. Depending on time and budget available as well as preferred output, one of the presented methods may be applied for prioritizing FBOs.","container-title":"Journal of Food Science","DOI":"10.1111/1750-3841.15978","ISSN":"0022-1147, 1750-3841","issue":"12","journalAbbreviation":"Journal of Food Science","language":"en","page":"5078-5086","source":"DOI.org (Crossref)","title":"Methods to perform risk</w:instrText>
      </w:r>
      <w:r w:rsidR="00FD7369">
        <w:rPr>
          <w:rFonts w:cs="Times New Roman" w:hint="eastAsia"/>
        </w:rPr>
        <w:instrText>‐</w:instrText>
      </w:r>
      <w:r w:rsidR="00FD7369">
        <w:rPr>
          <w:rFonts w:cs="Times New Roman" w:hint="eastAsia"/>
        </w:rPr>
        <w:instrText>based inspections of food companies","volume":"86","author":[{"family":"Van Asselt","given":"E.D."},{"family":"Hoffmans","given":"Y."},{"family":"Hoek</w:instrText>
      </w:r>
      <w:r w:rsidR="00FD7369">
        <w:rPr>
          <w:rFonts w:cs="Times New Roman" w:hint="eastAsia"/>
        </w:rPr>
        <w:instrText>‐</w:instrText>
      </w:r>
      <w:r w:rsidR="00FD7369">
        <w:rPr>
          <w:rFonts w:cs="Times New Roman" w:hint="eastAsia"/>
        </w:rPr>
        <w:instrText xml:space="preserve"> Van Den Hil","given":"E.F."},{"family":"Van Der Fels</w:instrText>
      </w:r>
      <w:r w:rsidR="00FD7369">
        <w:rPr>
          <w:rFonts w:cs="Times New Roman" w:hint="eastAsia"/>
        </w:rPr>
        <w:instrText>‐</w:instrText>
      </w:r>
      <w:r w:rsidR="00FD7369">
        <w:rPr>
          <w:rFonts w:cs="Times New Roman" w:hint="eastAsia"/>
        </w:rPr>
        <w:instrText>Klerx","given":"H.J."}],"issued":{"date-parts":[["2021",12]]}}}],"schema":"https://github.c</w:instrText>
      </w:r>
      <w:r w:rsidR="00FD7369">
        <w:rPr>
          <w:rFonts w:cs="Times New Roman"/>
        </w:rPr>
        <w:instrText xml:space="preserve">om/citation-style-language/schema/raw/master/csl-citation.json"} </w:instrText>
      </w:r>
      <w:r w:rsidR="00ED01E9">
        <w:rPr>
          <w:rFonts w:cs="Times New Roman"/>
        </w:rPr>
        <w:fldChar w:fldCharType="separate"/>
      </w:r>
      <w:r w:rsidR="00E2692B" w:rsidRPr="00E2692B">
        <w:rPr>
          <w:rFonts w:cs="Times New Roman"/>
        </w:rPr>
        <w:t>(Benford et al., 2010; EFSA Scientific Committee, 2005; Van Asselt et al., 2021)</w:t>
      </w:r>
      <w:r w:rsidR="00ED01E9">
        <w:rPr>
          <w:rFonts w:cs="Times New Roman"/>
        </w:rPr>
        <w:fldChar w:fldCharType="end"/>
      </w:r>
      <w:r w:rsidRPr="009A386B">
        <w:rPr>
          <w:rFonts w:cs="Times New Roman"/>
        </w:rPr>
        <w:t>。同时，部分可观测决策与受限优化的理论虽已成熟，但在大规模区域配置与整数决策情境下，传统动态规划难以支撑可操作的政策学习与情景评估</w:t>
      </w:r>
      <w:r w:rsidR="00AB360C">
        <w:rPr>
          <w:rFonts w:cs="Times New Roman"/>
        </w:rPr>
        <w:fldChar w:fldCharType="begin"/>
      </w:r>
      <w:r w:rsidR="00AB360C">
        <w:rPr>
          <w:rFonts w:cs="Times New Roman"/>
        </w:rPr>
        <w:instrText xml:space="preserve"> ADDIN ZOTERO_ITEM CSL_CITATION {"citationID":"wFnOU18I","properties":{"formattedCitation":"(Monahan, 1982)","plainCitation":"(Monahan, 1982)","noteIndex":0},"citationItems":[{"id":385,"uris":["http://zotero.org/users/17227936/items/3DXISB2Z"],"itemData":{"id":385,"type":"article-journal","abstract":"This paper surveys models and algorithms dealing with partially observable Markov decision processes. A partially observable Markov decision process (POMDP) is a generalization of a Markov decision process which permits uncertainty regarding the state of a Markov process and allows for state information acquisition. A general framework for finite state and action POMDP's is presented. Next, there is a brief discussion of the development of POMDP's and their relationship with other decision processes. A wide range of models in such areas as quality control, machine maintenance, internal auditing, learning, and optimal stopping are discussed within the POMDP-framework. Lastly, algorithms for computing optimal solutions to POMDP's are presented.","container-title":"Management Science","DOI":"10.1287/mnsc.28.1.1","ISSN":"0025-1909, 1526-5501","issue":"1","journalAbbreviation":"Management Science","language":"en","page":"1-16","source":"DOI.org (Crossref)","title":"State of the Art—A Survey of Partially Observable Markov Decision Processes: Theory, Models, and Algorithms","title-short":"State of the Art—A Survey of Partially Observable Markov Decision Processes","volume":"28","author":[{"family":"Monahan","given":"George E."}],"issued":{"date-parts":[["1982",1]]}}}],"schema":"https://github.com/citation-style-language/schema/raw/master/csl-citation.json"} </w:instrText>
      </w:r>
      <w:r w:rsidR="00AB360C">
        <w:rPr>
          <w:rFonts w:cs="Times New Roman"/>
        </w:rPr>
        <w:fldChar w:fldCharType="separate"/>
      </w:r>
      <w:r w:rsidR="00E2692B" w:rsidRPr="00E2692B">
        <w:rPr>
          <w:rFonts w:cs="Times New Roman"/>
        </w:rPr>
        <w:t>(Monahan, 1982)</w:t>
      </w:r>
      <w:r w:rsidR="00AB360C">
        <w:rPr>
          <w:rFonts w:cs="Times New Roman"/>
        </w:rPr>
        <w:fldChar w:fldCharType="end"/>
      </w:r>
      <w:r w:rsidRPr="009A386B">
        <w:rPr>
          <w:rFonts w:cs="Times New Roman"/>
        </w:rPr>
        <w:t>。针对这些缺口，本研究的贡献在于把抽检明确界定为不完全信息条件下的动态资源配置，将监管者对各省风险的认知用可更新的信念分布表达，并以此为基础把暴露评估指标（</w:t>
      </w:r>
      <w:r w:rsidRPr="009A386B">
        <w:rPr>
          <w:rFonts w:cs="Times New Roman"/>
        </w:rPr>
        <w:t>EDI</w:t>
      </w:r>
      <w:r w:rsidRPr="009A386B">
        <w:rPr>
          <w:rFonts w:cs="Times New Roman"/>
        </w:rPr>
        <w:t>与</w:t>
      </w:r>
      <w:r w:rsidRPr="009A386B">
        <w:rPr>
          <w:rFonts w:cs="Times New Roman"/>
        </w:rPr>
        <w:t>MOE</w:t>
      </w:r>
      <w:r w:rsidRPr="009A386B">
        <w:rPr>
          <w:rFonts w:cs="Times New Roman"/>
        </w:rPr>
        <w:t>）所对应的公共卫生风险惩罚、抽检与处置后果以及不确定性下降所带来的信息收益统一纳入同一动态决策框架，从而使政策目标从</w:t>
      </w:r>
      <w:r w:rsidR="007C79B9">
        <w:rPr>
          <w:rFonts w:cs="Times New Roman" w:hint="eastAsia"/>
        </w:rPr>
        <w:t>“</w:t>
      </w:r>
      <w:r w:rsidRPr="009A386B">
        <w:rPr>
          <w:rFonts w:cs="Times New Roman"/>
        </w:rPr>
        <w:t>检出率改进</w:t>
      </w:r>
      <w:r w:rsidR="007C79B9">
        <w:rPr>
          <w:rFonts w:cs="Times New Roman" w:hint="eastAsia"/>
        </w:rPr>
        <w:t>”</w:t>
      </w:r>
      <w:r w:rsidRPr="009A386B">
        <w:rPr>
          <w:rFonts w:cs="Times New Roman"/>
        </w:rPr>
        <w:t>转向对</w:t>
      </w:r>
      <w:r w:rsidR="007C79B9" w:rsidRPr="009A386B">
        <w:rPr>
          <w:rFonts w:cs="Times New Roman"/>
        </w:rPr>
        <w:t>降低</w:t>
      </w:r>
      <w:r w:rsidRPr="009A386B">
        <w:rPr>
          <w:rFonts w:cs="Times New Roman"/>
        </w:rPr>
        <w:t>健康风险；在求解上，采用适用于高维状态与离散动作的深度强化学习方法学习可执行的动态政策，并把预算与产能这类</w:t>
      </w:r>
      <w:r w:rsidR="003653B7">
        <w:rPr>
          <w:rFonts w:cs="Times New Roman" w:hint="eastAsia"/>
        </w:rPr>
        <w:t>硬性</w:t>
      </w:r>
      <w:r w:rsidRPr="009A386B">
        <w:rPr>
          <w:rFonts w:cs="Times New Roman"/>
        </w:rPr>
        <w:t>约束作为策略选择的先验可行条件，使</w:t>
      </w:r>
      <w:r w:rsidR="001E2C33">
        <w:rPr>
          <w:rFonts w:cs="Times New Roman" w:hint="eastAsia"/>
        </w:rPr>
        <w:t>模型输出</w:t>
      </w:r>
      <w:r w:rsidRPr="009A386B">
        <w:rPr>
          <w:rFonts w:cs="Times New Roman"/>
        </w:rPr>
        <w:t>在制度约束下具备</w:t>
      </w:r>
      <w:r w:rsidR="002713BA">
        <w:rPr>
          <w:rFonts w:cs="Times New Roman" w:hint="eastAsia"/>
        </w:rPr>
        <w:t>落地操作性</w:t>
      </w:r>
      <w:r w:rsidR="00634C6C">
        <w:rPr>
          <w:rFonts w:cs="Times New Roman"/>
        </w:rPr>
        <w:fldChar w:fldCharType="begin"/>
      </w:r>
      <w:r w:rsidR="00634C6C">
        <w:rPr>
          <w:rFonts w:cs="Times New Roman"/>
        </w:rPr>
        <w:instrText xml:space="preserve"> ADDIN ZOTERO_ITEM CSL_CITATION {"citationID":"QdCygMl5","properties":{"formattedCitation":"(Mnih et al., 2015)","plainCitation":"(Mnih et al., 2015)","noteIndex":0},"citationItems":[{"id":384,"uris":["http://zotero.org/users/17227936/items/97AXAPTT"],"itemData":{"id":384,"type":"article-journal","container-title":"Nature","DOI":"10.1038/nature14236","ISSN":"0028-0836, 1476-4687","issue":"7540","journalAbbreviation":"Nature","language":"en","page":"529-533","source":"DOI.org (Crossref)","title":"Human-level control through deep reinforcement learning","volume":"518","author":[{"family":"Mnih","given":"Volodymyr"},{"family":"Kavukcuoglu","given":"Koray"},{"family":"Silver","given":"David"},{"family":"Rusu","given":"Andrei A."},{"family":"Veness","given":"Joel"},{"family":"Bellemare","given":"Marc G."},{"family":"Graves","given":"Alex"},{"family":"Riedmiller","given":"Martin"},{"family":"Fidjeland","given":"Andreas K."},{"family":"Ostrovski","given":"Georg"},{"family":"Petersen","given":"Stig"},{"family":"Beattie","given":"Charles"},{"family":"Sadik","given":"Amir"},{"family":"Antonoglou","given":"Ioannis"},{"family":"King","given":"Helen"},{"family":"Kumaran","given":"Dharshan"},{"family":"Wierstra","given":"Daan"},{"family":"Legg","given":"Shane"},{"family":"Hassabis","given":"Demis"}],"issued":{"date-parts":[["2015",2,26]]}}}],"schema":"https://github.com/citation-style-language/schema/raw/master/csl-citation.json"} </w:instrText>
      </w:r>
      <w:r w:rsidR="00634C6C">
        <w:rPr>
          <w:rFonts w:cs="Times New Roman"/>
        </w:rPr>
        <w:fldChar w:fldCharType="separate"/>
      </w:r>
      <w:r w:rsidR="00E2692B" w:rsidRPr="00E2692B">
        <w:rPr>
          <w:rFonts w:cs="Times New Roman"/>
        </w:rPr>
        <w:t>(Mnih et al., 2015)</w:t>
      </w:r>
      <w:r w:rsidR="00634C6C">
        <w:rPr>
          <w:rFonts w:cs="Times New Roman"/>
        </w:rPr>
        <w:fldChar w:fldCharType="end"/>
      </w:r>
      <w:r w:rsidR="00070BF6" w:rsidRPr="00070BF6">
        <w:rPr>
          <w:rFonts w:cs="Times New Roman"/>
        </w:rPr>
        <w:t>。</w:t>
      </w:r>
    </w:p>
    <w:bookmarkEnd w:id="29"/>
    <w:p w14:paraId="1F4EE5D7" w14:textId="1BA2E72C" w:rsidR="00FD740B" w:rsidRDefault="00FD740B">
      <w:pPr>
        <w:adjustRightInd w:val="0"/>
        <w:snapToGrid w:val="0"/>
        <w:ind w:firstLine="480"/>
        <w:rPr>
          <w:rFonts w:cs="Times New Roman"/>
        </w:rPr>
      </w:pPr>
    </w:p>
    <w:p w14:paraId="30D433F6" w14:textId="27D4B173" w:rsidR="00FD740B" w:rsidRDefault="00616E0E" w:rsidP="002024DD">
      <w:pPr>
        <w:pStyle w:val="1"/>
        <w:spacing w:line="300" w:lineRule="auto"/>
      </w:pPr>
      <w:bookmarkStart w:id="50" w:name="_Toc19233"/>
      <w:bookmarkStart w:id="51" w:name="_Toc218094785"/>
      <w:r>
        <w:t>研究</w:t>
      </w:r>
      <w:bookmarkEnd w:id="50"/>
      <w:r w:rsidR="00E459EF">
        <w:rPr>
          <w:rFonts w:hint="eastAsia"/>
        </w:rPr>
        <w:t>进度安排</w:t>
      </w:r>
      <w:bookmarkEnd w:id="51"/>
    </w:p>
    <w:p w14:paraId="57DA2973" w14:textId="2E06624A" w:rsidR="00FD740B" w:rsidRDefault="00616E0E" w:rsidP="002024DD">
      <w:pPr>
        <w:pStyle w:val="1"/>
        <w:numPr>
          <w:ilvl w:val="0"/>
          <w:numId w:val="0"/>
        </w:numPr>
        <w:spacing w:line="300" w:lineRule="auto"/>
      </w:pPr>
      <w:bookmarkStart w:id="52" w:name="_Toc218094786"/>
      <w:r>
        <w:t>Research</w:t>
      </w:r>
      <w:r w:rsidR="00BC2B81">
        <w:rPr>
          <w:rFonts w:hint="eastAsia"/>
        </w:rPr>
        <w:t xml:space="preserve"> </w:t>
      </w:r>
      <w:r>
        <w:t>Schedule</w:t>
      </w:r>
      <w:bookmarkEnd w:id="52"/>
    </w:p>
    <w:p w14:paraId="57BB1B8A" w14:textId="6058F093" w:rsidR="00A84A47" w:rsidRDefault="00A84A47" w:rsidP="00A84A47">
      <w:pPr>
        <w:ind w:firstLine="480"/>
      </w:pPr>
      <w:r w:rsidRPr="00A84A47">
        <w:t>第</w:t>
      </w:r>
      <w:r w:rsidRPr="00A84A47">
        <w:t>1–2</w:t>
      </w:r>
      <w:r w:rsidRPr="00A84A47">
        <w:t>个月完成原始通报记录的字段规范化、地区与时间</w:t>
      </w:r>
      <w:r w:rsidR="00E714BF">
        <w:rPr>
          <w:rFonts w:hint="eastAsia"/>
        </w:rPr>
        <w:t>数据</w:t>
      </w:r>
      <w:r w:rsidRPr="00A84A47">
        <w:t>统一，并形成省级时间序列的抽检计数面板与数据</w:t>
      </w:r>
      <w:r w:rsidR="00101B46">
        <w:rPr>
          <w:rFonts w:hint="eastAsia"/>
        </w:rPr>
        <w:t>样本</w:t>
      </w:r>
      <w:r w:rsidRPr="00A84A47">
        <w:t>；</w:t>
      </w:r>
    </w:p>
    <w:p w14:paraId="1BC56EAC" w14:textId="1EFB84C5" w:rsidR="00A84A47" w:rsidRDefault="00A84A47" w:rsidP="00A84A47">
      <w:pPr>
        <w:ind w:firstLine="480"/>
      </w:pPr>
      <w:r w:rsidRPr="00A84A47">
        <w:t>第</w:t>
      </w:r>
      <w:r w:rsidRPr="00A84A47">
        <w:t>3–4</w:t>
      </w:r>
      <w:r w:rsidRPr="00A84A47">
        <w:t>个月完成浓度与暴露指标的清洗与匹配，构建用于风险度量的浓度分布参数与</w:t>
      </w:r>
      <w:r w:rsidRPr="00A84A47">
        <w:t>MOE/EDI</w:t>
      </w:r>
      <w:r w:rsidRPr="00A84A47">
        <w:t>派生量，并与人口、消费与成本参数对齐，</w:t>
      </w:r>
      <w:r w:rsidR="00733D9B">
        <w:rPr>
          <w:rFonts w:hint="eastAsia"/>
        </w:rPr>
        <w:t>得到运用于算法实现的数据特征</w:t>
      </w:r>
      <w:r w:rsidRPr="00A84A47">
        <w:t>；</w:t>
      </w:r>
    </w:p>
    <w:p w14:paraId="5326C1D6" w14:textId="77777777" w:rsidR="00A84A47" w:rsidRDefault="00A84A47" w:rsidP="00A84A47">
      <w:pPr>
        <w:ind w:firstLine="480"/>
      </w:pPr>
      <w:r w:rsidRPr="00A84A47">
        <w:t>第</w:t>
      </w:r>
      <w:r w:rsidRPr="00A84A47">
        <w:t>5–6</w:t>
      </w:r>
      <w:r w:rsidRPr="00A84A47">
        <w:t>个月完成受限部分可观测框架的形式化与仿真环境搭建，明确隐状态、观测生成机制、信念更新与跨期传播，并实现可复现实验的最小闭环；</w:t>
      </w:r>
    </w:p>
    <w:p w14:paraId="0BA2AC49" w14:textId="173BDCC9" w:rsidR="00A84A47" w:rsidRDefault="00A84A47" w:rsidP="00A84A47">
      <w:pPr>
        <w:ind w:firstLine="480"/>
      </w:pPr>
      <w:r w:rsidRPr="00A84A47">
        <w:t>第</w:t>
      </w:r>
      <w:r w:rsidRPr="00A84A47">
        <w:t>7–9</w:t>
      </w:r>
      <w:r w:rsidRPr="00A84A47">
        <w:t>个月实现深度</w:t>
      </w:r>
      <w:r w:rsidRPr="00A84A47">
        <w:t>Q</w:t>
      </w:r>
      <w:r w:rsidRPr="00A84A47">
        <w:t>网络训练，完成状态向量化、动作离散化与硬约束可行性控制，开展参数设定与训练稳定性检验；</w:t>
      </w:r>
    </w:p>
    <w:p w14:paraId="02ADC276" w14:textId="17F0B595" w:rsidR="00A84A47" w:rsidRDefault="00A84A47" w:rsidP="00A84A47">
      <w:pPr>
        <w:ind w:firstLine="480"/>
      </w:pPr>
      <w:r w:rsidRPr="00A84A47">
        <w:t>第</w:t>
      </w:r>
      <w:r w:rsidRPr="00A84A47">
        <w:t>10–12</w:t>
      </w:r>
      <w:r w:rsidRPr="00A84A47">
        <w:t>个月比较动态政策与静态基线在风险降低、成本与信息效率上的差异，并完成主要图表与结果呈现；</w:t>
      </w:r>
    </w:p>
    <w:p w14:paraId="1998DF29" w14:textId="77777777" w:rsidR="00A84A47" w:rsidRDefault="00A84A47" w:rsidP="00A84A47">
      <w:pPr>
        <w:ind w:firstLine="480"/>
      </w:pPr>
      <w:r w:rsidRPr="00A84A47">
        <w:t>第</w:t>
      </w:r>
      <w:r w:rsidRPr="00A84A47">
        <w:t>13–15</w:t>
      </w:r>
      <w:r w:rsidRPr="00A84A47">
        <w:t>个月开展稳健性与情景分析，围绕预算强度、处置损失、遗忘因子与风险阈值等关键参数给出策略结构变化与政策含义；</w:t>
      </w:r>
    </w:p>
    <w:p w14:paraId="5CABC098" w14:textId="5A424CEB" w:rsidR="00A84A47" w:rsidRPr="00A84A47" w:rsidRDefault="00A84A47" w:rsidP="00A84A47">
      <w:pPr>
        <w:ind w:firstLine="480"/>
      </w:pPr>
      <w:r w:rsidRPr="00A84A47">
        <w:t>第</w:t>
      </w:r>
      <w:r w:rsidRPr="00A84A47">
        <w:t>16–18</w:t>
      </w:r>
      <w:r w:rsidRPr="00A84A47">
        <w:t>个月完成论文写作、补充材料与复现说明的整理。</w:t>
      </w:r>
    </w:p>
    <w:p w14:paraId="67750CBF" w14:textId="77777777" w:rsidR="00FD740B" w:rsidRPr="00235270" w:rsidRDefault="00FD740B">
      <w:pPr>
        <w:ind w:firstLine="560"/>
        <w:rPr>
          <w:rFonts w:cs="Times New Roman"/>
          <w:sz w:val="28"/>
          <w:szCs w:val="28"/>
        </w:rPr>
      </w:pPr>
    </w:p>
    <w:p w14:paraId="1076F1C7" w14:textId="77777777" w:rsidR="00FD740B" w:rsidRDefault="00616E0E" w:rsidP="002024DD">
      <w:pPr>
        <w:pStyle w:val="1"/>
        <w:numPr>
          <w:ilvl w:val="0"/>
          <w:numId w:val="0"/>
        </w:numPr>
        <w:spacing w:line="300" w:lineRule="auto"/>
      </w:pPr>
      <w:bookmarkStart w:id="53" w:name="_Toc218094787"/>
      <w:r>
        <w:lastRenderedPageBreak/>
        <w:t>参考文献</w:t>
      </w:r>
      <w:bookmarkEnd w:id="53"/>
    </w:p>
    <w:p w14:paraId="3E261278" w14:textId="45F57152" w:rsidR="00FD740B" w:rsidRDefault="00616E0E" w:rsidP="002024DD">
      <w:pPr>
        <w:pStyle w:val="1"/>
        <w:numPr>
          <w:ilvl w:val="0"/>
          <w:numId w:val="0"/>
        </w:numPr>
        <w:spacing w:line="300" w:lineRule="auto"/>
      </w:pPr>
      <w:bookmarkStart w:id="54" w:name="_Toc218094788"/>
      <w:r>
        <w:t>Reference</w:t>
      </w:r>
      <w:r w:rsidR="00BC2B81">
        <w:rPr>
          <w:rFonts w:hint="eastAsia"/>
        </w:rPr>
        <w:t xml:space="preserve"> </w:t>
      </w:r>
      <w:r>
        <w:t>List</w:t>
      </w:r>
      <w:bookmarkEnd w:id="54"/>
    </w:p>
    <w:p w14:paraId="01C7C1C7" w14:textId="77777777" w:rsidR="004672ED" w:rsidRPr="004672ED" w:rsidRDefault="004672ED" w:rsidP="004A25BD">
      <w:pPr>
        <w:pStyle w:val="a9"/>
        <w:numPr>
          <w:ilvl w:val="0"/>
          <w:numId w:val="9"/>
        </w:numPr>
        <w:ind w:firstLineChars="0"/>
      </w:pPr>
      <w:r>
        <w:rPr>
          <w:szCs w:val="24"/>
        </w:rPr>
        <w:fldChar w:fldCharType="begin"/>
      </w:r>
      <w:r w:rsidRPr="004A25BD">
        <w:rPr>
          <w:szCs w:val="24"/>
        </w:rPr>
        <w:instrText xml:space="preserve"> ADDIN ZOTERO_BIBL {"uncited":[],"omitted":[],"custom":[]} CSL_BIBLIOGRAPHY </w:instrText>
      </w:r>
      <w:r>
        <w:rPr>
          <w:szCs w:val="24"/>
        </w:rPr>
        <w:fldChar w:fldCharType="separate"/>
      </w:r>
      <w:r w:rsidRPr="004672ED">
        <w:t xml:space="preserve">Altman, E. (2021). </w:t>
      </w:r>
      <w:r w:rsidRPr="004A25BD">
        <w:rPr>
          <w:i/>
          <w:iCs/>
        </w:rPr>
        <w:t>Constrained Markov Decision Processes: Stochastic Modeling</w:t>
      </w:r>
      <w:r w:rsidRPr="004672ED">
        <w:t xml:space="preserve"> (1st ed.). Routledge. https://doi.org/10.1201/9781315140223</w:t>
      </w:r>
    </w:p>
    <w:p w14:paraId="67619308" w14:textId="77777777" w:rsidR="004672ED" w:rsidRPr="004672ED" w:rsidRDefault="004672ED" w:rsidP="004A25BD">
      <w:pPr>
        <w:pStyle w:val="a9"/>
        <w:numPr>
          <w:ilvl w:val="0"/>
          <w:numId w:val="9"/>
        </w:numPr>
        <w:ind w:firstLineChars="0"/>
      </w:pPr>
      <w:r w:rsidRPr="004672ED">
        <w:t xml:space="preserve">Astvansh, V., Ball, G. P., &amp; Josefy, M. (2022). The Recall Decision Exposed: Automobile Recall Timing and Process Data Set. </w:t>
      </w:r>
      <w:r w:rsidRPr="004A25BD">
        <w:rPr>
          <w:i/>
          <w:iCs/>
        </w:rPr>
        <w:t>Manufacturing &amp; Service Operations Management</w:t>
      </w:r>
      <w:r w:rsidRPr="004672ED">
        <w:t xml:space="preserve">, </w:t>
      </w:r>
      <w:r w:rsidRPr="004A25BD">
        <w:rPr>
          <w:i/>
          <w:iCs/>
        </w:rPr>
        <w:t>24</w:t>
      </w:r>
      <w:r w:rsidRPr="004672ED">
        <w:t>(3), 1457–1473. https://doi.org/10.1287/msom.2022.1085</w:t>
      </w:r>
    </w:p>
    <w:p w14:paraId="25528C67" w14:textId="77777777" w:rsidR="004672ED" w:rsidRPr="004672ED" w:rsidRDefault="004672ED" w:rsidP="004A25BD">
      <w:pPr>
        <w:pStyle w:val="a9"/>
        <w:numPr>
          <w:ilvl w:val="0"/>
          <w:numId w:val="9"/>
        </w:numPr>
        <w:ind w:firstLineChars="0"/>
      </w:pPr>
      <w:r w:rsidRPr="004672ED">
        <w:t xml:space="preserve">Ball, G., Siemsen, E., &amp; Shah, R. (2017). Do Plant Inspections Predict Future Quality? The Role of Investigator Experience. </w:t>
      </w:r>
      <w:r w:rsidRPr="004A25BD">
        <w:rPr>
          <w:i/>
          <w:iCs/>
        </w:rPr>
        <w:t>Manufacturing &amp; Service Operations Management</w:t>
      </w:r>
      <w:r w:rsidRPr="004672ED">
        <w:t xml:space="preserve">, </w:t>
      </w:r>
      <w:r w:rsidRPr="004A25BD">
        <w:rPr>
          <w:i/>
          <w:iCs/>
        </w:rPr>
        <w:t>19</w:t>
      </w:r>
      <w:r w:rsidRPr="004672ED">
        <w:t>(4), 534–550. https://doi.org/10.1287/msom.2017.0661</w:t>
      </w:r>
    </w:p>
    <w:p w14:paraId="6AE10483" w14:textId="77777777" w:rsidR="004672ED" w:rsidRPr="004672ED" w:rsidRDefault="004672ED" w:rsidP="004A25BD">
      <w:pPr>
        <w:pStyle w:val="a9"/>
        <w:numPr>
          <w:ilvl w:val="0"/>
          <w:numId w:val="9"/>
        </w:numPr>
        <w:ind w:firstLineChars="0"/>
      </w:pPr>
      <w:r w:rsidRPr="004672ED">
        <w:t xml:space="preserve">Benford, D., Bolger, P. M., Carthew, P., Coulet, M., DiNovi, M., Leblanc, J.-C., Renwick, A. G., Setzer, W., Schlatter, J., Smith, B., Slob, W., Williams, G., &amp; Wildemann, T. (2010). Application of the Margin of Exposure (MOE) approach to substances in food that are genotoxic and carcinogenic. </w:t>
      </w:r>
      <w:r w:rsidRPr="004A25BD">
        <w:rPr>
          <w:i/>
          <w:iCs/>
        </w:rPr>
        <w:t>Food and Chemical Toxicology</w:t>
      </w:r>
      <w:r w:rsidRPr="004672ED">
        <w:t xml:space="preserve">, </w:t>
      </w:r>
      <w:r w:rsidRPr="004A25BD">
        <w:rPr>
          <w:i/>
          <w:iCs/>
        </w:rPr>
        <w:t>48</w:t>
      </w:r>
      <w:r w:rsidRPr="004672ED">
        <w:t>, S2–S24. https://doi.org/10.1016/j.fct.2009.11.003</w:t>
      </w:r>
    </w:p>
    <w:p w14:paraId="5576FF2A" w14:textId="77777777" w:rsidR="004672ED" w:rsidRPr="004672ED" w:rsidRDefault="004672ED" w:rsidP="004A25BD">
      <w:pPr>
        <w:pStyle w:val="a9"/>
        <w:numPr>
          <w:ilvl w:val="0"/>
          <w:numId w:val="9"/>
        </w:numPr>
        <w:ind w:firstLineChars="0"/>
      </w:pPr>
      <w:r w:rsidRPr="004672ED">
        <w:t xml:space="preserve">Boute, R. N., Gijsbrechts, J., Van Jaarsveld, W., &amp; Vanvuchelen, N. (2022). Deep reinforcement learning for inventory control: A roadmap. </w:t>
      </w:r>
      <w:r w:rsidRPr="004A25BD">
        <w:rPr>
          <w:i/>
          <w:iCs/>
        </w:rPr>
        <w:t>European Journal of Operational Research</w:t>
      </w:r>
      <w:r w:rsidRPr="004672ED">
        <w:t xml:space="preserve">, </w:t>
      </w:r>
      <w:r w:rsidRPr="004A25BD">
        <w:rPr>
          <w:i/>
          <w:iCs/>
        </w:rPr>
        <w:t>298</w:t>
      </w:r>
      <w:r w:rsidRPr="004672ED">
        <w:t>(2), 401–412. https://doi.org/10.1016/j.ejor.2021.07.016</w:t>
      </w:r>
    </w:p>
    <w:p w14:paraId="5127C58C" w14:textId="77777777" w:rsidR="004672ED" w:rsidRPr="004672ED" w:rsidRDefault="004672ED" w:rsidP="004A25BD">
      <w:pPr>
        <w:pStyle w:val="a9"/>
        <w:numPr>
          <w:ilvl w:val="0"/>
          <w:numId w:val="9"/>
        </w:numPr>
        <w:ind w:firstLineChars="0"/>
      </w:pPr>
      <w:r w:rsidRPr="004672ED">
        <w:t xml:space="preserve">Chadès, I., McDonald-Madden, E., McCarthy, M. A., Wintle, B., Linkie, M., &amp; Possingham, H. P. (2008). When to stop managing or surveying cryptic threatened species. </w:t>
      </w:r>
      <w:r w:rsidRPr="004A25BD">
        <w:rPr>
          <w:i/>
          <w:iCs/>
        </w:rPr>
        <w:t>Proceedings of the National Academy of Sciences</w:t>
      </w:r>
      <w:r w:rsidRPr="004672ED">
        <w:t xml:space="preserve">, </w:t>
      </w:r>
      <w:r w:rsidRPr="004A25BD">
        <w:rPr>
          <w:i/>
          <w:iCs/>
        </w:rPr>
        <w:t>105</w:t>
      </w:r>
      <w:r w:rsidRPr="004672ED">
        <w:t>(37), 13936–13940. https://doi.org/10.1073/pnas.0805265105</w:t>
      </w:r>
    </w:p>
    <w:p w14:paraId="7DD27D26" w14:textId="77777777" w:rsidR="004672ED" w:rsidRPr="004672ED" w:rsidRDefault="004672ED" w:rsidP="004A25BD">
      <w:pPr>
        <w:pStyle w:val="a9"/>
        <w:numPr>
          <w:ilvl w:val="0"/>
          <w:numId w:val="9"/>
        </w:numPr>
        <w:ind w:firstLineChars="0"/>
      </w:pPr>
      <w:r w:rsidRPr="004672ED">
        <w:t xml:space="preserve">Chen, H., Chen, Z., Lin, F., &amp; Zhuang, P. (2021). Effective Management for Blockchain-Based Agri-Food Supply Chains Using Deep Reinforcement Learning. </w:t>
      </w:r>
      <w:r w:rsidRPr="004A25BD">
        <w:rPr>
          <w:i/>
          <w:iCs/>
        </w:rPr>
        <w:t>IEEE Access</w:t>
      </w:r>
      <w:r w:rsidRPr="004672ED">
        <w:t xml:space="preserve">, </w:t>
      </w:r>
      <w:r w:rsidRPr="004A25BD">
        <w:rPr>
          <w:i/>
          <w:iCs/>
        </w:rPr>
        <w:t>9</w:t>
      </w:r>
      <w:r w:rsidRPr="004672ED">
        <w:t>, 36008–36018. https://doi.org/10.1109/ACCESS.2021.3062410</w:t>
      </w:r>
    </w:p>
    <w:p w14:paraId="0F180D39" w14:textId="77777777" w:rsidR="004672ED" w:rsidRPr="004672ED" w:rsidRDefault="004672ED" w:rsidP="004A25BD">
      <w:pPr>
        <w:pStyle w:val="a9"/>
        <w:numPr>
          <w:ilvl w:val="0"/>
          <w:numId w:val="9"/>
        </w:numPr>
        <w:ind w:firstLineChars="0"/>
      </w:pPr>
      <w:r w:rsidRPr="004672ED">
        <w:t xml:space="preserve">Codex Alimentarius Commission. (2015). </w:t>
      </w:r>
      <w:r w:rsidRPr="004A25BD">
        <w:rPr>
          <w:i/>
          <w:iCs/>
        </w:rPr>
        <w:t>Code of hygienic practice for low-moisture foods</w:t>
      </w:r>
      <w:r w:rsidRPr="004672ED">
        <w:t xml:space="preserve"> (No. CXC 75-2015). FAO/WHO.</w:t>
      </w:r>
    </w:p>
    <w:p w14:paraId="28C00545" w14:textId="77777777" w:rsidR="004672ED" w:rsidRPr="004672ED" w:rsidRDefault="004672ED" w:rsidP="004A25BD">
      <w:pPr>
        <w:pStyle w:val="a9"/>
        <w:numPr>
          <w:ilvl w:val="0"/>
          <w:numId w:val="9"/>
        </w:numPr>
        <w:ind w:firstLineChars="0"/>
      </w:pPr>
      <w:r w:rsidRPr="004672ED">
        <w:t xml:space="preserve">Ding, X., Wu, L., Li, P., Zhang, Z., Zhou, H., Bai, Y., Chen, X., &amp; Jiang, J. (2015). Risk assessment on dietary exposure to aflatoxin B1 in post-harvest peanuts in the Yangtze River ecological region. </w:t>
      </w:r>
      <w:r w:rsidRPr="004A25BD">
        <w:rPr>
          <w:i/>
          <w:iCs/>
        </w:rPr>
        <w:t>Toxins</w:t>
      </w:r>
      <w:r w:rsidRPr="004672ED">
        <w:t xml:space="preserve">, </w:t>
      </w:r>
      <w:r w:rsidRPr="004A25BD">
        <w:rPr>
          <w:i/>
          <w:iCs/>
        </w:rPr>
        <w:t>7</w:t>
      </w:r>
      <w:r w:rsidRPr="004672ED">
        <w:t>(10), 4157–4174.</w:t>
      </w:r>
    </w:p>
    <w:p w14:paraId="6996FF6E" w14:textId="77777777" w:rsidR="004672ED" w:rsidRPr="004672ED" w:rsidRDefault="004672ED" w:rsidP="004A25BD">
      <w:pPr>
        <w:pStyle w:val="a9"/>
        <w:numPr>
          <w:ilvl w:val="0"/>
          <w:numId w:val="9"/>
        </w:numPr>
        <w:ind w:firstLineChars="0"/>
      </w:pPr>
      <w:r w:rsidRPr="004672ED">
        <w:t xml:space="preserve">EFSA Journal, A. (EFSA). (2005). Opinion of the Scientific Committee on a request from EFSA related to A Harmonised Approach for Risk Assessment of Substances Which are both Genotoxic and Carcinogenic. </w:t>
      </w:r>
      <w:r w:rsidRPr="004A25BD">
        <w:rPr>
          <w:i/>
          <w:iCs/>
        </w:rPr>
        <w:t>EFSA Journal</w:t>
      </w:r>
      <w:r w:rsidRPr="004672ED">
        <w:t xml:space="preserve">, </w:t>
      </w:r>
      <w:r w:rsidRPr="004A25BD">
        <w:rPr>
          <w:i/>
          <w:iCs/>
        </w:rPr>
        <w:t>3</w:t>
      </w:r>
      <w:r w:rsidRPr="004672ED">
        <w:t>(10), 282. https://doi.org/10.2903/j.efsa.2005.282</w:t>
      </w:r>
    </w:p>
    <w:p w14:paraId="60D21738" w14:textId="77777777" w:rsidR="004672ED" w:rsidRPr="004672ED" w:rsidRDefault="004672ED" w:rsidP="004A25BD">
      <w:pPr>
        <w:pStyle w:val="a9"/>
        <w:numPr>
          <w:ilvl w:val="0"/>
          <w:numId w:val="9"/>
        </w:numPr>
        <w:ind w:firstLineChars="0"/>
      </w:pPr>
      <w:r w:rsidRPr="004672ED">
        <w:lastRenderedPageBreak/>
        <w:t xml:space="preserve">EFSA Scientific Committee. (2005). Opinion of the Scientific Committee on a request from EFSA related to Exposure Assessments. </w:t>
      </w:r>
      <w:r w:rsidRPr="004A25BD">
        <w:rPr>
          <w:i/>
          <w:iCs/>
        </w:rPr>
        <w:t>EFSA Journal</w:t>
      </w:r>
      <w:r w:rsidRPr="004672ED">
        <w:t xml:space="preserve">, </w:t>
      </w:r>
      <w:r w:rsidRPr="004A25BD">
        <w:rPr>
          <w:i/>
          <w:iCs/>
        </w:rPr>
        <w:t>EFSA Journal</w:t>
      </w:r>
      <w:r w:rsidRPr="004672ED">
        <w:t>. https://doi.org/10.2903/j.efsa.2005.249</w:t>
      </w:r>
    </w:p>
    <w:p w14:paraId="76D1ADA3" w14:textId="77777777" w:rsidR="004672ED" w:rsidRPr="004672ED" w:rsidRDefault="004672ED" w:rsidP="004A25BD">
      <w:pPr>
        <w:pStyle w:val="a9"/>
        <w:numPr>
          <w:ilvl w:val="0"/>
          <w:numId w:val="9"/>
        </w:numPr>
        <w:ind w:firstLineChars="0"/>
      </w:pPr>
      <w:r w:rsidRPr="004672ED">
        <w:t xml:space="preserve">FAO/WHO. (2006). </w:t>
      </w:r>
      <w:r w:rsidRPr="004A25BD">
        <w:rPr>
          <w:i/>
          <w:iCs/>
        </w:rPr>
        <w:t>Evaluation of certain food contaminants: Sixty-fourth report of the Joint FAO/WHO Expert Committee on Food Additives</w:t>
      </w:r>
      <w:r w:rsidRPr="004672ED">
        <w:t xml:space="preserve"> (No. WHO Technical Report Series, No. 930.).</w:t>
      </w:r>
    </w:p>
    <w:p w14:paraId="64FF2E70" w14:textId="77777777" w:rsidR="004672ED" w:rsidRPr="004672ED" w:rsidRDefault="004672ED" w:rsidP="004A25BD">
      <w:pPr>
        <w:pStyle w:val="a9"/>
        <w:numPr>
          <w:ilvl w:val="0"/>
          <w:numId w:val="9"/>
        </w:numPr>
        <w:ind w:firstLineChars="0"/>
      </w:pPr>
      <w:r w:rsidRPr="004672ED">
        <w:t xml:space="preserve">Focker, M., Van Asselt, E. D., &amp; Van Der Fels-Klerx, H. J. (2023). Designing a risk-based monitoring plan for pathogens in food: A review. </w:t>
      </w:r>
      <w:r w:rsidRPr="004A25BD">
        <w:rPr>
          <w:i/>
          <w:iCs/>
        </w:rPr>
        <w:t>Food Control</w:t>
      </w:r>
      <w:r w:rsidRPr="004672ED">
        <w:t xml:space="preserve">, </w:t>
      </w:r>
      <w:r w:rsidRPr="004A25BD">
        <w:rPr>
          <w:i/>
          <w:iCs/>
        </w:rPr>
        <w:t>143</w:t>
      </w:r>
      <w:r w:rsidRPr="004672ED">
        <w:t>, 109319. https://doi.org/10.1016/j.foodcont.2022.109319</w:t>
      </w:r>
    </w:p>
    <w:p w14:paraId="2CA57201" w14:textId="77777777" w:rsidR="004672ED" w:rsidRPr="004672ED" w:rsidRDefault="004672ED" w:rsidP="004A25BD">
      <w:pPr>
        <w:pStyle w:val="a9"/>
        <w:numPr>
          <w:ilvl w:val="0"/>
          <w:numId w:val="9"/>
        </w:numPr>
        <w:ind w:firstLineChars="0"/>
      </w:pPr>
      <w:r w:rsidRPr="004672ED">
        <w:t xml:space="preserve">Focker, M., Van Der Fels‐Klerx, H. J., &amp; Oude Lansink, A. G. J. M. (2019). Optimization of the Aflatoxin Monitoring Costs along the Maize Supply Chain. </w:t>
      </w:r>
      <w:r w:rsidRPr="004A25BD">
        <w:rPr>
          <w:i/>
          <w:iCs/>
        </w:rPr>
        <w:t>Risk Analysis</w:t>
      </w:r>
      <w:r w:rsidRPr="004672ED">
        <w:t xml:space="preserve">, </w:t>
      </w:r>
      <w:r w:rsidRPr="004A25BD">
        <w:rPr>
          <w:i/>
          <w:iCs/>
        </w:rPr>
        <w:t>39</w:t>
      </w:r>
      <w:r w:rsidRPr="004672ED">
        <w:t>(10), 2227–2236. https://doi.org/10.1111/risa.13364</w:t>
      </w:r>
    </w:p>
    <w:p w14:paraId="621358BE" w14:textId="77777777" w:rsidR="004672ED" w:rsidRPr="004672ED" w:rsidRDefault="004672ED" w:rsidP="004A25BD">
      <w:pPr>
        <w:pStyle w:val="a9"/>
        <w:numPr>
          <w:ilvl w:val="0"/>
          <w:numId w:val="9"/>
        </w:numPr>
        <w:ind w:firstLineChars="0"/>
      </w:pPr>
      <w:r w:rsidRPr="004672ED">
        <w:t xml:space="preserve">Jin, C., Levi, R., Liang, Q., Renegar, N., Springs, S., Zhou, J., &amp; Zhou, W. (2021). Testing at the Source: Analytics-Enabled Risk-Based Sampling of Food Supply Chains in China. </w:t>
      </w:r>
      <w:r w:rsidRPr="004A25BD">
        <w:rPr>
          <w:i/>
          <w:iCs/>
        </w:rPr>
        <w:t>Management Science</w:t>
      </w:r>
      <w:r w:rsidRPr="004672ED">
        <w:t xml:space="preserve">, </w:t>
      </w:r>
      <w:r w:rsidRPr="004A25BD">
        <w:rPr>
          <w:i/>
          <w:iCs/>
        </w:rPr>
        <w:t>67</w:t>
      </w:r>
      <w:r w:rsidRPr="004672ED">
        <w:t>(5), 2985–2996. https://doi.org/10.1287/mnsc.2020.3839</w:t>
      </w:r>
    </w:p>
    <w:p w14:paraId="1B405CB3" w14:textId="77777777" w:rsidR="004672ED" w:rsidRPr="004672ED" w:rsidRDefault="004672ED" w:rsidP="004A25BD">
      <w:pPr>
        <w:pStyle w:val="a9"/>
        <w:numPr>
          <w:ilvl w:val="0"/>
          <w:numId w:val="9"/>
        </w:numPr>
        <w:ind w:firstLineChars="0"/>
      </w:pPr>
      <w:r w:rsidRPr="004672ED">
        <w:t xml:space="preserve">Kaelbling, L. P., Littman, M. L., &amp; Cassandra, A. R. (1998). Planning and acting in partially observable stochastic domains. </w:t>
      </w:r>
      <w:r w:rsidRPr="004A25BD">
        <w:rPr>
          <w:i/>
          <w:iCs/>
        </w:rPr>
        <w:t>Artificial Intelligence</w:t>
      </w:r>
      <w:r w:rsidRPr="004672ED">
        <w:t xml:space="preserve">, </w:t>
      </w:r>
      <w:r w:rsidRPr="004A25BD">
        <w:rPr>
          <w:i/>
          <w:iCs/>
        </w:rPr>
        <w:t>101</w:t>
      </w:r>
      <w:r w:rsidRPr="004672ED">
        <w:t>(1–2), 99–134. https://doi.org/10.1016/S0004-3702(98)00023-X</w:t>
      </w:r>
    </w:p>
    <w:p w14:paraId="0F30F32E" w14:textId="77777777" w:rsidR="004672ED" w:rsidRPr="004672ED" w:rsidRDefault="004672ED" w:rsidP="004A25BD">
      <w:pPr>
        <w:pStyle w:val="a9"/>
        <w:numPr>
          <w:ilvl w:val="0"/>
          <w:numId w:val="9"/>
        </w:numPr>
        <w:ind w:firstLineChars="0"/>
      </w:pPr>
      <w:r w:rsidRPr="004672ED">
        <w:t xml:space="preserve">Liu, X., Hu, M., Peng, Y., &amp; Yang, Y. (2025). Multi-Agent Deep Reinforcement Learning for Multi-Echelon Inventory Management. </w:t>
      </w:r>
      <w:r w:rsidRPr="004A25BD">
        <w:rPr>
          <w:i/>
          <w:iCs/>
        </w:rPr>
        <w:t>Production and Operations Management</w:t>
      </w:r>
      <w:r w:rsidRPr="004672ED">
        <w:t xml:space="preserve">, </w:t>
      </w:r>
      <w:r w:rsidRPr="004A25BD">
        <w:rPr>
          <w:i/>
          <w:iCs/>
        </w:rPr>
        <w:t>34</w:t>
      </w:r>
      <w:r w:rsidRPr="004672ED">
        <w:t>(7), 1836–1856. https://doi.org/10.1177/10591478241305863</w:t>
      </w:r>
    </w:p>
    <w:p w14:paraId="63EDEF5F" w14:textId="77777777" w:rsidR="004672ED" w:rsidRPr="004672ED" w:rsidRDefault="004672ED" w:rsidP="004A25BD">
      <w:pPr>
        <w:pStyle w:val="a9"/>
        <w:numPr>
          <w:ilvl w:val="0"/>
          <w:numId w:val="9"/>
        </w:numPr>
        <w:ind w:firstLineChars="0"/>
      </w:pPr>
      <w:r w:rsidRPr="004672ED">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w:t>
      </w:r>
      <w:r w:rsidRPr="004A25BD">
        <w:rPr>
          <w:i/>
          <w:iCs/>
        </w:rPr>
        <w:t>Nature</w:t>
      </w:r>
      <w:r w:rsidRPr="004672ED">
        <w:t xml:space="preserve">, </w:t>
      </w:r>
      <w:r w:rsidRPr="004A25BD">
        <w:rPr>
          <w:i/>
          <w:iCs/>
        </w:rPr>
        <w:t>518</w:t>
      </w:r>
      <w:r w:rsidRPr="004672ED">
        <w:t>(7540), 529–533. https://doi.org/10.1038/nature14236</w:t>
      </w:r>
    </w:p>
    <w:p w14:paraId="3A04EA2D" w14:textId="77777777" w:rsidR="004672ED" w:rsidRPr="004672ED" w:rsidRDefault="004672ED" w:rsidP="004A25BD">
      <w:pPr>
        <w:pStyle w:val="a9"/>
        <w:numPr>
          <w:ilvl w:val="0"/>
          <w:numId w:val="9"/>
        </w:numPr>
        <w:ind w:firstLineChars="0"/>
      </w:pPr>
      <w:r w:rsidRPr="004672ED">
        <w:t xml:space="preserve">Monahan, G. E. (1982). State of the Art—A Survey of Partially Observable Markov Decision Processes: Theory, Models, and Algorithms. </w:t>
      </w:r>
      <w:r w:rsidRPr="004A25BD">
        <w:rPr>
          <w:i/>
          <w:iCs/>
        </w:rPr>
        <w:t>Management Science</w:t>
      </w:r>
      <w:r w:rsidRPr="004672ED">
        <w:t xml:space="preserve">, </w:t>
      </w:r>
      <w:r w:rsidRPr="004A25BD">
        <w:rPr>
          <w:i/>
          <w:iCs/>
        </w:rPr>
        <w:t>28</w:t>
      </w:r>
      <w:r w:rsidRPr="004672ED">
        <w:t>(1), 1–16. https://doi.org/10.1287/mnsc.28.1.1</w:t>
      </w:r>
    </w:p>
    <w:p w14:paraId="699891F1" w14:textId="77777777" w:rsidR="004672ED" w:rsidRPr="004672ED" w:rsidRDefault="004672ED" w:rsidP="004A25BD">
      <w:pPr>
        <w:pStyle w:val="a9"/>
        <w:numPr>
          <w:ilvl w:val="0"/>
          <w:numId w:val="9"/>
        </w:numPr>
        <w:ind w:firstLineChars="0"/>
      </w:pPr>
      <w:r w:rsidRPr="004672ED">
        <w:t xml:space="preserve">Oroojlooyjadid, A., Nazari, M., Snyder, L. V., &amp; Takáč, M. (2022). A Deep Q-Network for the Beer Game: Deep Reinforcement Learning for Inventory Optimization. </w:t>
      </w:r>
      <w:r w:rsidRPr="004A25BD">
        <w:rPr>
          <w:i/>
          <w:iCs/>
        </w:rPr>
        <w:t>Manufacturing &amp; Service Operations Management</w:t>
      </w:r>
      <w:r w:rsidRPr="004672ED">
        <w:t xml:space="preserve">, </w:t>
      </w:r>
      <w:r w:rsidRPr="004A25BD">
        <w:rPr>
          <w:i/>
          <w:iCs/>
        </w:rPr>
        <w:t>24</w:t>
      </w:r>
      <w:r w:rsidRPr="004672ED">
        <w:t>(1), 285–304. https://doi.org/10.1287/msom.2020.0939</w:t>
      </w:r>
    </w:p>
    <w:p w14:paraId="1D23C356" w14:textId="77777777" w:rsidR="004672ED" w:rsidRPr="004672ED" w:rsidRDefault="004672ED" w:rsidP="004A25BD">
      <w:pPr>
        <w:pStyle w:val="a9"/>
        <w:numPr>
          <w:ilvl w:val="0"/>
          <w:numId w:val="9"/>
        </w:numPr>
        <w:ind w:firstLineChars="0"/>
      </w:pPr>
      <w:r w:rsidRPr="004672ED">
        <w:t xml:space="preserve">Powell, M. R. (2014). Optimal Food Safety Sampling Under a Budget Constraint. </w:t>
      </w:r>
      <w:r w:rsidRPr="004A25BD">
        <w:rPr>
          <w:i/>
          <w:iCs/>
        </w:rPr>
        <w:t>Risk Analysis</w:t>
      </w:r>
      <w:r w:rsidRPr="004672ED">
        <w:t xml:space="preserve">, </w:t>
      </w:r>
      <w:r w:rsidRPr="004A25BD">
        <w:rPr>
          <w:i/>
          <w:iCs/>
        </w:rPr>
        <w:t>34</w:t>
      </w:r>
      <w:r w:rsidRPr="004672ED">
        <w:t>(1), 93–100. https://doi.org/10.1111/risa.12054</w:t>
      </w:r>
    </w:p>
    <w:p w14:paraId="00098C98" w14:textId="77777777" w:rsidR="004672ED" w:rsidRPr="004672ED" w:rsidRDefault="004672ED" w:rsidP="004A25BD">
      <w:pPr>
        <w:pStyle w:val="a9"/>
        <w:numPr>
          <w:ilvl w:val="0"/>
          <w:numId w:val="9"/>
        </w:numPr>
        <w:ind w:firstLineChars="0"/>
      </w:pPr>
      <w:r w:rsidRPr="004672ED">
        <w:lastRenderedPageBreak/>
        <w:t xml:space="preserve">Smallwood, R. D., &amp; Sondik, E. J. (1973). The Optimal Control of Partially Observable Markov Processes over a Finite Horizon. </w:t>
      </w:r>
      <w:r w:rsidRPr="004A25BD">
        <w:rPr>
          <w:i/>
          <w:iCs/>
        </w:rPr>
        <w:t>Operations Research</w:t>
      </w:r>
      <w:r w:rsidRPr="004672ED">
        <w:t xml:space="preserve">, </w:t>
      </w:r>
      <w:r w:rsidRPr="004A25BD">
        <w:rPr>
          <w:i/>
          <w:iCs/>
        </w:rPr>
        <w:t>21</w:t>
      </w:r>
      <w:r w:rsidRPr="004672ED">
        <w:t>(5), 1071–1088. https://doi.org/10.1287/opre.21.5.1071</w:t>
      </w:r>
    </w:p>
    <w:p w14:paraId="0963483D" w14:textId="77777777" w:rsidR="004672ED" w:rsidRPr="004672ED" w:rsidRDefault="004672ED" w:rsidP="004A25BD">
      <w:pPr>
        <w:pStyle w:val="a9"/>
        <w:numPr>
          <w:ilvl w:val="0"/>
          <w:numId w:val="9"/>
        </w:numPr>
        <w:ind w:firstLineChars="0"/>
      </w:pPr>
      <w:r w:rsidRPr="004672ED">
        <w:t xml:space="preserve">Spaan, M. T. J. (2012). Partially Observable Markov Decision Processes. In M. Wiering &amp; M. Van Otterlo (Eds.), </w:t>
      </w:r>
      <w:r w:rsidRPr="004A25BD">
        <w:rPr>
          <w:i/>
          <w:iCs/>
        </w:rPr>
        <w:t>Reinforcement Learning</w:t>
      </w:r>
      <w:r w:rsidRPr="004672ED">
        <w:t xml:space="preserve"> (Vol. 12, pp. 387–414). Springer Berlin Heidelberg. https://doi.org/10.1007/978-3-642-27645-3_12</w:t>
      </w:r>
    </w:p>
    <w:p w14:paraId="40D6F54C" w14:textId="77777777" w:rsidR="004672ED" w:rsidRPr="004672ED" w:rsidRDefault="004672ED" w:rsidP="004A25BD">
      <w:pPr>
        <w:pStyle w:val="a9"/>
        <w:numPr>
          <w:ilvl w:val="0"/>
          <w:numId w:val="9"/>
        </w:numPr>
        <w:ind w:firstLineChars="0"/>
      </w:pPr>
      <w:r w:rsidRPr="004672ED">
        <w:t xml:space="preserve">Starbird, S. A. (2005). Moral Hazard, Inspection Policy, and Food Safety. </w:t>
      </w:r>
      <w:r w:rsidRPr="004A25BD">
        <w:rPr>
          <w:i/>
          <w:iCs/>
        </w:rPr>
        <w:t>American Journal of Agricultural Economics</w:t>
      </w:r>
      <w:r w:rsidRPr="004672ED">
        <w:t xml:space="preserve">, </w:t>
      </w:r>
      <w:r w:rsidRPr="004A25BD">
        <w:rPr>
          <w:i/>
          <w:iCs/>
        </w:rPr>
        <w:t>87</w:t>
      </w:r>
      <w:r w:rsidRPr="004672ED">
        <w:t>(1), 15–27. https://doi.org/10.1111/j.0002-9092.2005.00698.x</w:t>
      </w:r>
    </w:p>
    <w:p w14:paraId="118D4164" w14:textId="77777777" w:rsidR="004672ED" w:rsidRPr="004672ED" w:rsidRDefault="004672ED" w:rsidP="004A25BD">
      <w:pPr>
        <w:pStyle w:val="a9"/>
        <w:numPr>
          <w:ilvl w:val="0"/>
          <w:numId w:val="9"/>
        </w:numPr>
        <w:ind w:firstLineChars="0"/>
      </w:pPr>
      <w:r w:rsidRPr="004672ED">
        <w:t xml:space="preserve">Sutton, R. S., &amp; Barto, A. G. (1998). </w:t>
      </w:r>
      <w:r w:rsidRPr="004A25BD">
        <w:rPr>
          <w:i/>
          <w:iCs/>
        </w:rPr>
        <w:t>Reinforcement learning: An introduction</w:t>
      </w:r>
      <w:r w:rsidRPr="004672ED">
        <w:t xml:space="preserve"> (Vol. 1). MIT press Cambridge. https://www.cambridge.org/core/journals/robotica/article/robot-learning-edited-by-jonathan-h-connell-and-sridhar-mahadevan-kluwer-boston-19931997-xii240-pp-isbn-0792393651-hardback-21800-guilders-12000-8995/737FD21CA908246DF17779E9C20B6DF6</w:t>
      </w:r>
    </w:p>
    <w:p w14:paraId="7312665A" w14:textId="77777777" w:rsidR="004672ED" w:rsidRPr="004672ED" w:rsidRDefault="004672ED" w:rsidP="004A25BD">
      <w:pPr>
        <w:pStyle w:val="a9"/>
        <w:numPr>
          <w:ilvl w:val="0"/>
          <w:numId w:val="9"/>
        </w:numPr>
        <w:ind w:firstLineChars="0"/>
      </w:pPr>
      <w:r w:rsidRPr="004672ED">
        <w:t xml:space="preserve">Van Asselt, E. D., Hoffmans, Y., Hoek‐ Van Den Hil, E. F., &amp; Van Der Fels‐Klerx, H. J. (2021). Methods to perform risk‐based inspections of food companies. </w:t>
      </w:r>
      <w:r w:rsidRPr="004A25BD">
        <w:rPr>
          <w:i/>
          <w:iCs/>
        </w:rPr>
        <w:t>Journal of Food Science</w:t>
      </w:r>
      <w:r w:rsidRPr="004672ED">
        <w:t xml:space="preserve">, </w:t>
      </w:r>
      <w:r w:rsidRPr="004A25BD">
        <w:rPr>
          <w:i/>
          <w:iCs/>
        </w:rPr>
        <w:t>86</w:t>
      </w:r>
      <w:r w:rsidRPr="004672ED">
        <w:t>(12), 5078–5086. https://doi.org/10.1111/1750-3841.15978</w:t>
      </w:r>
    </w:p>
    <w:p w14:paraId="23ED8069" w14:textId="77777777" w:rsidR="004672ED" w:rsidRPr="004672ED" w:rsidRDefault="004672ED" w:rsidP="004A25BD">
      <w:pPr>
        <w:pStyle w:val="a9"/>
        <w:numPr>
          <w:ilvl w:val="0"/>
          <w:numId w:val="9"/>
        </w:numPr>
        <w:ind w:firstLineChars="0"/>
      </w:pPr>
      <w:r w:rsidRPr="004672ED">
        <w:t xml:space="preserve">Wang, J., Hanley, B. J., Thompson, N. E., Gong, Y., Walsh, D. P., Gonzalez-Crespo, C., Huang, Y., Booth, J. G., Caudell, J. N., Miller, L. A., &amp; Schuler, K. L. (2025). Strategic planning of prevention and surveillance for emerging diseases and invasive species. </w:t>
      </w:r>
      <w:r w:rsidRPr="004A25BD">
        <w:rPr>
          <w:i/>
          <w:iCs/>
        </w:rPr>
        <w:t>Proceedings of the National Academy of Sciences</w:t>
      </w:r>
      <w:r w:rsidRPr="004672ED">
        <w:t xml:space="preserve">, </w:t>
      </w:r>
      <w:r w:rsidRPr="004A25BD">
        <w:rPr>
          <w:i/>
          <w:iCs/>
        </w:rPr>
        <w:t>122</w:t>
      </w:r>
      <w:r w:rsidRPr="004672ED">
        <w:t>(39), e2507202122. https://doi.org/10.1073/pnas.2507202122</w:t>
      </w:r>
    </w:p>
    <w:p w14:paraId="6963FD68" w14:textId="77777777" w:rsidR="004672ED" w:rsidRPr="004672ED" w:rsidRDefault="004672ED" w:rsidP="004A25BD">
      <w:pPr>
        <w:pStyle w:val="a9"/>
        <w:numPr>
          <w:ilvl w:val="0"/>
          <w:numId w:val="9"/>
        </w:numPr>
        <w:ind w:firstLineChars="0"/>
      </w:pPr>
      <w:r w:rsidRPr="004672ED">
        <w:t xml:space="preserve">Wang, X., Bouzembrak, Y., Oude Lansink, A. G. J. M., &amp; Van Der Fels-Klerx, H. J. (2022). Designing a monitoring program for aflatoxin B1 in feed products using machine learning. </w:t>
      </w:r>
      <w:r w:rsidRPr="004A25BD">
        <w:rPr>
          <w:i/>
          <w:iCs/>
        </w:rPr>
        <w:t>Npj Science of Food</w:t>
      </w:r>
      <w:r w:rsidRPr="004672ED">
        <w:t xml:space="preserve">, </w:t>
      </w:r>
      <w:r w:rsidRPr="004A25BD">
        <w:rPr>
          <w:i/>
          <w:iCs/>
        </w:rPr>
        <w:t>6</w:t>
      </w:r>
      <w:r w:rsidRPr="004672ED">
        <w:t>(1), 40. https://doi.org/10.1038/s41538-022-00154-2</w:t>
      </w:r>
    </w:p>
    <w:p w14:paraId="3BFD60A3" w14:textId="77777777" w:rsidR="004672ED" w:rsidRPr="004672ED" w:rsidRDefault="004672ED" w:rsidP="004A25BD">
      <w:pPr>
        <w:pStyle w:val="a9"/>
        <w:numPr>
          <w:ilvl w:val="0"/>
          <w:numId w:val="9"/>
        </w:numPr>
        <w:ind w:firstLineChars="0"/>
      </w:pPr>
      <w:r w:rsidRPr="004672ED">
        <w:t xml:space="preserve">Wowak, K. D., Ball, G. P., Post, C., &amp; Ketchen, D. J. (2021). The Influence of Female Directors on Product Recall Decisions. </w:t>
      </w:r>
      <w:r w:rsidRPr="004A25BD">
        <w:rPr>
          <w:i/>
          <w:iCs/>
        </w:rPr>
        <w:t>Manufacturing &amp; Service Operations Management</w:t>
      </w:r>
      <w:r w:rsidRPr="004672ED">
        <w:t xml:space="preserve">, </w:t>
      </w:r>
      <w:r w:rsidRPr="004A25BD">
        <w:rPr>
          <w:i/>
          <w:iCs/>
        </w:rPr>
        <w:t>23</w:t>
      </w:r>
      <w:r w:rsidRPr="004672ED">
        <w:t>(4), 895–913. https://doi.org/10.1287/msom.2019.0841</w:t>
      </w:r>
    </w:p>
    <w:p w14:paraId="02712F9A" w14:textId="77777777" w:rsidR="004672ED" w:rsidRPr="004672ED" w:rsidRDefault="004672ED" w:rsidP="004A25BD">
      <w:pPr>
        <w:pStyle w:val="a9"/>
        <w:numPr>
          <w:ilvl w:val="0"/>
          <w:numId w:val="9"/>
        </w:numPr>
        <w:ind w:firstLineChars="0"/>
      </w:pPr>
      <w:r w:rsidRPr="004672ED">
        <w:t xml:space="preserve">Wu, F. (2015). Global impacts of aflatoxin in maize: Trade and human health. </w:t>
      </w:r>
      <w:r w:rsidRPr="004A25BD">
        <w:rPr>
          <w:i/>
          <w:iCs/>
        </w:rPr>
        <w:t>World Mycotoxin Journal</w:t>
      </w:r>
      <w:r w:rsidRPr="004672ED">
        <w:t xml:space="preserve">, </w:t>
      </w:r>
      <w:r w:rsidRPr="004A25BD">
        <w:rPr>
          <w:i/>
          <w:iCs/>
        </w:rPr>
        <w:t>8</w:t>
      </w:r>
      <w:r w:rsidRPr="004672ED">
        <w:t>(2), 137–142.</w:t>
      </w:r>
    </w:p>
    <w:p w14:paraId="4B3BC704" w14:textId="77777777" w:rsidR="004672ED" w:rsidRPr="004672ED" w:rsidRDefault="004672ED" w:rsidP="004A25BD">
      <w:pPr>
        <w:pStyle w:val="a9"/>
        <w:numPr>
          <w:ilvl w:val="0"/>
          <w:numId w:val="9"/>
        </w:numPr>
        <w:ind w:firstLineChars="0"/>
      </w:pPr>
      <w:r w:rsidRPr="004672ED">
        <w:t xml:space="preserve">Zou, F., Dong, Y., Song, S., &amp; Rungtusanatham, M. (2023). Product Recalls and Supply Base Innovation. </w:t>
      </w:r>
      <w:r w:rsidRPr="004A25BD">
        <w:rPr>
          <w:i/>
          <w:iCs/>
        </w:rPr>
        <w:t>Manufacturing &amp; Service Operations Management</w:t>
      </w:r>
      <w:r w:rsidRPr="004672ED">
        <w:t xml:space="preserve">, </w:t>
      </w:r>
      <w:r w:rsidRPr="004A25BD">
        <w:rPr>
          <w:i/>
          <w:iCs/>
        </w:rPr>
        <w:t>25</w:t>
      </w:r>
      <w:r w:rsidRPr="004672ED">
        <w:t>(5), 1931–1946. https://doi.org/10.1287/msom.2023.1213</w:t>
      </w:r>
    </w:p>
    <w:p w14:paraId="559F61C1" w14:textId="553E337D" w:rsidR="00FD740B" w:rsidRDefault="004672ED" w:rsidP="004A25BD">
      <w:pPr>
        <w:ind w:firstLineChars="0" w:firstLine="0"/>
        <w:rPr>
          <w:szCs w:val="24"/>
        </w:rPr>
      </w:pPr>
      <w:r>
        <w:rPr>
          <w:szCs w:val="24"/>
        </w:rPr>
        <w:fldChar w:fldCharType="end"/>
      </w:r>
    </w:p>
    <w:p w14:paraId="4793870E" w14:textId="77777777" w:rsidR="00FD740B" w:rsidRDefault="00FD740B" w:rsidP="00D73FC4">
      <w:pPr>
        <w:ind w:firstLineChars="0" w:firstLine="0"/>
        <w:rPr>
          <w:rFonts w:cs="Times New Roman"/>
        </w:rPr>
      </w:pPr>
    </w:p>
    <w:sectPr w:rsidR="00FD740B">
      <w:headerReference w:type="even" r:id="rId15"/>
      <w:headerReference w:type="default" r:id="rId16"/>
      <w:footerReference w:type="even" r:id="rId17"/>
      <w:footerReference w:type="default" r:id="rId18"/>
      <w:headerReference w:type="first" r:id="rId19"/>
      <w:footerReference w:type="first" r:id="rId20"/>
      <w:pgSz w:w="11906" w:h="16838"/>
      <w:pgMar w:top="1440" w:right="1418" w:bottom="1440"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6F7D9" w14:textId="77777777" w:rsidR="001F3A2F" w:rsidRDefault="001F3A2F">
      <w:pPr>
        <w:ind w:firstLine="480"/>
      </w:pPr>
      <w:r>
        <w:separator/>
      </w:r>
    </w:p>
  </w:endnote>
  <w:endnote w:type="continuationSeparator" w:id="0">
    <w:p w14:paraId="37F9D793" w14:textId="77777777" w:rsidR="001F3A2F" w:rsidRDefault="001F3A2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
    <w:panose1 w:val="02020603050405020304"/>
    <w:charset w:val="00"/>
    <w:family w:val="auto"/>
    <w:pitch w:val="variable"/>
    <w:sig w:usb0="E00002FF" w:usb1="5000205A" w:usb2="00000000" w:usb3="00000000" w:csb0="0000019F" w:csb1="00000000"/>
  </w:font>
  <w:font w:name="Inherited">
    <w:altName w:val="宋体"/>
    <w:charset w:val="86"/>
    <w:family w:val="roman"/>
    <w:pitch w:val="default"/>
    <w:sig w:usb0="00000000" w:usb1="0000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22F35" w14:textId="77777777" w:rsidR="00DA58AD" w:rsidRDefault="00DA58AD">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vanish/>
        <w:highlight w:val="yellow"/>
      </w:rPr>
      <w:id w:val="-839697229"/>
    </w:sdtPr>
    <w:sdtContent>
      <w:p w14:paraId="54180E6F" w14:textId="77777777" w:rsidR="00FD740B" w:rsidRDefault="00616E0E">
        <w:pPr>
          <w:pStyle w:val="a3"/>
          <w:ind w:firstLine="360"/>
          <w:jc w:val="center"/>
        </w:pPr>
        <w:r>
          <w:fldChar w:fldCharType="begin"/>
        </w:r>
        <w:r>
          <w:instrText>PAGE   \* MERGEFORMAT</w:instrText>
        </w:r>
        <w:r>
          <w:fldChar w:fldCharType="separate"/>
        </w:r>
        <w:r>
          <w:rPr>
            <w:lang w:val="zh-CN"/>
          </w:rPr>
          <w:t>10</w:t>
        </w:r>
        <w:r>
          <w:fldChar w:fldCharType="end"/>
        </w:r>
      </w:p>
    </w:sdtContent>
  </w:sdt>
  <w:p w14:paraId="39EEAC50" w14:textId="77777777" w:rsidR="00FD740B" w:rsidRDefault="00FD740B">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C1761" w14:textId="77777777" w:rsidR="00DA58AD" w:rsidRDefault="00DA58AD">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0F919" w14:textId="77777777" w:rsidR="001F3A2F" w:rsidRDefault="001F3A2F">
      <w:pPr>
        <w:ind w:firstLine="480"/>
      </w:pPr>
      <w:r>
        <w:separator/>
      </w:r>
    </w:p>
  </w:footnote>
  <w:footnote w:type="continuationSeparator" w:id="0">
    <w:p w14:paraId="1BB582CB" w14:textId="77777777" w:rsidR="001F3A2F" w:rsidRDefault="001F3A2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A07FB" w14:textId="77777777" w:rsidR="00DA58AD" w:rsidRDefault="00DA58AD">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86035" w14:textId="77777777" w:rsidR="00DA58AD" w:rsidRDefault="00DA58AD">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439F1" w14:textId="77777777" w:rsidR="00DA58AD" w:rsidRDefault="00DA58AD">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2F2"/>
    <w:multiLevelType w:val="multilevel"/>
    <w:tmpl w:val="3E0CE4C8"/>
    <w:lvl w:ilvl="0">
      <w:start w:val="1"/>
      <w:numFmt w:val="decimal"/>
      <w:suff w:val="space"/>
      <w:lvlText w:val="%1"/>
      <w:lvlJc w:val="left"/>
      <w:pPr>
        <w:ind w:left="0" w:firstLine="0"/>
      </w:pPr>
      <w:rPr>
        <w:rFonts w:hint="eastAsia"/>
      </w:rPr>
    </w:lvl>
    <w:lvl w:ilvl="1">
      <w:start w:val="1"/>
      <w:numFmt w:val="decimal"/>
      <w:suff w:val="space"/>
      <w:lvlText w:val="%1.%2"/>
      <w:lvlJc w:val="left"/>
      <w:pPr>
        <w:ind w:left="3402"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794" w:hanging="794"/>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1EE33B8"/>
    <w:multiLevelType w:val="multilevel"/>
    <w:tmpl w:val="1818A454"/>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1134"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759755E"/>
    <w:multiLevelType w:val="hybridMultilevel"/>
    <w:tmpl w:val="E81880DE"/>
    <w:lvl w:ilvl="0" w:tplc="3A0E7B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BF54733"/>
    <w:multiLevelType w:val="hybridMultilevel"/>
    <w:tmpl w:val="7C6A59FA"/>
    <w:lvl w:ilvl="0" w:tplc="3A0E7B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32F7C05"/>
    <w:multiLevelType w:val="hybridMultilevel"/>
    <w:tmpl w:val="55226C70"/>
    <w:lvl w:ilvl="0" w:tplc="3A0E7B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7777392"/>
    <w:multiLevelType w:val="hybridMultilevel"/>
    <w:tmpl w:val="275C6E28"/>
    <w:lvl w:ilvl="0" w:tplc="113686C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77EA18F2"/>
    <w:multiLevelType w:val="hybridMultilevel"/>
    <w:tmpl w:val="4B04702E"/>
    <w:lvl w:ilvl="0" w:tplc="3A0E7B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48783752">
    <w:abstractNumId w:val="0"/>
  </w:num>
  <w:num w:numId="2" w16cid:durableId="815144468">
    <w:abstractNumId w:val="0"/>
  </w:num>
  <w:num w:numId="3" w16cid:durableId="966860099">
    <w:abstractNumId w:val="0"/>
  </w:num>
  <w:num w:numId="4" w16cid:durableId="1300646122">
    <w:abstractNumId w:val="1"/>
  </w:num>
  <w:num w:numId="5" w16cid:durableId="166941137">
    <w:abstractNumId w:val="5"/>
  </w:num>
  <w:num w:numId="6" w16cid:durableId="487945526">
    <w:abstractNumId w:val="6"/>
  </w:num>
  <w:num w:numId="7" w16cid:durableId="536165306">
    <w:abstractNumId w:val="3"/>
  </w:num>
  <w:num w:numId="8" w16cid:durableId="1179732156">
    <w:abstractNumId w:val="4"/>
  </w:num>
  <w:num w:numId="9" w16cid:durableId="382213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evenAndOddHeaders/>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7BCB"/>
    <w:rsid w:val="00014C94"/>
    <w:rsid w:val="00016CC3"/>
    <w:rsid w:val="00027226"/>
    <w:rsid w:val="000305C3"/>
    <w:rsid w:val="000412F6"/>
    <w:rsid w:val="00055B89"/>
    <w:rsid w:val="000562C6"/>
    <w:rsid w:val="00064954"/>
    <w:rsid w:val="00066609"/>
    <w:rsid w:val="00067618"/>
    <w:rsid w:val="00070BF6"/>
    <w:rsid w:val="00072657"/>
    <w:rsid w:val="00073B1D"/>
    <w:rsid w:val="00075A2E"/>
    <w:rsid w:val="0009358A"/>
    <w:rsid w:val="0009619E"/>
    <w:rsid w:val="0009766D"/>
    <w:rsid w:val="000A0CBD"/>
    <w:rsid w:val="000A5289"/>
    <w:rsid w:val="000B4CF6"/>
    <w:rsid w:val="000B541A"/>
    <w:rsid w:val="000C1628"/>
    <w:rsid w:val="000C3172"/>
    <w:rsid w:val="000C36C1"/>
    <w:rsid w:val="000C59DA"/>
    <w:rsid w:val="000C698B"/>
    <w:rsid w:val="000D539D"/>
    <w:rsid w:val="000D7AE5"/>
    <w:rsid w:val="000E45CD"/>
    <w:rsid w:val="00101B46"/>
    <w:rsid w:val="001025FF"/>
    <w:rsid w:val="001039FD"/>
    <w:rsid w:val="001110A3"/>
    <w:rsid w:val="001119CC"/>
    <w:rsid w:val="0011358C"/>
    <w:rsid w:val="001141D6"/>
    <w:rsid w:val="0011634D"/>
    <w:rsid w:val="0011654C"/>
    <w:rsid w:val="001204A8"/>
    <w:rsid w:val="0012470D"/>
    <w:rsid w:val="001250BC"/>
    <w:rsid w:val="00127076"/>
    <w:rsid w:val="00127C5A"/>
    <w:rsid w:val="001327AB"/>
    <w:rsid w:val="001330EC"/>
    <w:rsid w:val="00135A0A"/>
    <w:rsid w:val="00136753"/>
    <w:rsid w:val="0014581F"/>
    <w:rsid w:val="00151442"/>
    <w:rsid w:val="00162248"/>
    <w:rsid w:val="00162274"/>
    <w:rsid w:val="0016677B"/>
    <w:rsid w:val="00172A27"/>
    <w:rsid w:val="00177237"/>
    <w:rsid w:val="00190307"/>
    <w:rsid w:val="001913B3"/>
    <w:rsid w:val="0019308B"/>
    <w:rsid w:val="00193CBD"/>
    <w:rsid w:val="00194057"/>
    <w:rsid w:val="001A1EB3"/>
    <w:rsid w:val="001A435E"/>
    <w:rsid w:val="001A4541"/>
    <w:rsid w:val="001A4F5F"/>
    <w:rsid w:val="001A7194"/>
    <w:rsid w:val="001B11C1"/>
    <w:rsid w:val="001B2D95"/>
    <w:rsid w:val="001B3E8B"/>
    <w:rsid w:val="001B71F9"/>
    <w:rsid w:val="001C12E7"/>
    <w:rsid w:val="001C1699"/>
    <w:rsid w:val="001C4A11"/>
    <w:rsid w:val="001C7BB1"/>
    <w:rsid w:val="001D2E99"/>
    <w:rsid w:val="001D3423"/>
    <w:rsid w:val="001D7702"/>
    <w:rsid w:val="001E1659"/>
    <w:rsid w:val="001E2536"/>
    <w:rsid w:val="001E2B50"/>
    <w:rsid w:val="001E2C33"/>
    <w:rsid w:val="001E2F95"/>
    <w:rsid w:val="001E7021"/>
    <w:rsid w:val="001E7626"/>
    <w:rsid w:val="001F2AE0"/>
    <w:rsid w:val="001F3A2F"/>
    <w:rsid w:val="00200251"/>
    <w:rsid w:val="002024DD"/>
    <w:rsid w:val="00202B08"/>
    <w:rsid w:val="0020461D"/>
    <w:rsid w:val="00211143"/>
    <w:rsid w:val="0022298A"/>
    <w:rsid w:val="00235270"/>
    <w:rsid w:val="00236829"/>
    <w:rsid w:val="0024280E"/>
    <w:rsid w:val="0024453B"/>
    <w:rsid w:val="002516B3"/>
    <w:rsid w:val="00252C3E"/>
    <w:rsid w:val="00257FCC"/>
    <w:rsid w:val="00263649"/>
    <w:rsid w:val="002713BA"/>
    <w:rsid w:val="00271481"/>
    <w:rsid w:val="00271E54"/>
    <w:rsid w:val="00284AE1"/>
    <w:rsid w:val="00292016"/>
    <w:rsid w:val="00293039"/>
    <w:rsid w:val="00295E5E"/>
    <w:rsid w:val="002A2265"/>
    <w:rsid w:val="002B3E56"/>
    <w:rsid w:val="002D7460"/>
    <w:rsid w:val="002F274F"/>
    <w:rsid w:val="002F37C1"/>
    <w:rsid w:val="002F4727"/>
    <w:rsid w:val="003067B8"/>
    <w:rsid w:val="003104EE"/>
    <w:rsid w:val="00311D10"/>
    <w:rsid w:val="00312B23"/>
    <w:rsid w:val="00314FFA"/>
    <w:rsid w:val="00322430"/>
    <w:rsid w:val="003250E2"/>
    <w:rsid w:val="003466E7"/>
    <w:rsid w:val="003653B7"/>
    <w:rsid w:val="003714D2"/>
    <w:rsid w:val="0037699E"/>
    <w:rsid w:val="00381840"/>
    <w:rsid w:val="00382947"/>
    <w:rsid w:val="003843E8"/>
    <w:rsid w:val="00394C5B"/>
    <w:rsid w:val="003A390C"/>
    <w:rsid w:val="003A49ED"/>
    <w:rsid w:val="003B1B0E"/>
    <w:rsid w:val="003B2803"/>
    <w:rsid w:val="003B61F4"/>
    <w:rsid w:val="003B6501"/>
    <w:rsid w:val="003C1B3F"/>
    <w:rsid w:val="003C1F1E"/>
    <w:rsid w:val="003C566F"/>
    <w:rsid w:val="003C65C9"/>
    <w:rsid w:val="003C7806"/>
    <w:rsid w:val="003E6A6D"/>
    <w:rsid w:val="003F192C"/>
    <w:rsid w:val="00403C6E"/>
    <w:rsid w:val="00407A7B"/>
    <w:rsid w:val="0041530F"/>
    <w:rsid w:val="00423396"/>
    <w:rsid w:val="0042751D"/>
    <w:rsid w:val="00432395"/>
    <w:rsid w:val="00440C9E"/>
    <w:rsid w:val="00447C47"/>
    <w:rsid w:val="00450F64"/>
    <w:rsid w:val="00453812"/>
    <w:rsid w:val="00460358"/>
    <w:rsid w:val="0046127F"/>
    <w:rsid w:val="004665F1"/>
    <w:rsid w:val="00466EB8"/>
    <w:rsid w:val="004672ED"/>
    <w:rsid w:val="0047025A"/>
    <w:rsid w:val="00494A95"/>
    <w:rsid w:val="00497108"/>
    <w:rsid w:val="004A25BD"/>
    <w:rsid w:val="004A62F4"/>
    <w:rsid w:val="004B43FB"/>
    <w:rsid w:val="004B5999"/>
    <w:rsid w:val="004C063E"/>
    <w:rsid w:val="004D0A4C"/>
    <w:rsid w:val="004D6890"/>
    <w:rsid w:val="004E3C0A"/>
    <w:rsid w:val="004E5C08"/>
    <w:rsid w:val="004E635D"/>
    <w:rsid w:val="004F1C80"/>
    <w:rsid w:val="004F54AE"/>
    <w:rsid w:val="00513871"/>
    <w:rsid w:val="0054285A"/>
    <w:rsid w:val="00550893"/>
    <w:rsid w:val="005541B2"/>
    <w:rsid w:val="0055560A"/>
    <w:rsid w:val="005561C7"/>
    <w:rsid w:val="005606EC"/>
    <w:rsid w:val="00563B57"/>
    <w:rsid w:val="00572961"/>
    <w:rsid w:val="00572E2A"/>
    <w:rsid w:val="00575849"/>
    <w:rsid w:val="005761F2"/>
    <w:rsid w:val="00584E5C"/>
    <w:rsid w:val="005948EC"/>
    <w:rsid w:val="00594FB8"/>
    <w:rsid w:val="005A22F6"/>
    <w:rsid w:val="005B55C2"/>
    <w:rsid w:val="005C21FB"/>
    <w:rsid w:val="005C5EBB"/>
    <w:rsid w:val="005C6AA6"/>
    <w:rsid w:val="005D3F85"/>
    <w:rsid w:val="005D653C"/>
    <w:rsid w:val="005D73C8"/>
    <w:rsid w:val="005D7EA5"/>
    <w:rsid w:val="005E585D"/>
    <w:rsid w:val="0060261C"/>
    <w:rsid w:val="0060403D"/>
    <w:rsid w:val="00610928"/>
    <w:rsid w:val="0061426F"/>
    <w:rsid w:val="00616005"/>
    <w:rsid w:val="00616E0E"/>
    <w:rsid w:val="0063137E"/>
    <w:rsid w:val="00634C6C"/>
    <w:rsid w:val="00652759"/>
    <w:rsid w:val="00663704"/>
    <w:rsid w:val="00667DE0"/>
    <w:rsid w:val="00680CA1"/>
    <w:rsid w:val="00686026"/>
    <w:rsid w:val="0068787F"/>
    <w:rsid w:val="006A3D41"/>
    <w:rsid w:val="006A4B3B"/>
    <w:rsid w:val="006A68EF"/>
    <w:rsid w:val="006A6D5D"/>
    <w:rsid w:val="006A73B1"/>
    <w:rsid w:val="006B242A"/>
    <w:rsid w:val="006B3560"/>
    <w:rsid w:val="006B4E9D"/>
    <w:rsid w:val="006B5A92"/>
    <w:rsid w:val="006C1612"/>
    <w:rsid w:val="006D0958"/>
    <w:rsid w:val="006D4F5D"/>
    <w:rsid w:val="006D5CFC"/>
    <w:rsid w:val="006D7349"/>
    <w:rsid w:val="006E6EE2"/>
    <w:rsid w:val="006F5F88"/>
    <w:rsid w:val="0070772A"/>
    <w:rsid w:val="00733D9B"/>
    <w:rsid w:val="007400BE"/>
    <w:rsid w:val="00771E10"/>
    <w:rsid w:val="00772A2E"/>
    <w:rsid w:val="00781187"/>
    <w:rsid w:val="007A01B3"/>
    <w:rsid w:val="007A0641"/>
    <w:rsid w:val="007A3BD8"/>
    <w:rsid w:val="007B614A"/>
    <w:rsid w:val="007C31FC"/>
    <w:rsid w:val="007C407E"/>
    <w:rsid w:val="007C79B9"/>
    <w:rsid w:val="007D2C2D"/>
    <w:rsid w:val="007D3314"/>
    <w:rsid w:val="007E0758"/>
    <w:rsid w:val="007E1B78"/>
    <w:rsid w:val="007E451F"/>
    <w:rsid w:val="007E7F90"/>
    <w:rsid w:val="007F0AB1"/>
    <w:rsid w:val="007F3A92"/>
    <w:rsid w:val="007F4214"/>
    <w:rsid w:val="007F6D21"/>
    <w:rsid w:val="007F738C"/>
    <w:rsid w:val="00804D1E"/>
    <w:rsid w:val="00817089"/>
    <w:rsid w:val="00817BD2"/>
    <w:rsid w:val="00817FD7"/>
    <w:rsid w:val="00834A0C"/>
    <w:rsid w:val="00836275"/>
    <w:rsid w:val="00836C63"/>
    <w:rsid w:val="00845F44"/>
    <w:rsid w:val="008478A9"/>
    <w:rsid w:val="00847CC4"/>
    <w:rsid w:val="008504B1"/>
    <w:rsid w:val="008513C3"/>
    <w:rsid w:val="00852858"/>
    <w:rsid w:val="00853123"/>
    <w:rsid w:val="00855A9C"/>
    <w:rsid w:val="0085672C"/>
    <w:rsid w:val="00856E49"/>
    <w:rsid w:val="00857E44"/>
    <w:rsid w:val="0086027D"/>
    <w:rsid w:val="008667CA"/>
    <w:rsid w:val="008748EB"/>
    <w:rsid w:val="0088352D"/>
    <w:rsid w:val="008905C3"/>
    <w:rsid w:val="00897C23"/>
    <w:rsid w:val="008A17F1"/>
    <w:rsid w:val="008A4D9A"/>
    <w:rsid w:val="008A6355"/>
    <w:rsid w:val="008A73E2"/>
    <w:rsid w:val="008B2D1A"/>
    <w:rsid w:val="008C3532"/>
    <w:rsid w:val="008C3699"/>
    <w:rsid w:val="008C615A"/>
    <w:rsid w:val="008D0D29"/>
    <w:rsid w:val="008D6295"/>
    <w:rsid w:val="008D78F6"/>
    <w:rsid w:val="008F03E3"/>
    <w:rsid w:val="008F2DBD"/>
    <w:rsid w:val="008F3C40"/>
    <w:rsid w:val="008F61A3"/>
    <w:rsid w:val="0090405D"/>
    <w:rsid w:val="00911E55"/>
    <w:rsid w:val="00912EB5"/>
    <w:rsid w:val="00915532"/>
    <w:rsid w:val="009159C7"/>
    <w:rsid w:val="00921E12"/>
    <w:rsid w:val="00930800"/>
    <w:rsid w:val="00931AB5"/>
    <w:rsid w:val="0093608A"/>
    <w:rsid w:val="0094397F"/>
    <w:rsid w:val="009534C4"/>
    <w:rsid w:val="0095778D"/>
    <w:rsid w:val="00965845"/>
    <w:rsid w:val="00970618"/>
    <w:rsid w:val="0098200D"/>
    <w:rsid w:val="0098727A"/>
    <w:rsid w:val="0099019E"/>
    <w:rsid w:val="00995A40"/>
    <w:rsid w:val="00995EC2"/>
    <w:rsid w:val="009A386B"/>
    <w:rsid w:val="009A716E"/>
    <w:rsid w:val="009B0E86"/>
    <w:rsid w:val="009D179E"/>
    <w:rsid w:val="009D1CCD"/>
    <w:rsid w:val="009D279D"/>
    <w:rsid w:val="009E0D61"/>
    <w:rsid w:val="009E46B6"/>
    <w:rsid w:val="009E75BC"/>
    <w:rsid w:val="009F5B18"/>
    <w:rsid w:val="009F6857"/>
    <w:rsid w:val="00A0030B"/>
    <w:rsid w:val="00A00C39"/>
    <w:rsid w:val="00A224B3"/>
    <w:rsid w:val="00A2454D"/>
    <w:rsid w:val="00A36742"/>
    <w:rsid w:val="00A47CBA"/>
    <w:rsid w:val="00A50D4E"/>
    <w:rsid w:val="00A533E2"/>
    <w:rsid w:val="00A73101"/>
    <w:rsid w:val="00A82278"/>
    <w:rsid w:val="00A84A47"/>
    <w:rsid w:val="00A876FB"/>
    <w:rsid w:val="00A92306"/>
    <w:rsid w:val="00A93663"/>
    <w:rsid w:val="00A963A7"/>
    <w:rsid w:val="00AA0224"/>
    <w:rsid w:val="00AA194D"/>
    <w:rsid w:val="00AA617C"/>
    <w:rsid w:val="00AB360C"/>
    <w:rsid w:val="00AB3EE3"/>
    <w:rsid w:val="00AB5368"/>
    <w:rsid w:val="00AC714A"/>
    <w:rsid w:val="00AD4462"/>
    <w:rsid w:val="00B23EEA"/>
    <w:rsid w:val="00B25AA1"/>
    <w:rsid w:val="00B2686C"/>
    <w:rsid w:val="00B3656F"/>
    <w:rsid w:val="00B41ECA"/>
    <w:rsid w:val="00B42690"/>
    <w:rsid w:val="00B45599"/>
    <w:rsid w:val="00B45E26"/>
    <w:rsid w:val="00B564C5"/>
    <w:rsid w:val="00B6072E"/>
    <w:rsid w:val="00B644BB"/>
    <w:rsid w:val="00B64944"/>
    <w:rsid w:val="00B67067"/>
    <w:rsid w:val="00B718EC"/>
    <w:rsid w:val="00B7441B"/>
    <w:rsid w:val="00B76D74"/>
    <w:rsid w:val="00B77D97"/>
    <w:rsid w:val="00B82933"/>
    <w:rsid w:val="00B847FB"/>
    <w:rsid w:val="00BA76DD"/>
    <w:rsid w:val="00BB16C1"/>
    <w:rsid w:val="00BB598A"/>
    <w:rsid w:val="00BB678E"/>
    <w:rsid w:val="00BC2B81"/>
    <w:rsid w:val="00BC5718"/>
    <w:rsid w:val="00BC7A3A"/>
    <w:rsid w:val="00BC7F52"/>
    <w:rsid w:val="00BD6947"/>
    <w:rsid w:val="00BD69AC"/>
    <w:rsid w:val="00BE4797"/>
    <w:rsid w:val="00BF7AF1"/>
    <w:rsid w:val="00C00AFD"/>
    <w:rsid w:val="00C15F98"/>
    <w:rsid w:val="00C21E46"/>
    <w:rsid w:val="00C23135"/>
    <w:rsid w:val="00C27425"/>
    <w:rsid w:val="00C34EA4"/>
    <w:rsid w:val="00C35F37"/>
    <w:rsid w:val="00C42BC7"/>
    <w:rsid w:val="00C467CD"/>
    <w:rsid w:val="00C474C7"/>
    <w:rsid w:val="00C55D78"/>
    <w:rsid w:val="00C57753"/>
    <w:rsid w:val="00C64D09"/>
    <w:rsid w:val="00C71F9E"/>
    <w:rsid w:val="00C72ACE"/>
    <w:rsid w:val="00C903B7"/>
    <w:rsid w:val="00C926FF"/>
    <w:rsid w:val="00C94FD4"/>
    <w:rsid w:val="00CA1306"/>
    <w:rsid w:val="00CC127B"/>
    <w:rsid w:val="00CC71E0"/>
    <w:rsid w:val="00CD3888"/>
    <w:rsid w:val="00CD5AF4"/>
    <w:rsid w:val="00CD6DE9"/>
    <w:rsid w:val="00CE28D2"/>
    <w:rsid w:val="00CF7029"/>
    <w:rsid w:val="00D0257B"/>
    <w:rsid w:val="00D02588"/>
    <w:rsid w:val="00D0512E"/>
    <w:rsid w:val="00D120E3"/>
    <w:rsid w:val="00D13D97"/>
    <w:rsid w:val="00D151D8"/>
    <w:rsid w:val="00D24F98"/>
    <w:rsid w:val="00D31759"/>
    <w:rsid w:val="00D345E1"/>
    <w:rsid w:val="00D504FB"/>
    <w:rsid w:val="00D51360"/>
    <w:rsid w:val="00D61170"/>
    <w:rsid w:val="00D63695"/>
    <w:rsid w:val="00D64610"/>
    <w:rsid w:val="00D72BE1"/>
    <w:rsid w:val="00D73FC4"/>
    <w:rsid w:val="00D82871"/>
    <w:rsid w:val="00D87589"/>
    <w:rsid w:val="00D909BF"/>
    <w:rsid w:val="00D947E0"/>
    <w:rsid w:val="00DA58AD"/>
    <w:rsid w:val="00DA649E"/>
    <w:rsid w:val="00DA6BA5"/>
    <w:rsid w:val="00DC534D"/>
    <w:rsid w:val="00DC6D21"/>
    <w:rsid w:val="00DD0FEE"/>
    <w:rsid w:val="00DD1094"/>
    <w:rsid w:val="00DE2D7F"/>
    <w:rsid w:val="00DE57E0"/>
    <w:rsid w:val="00DF691B"/>
    <w:rsid w:val="00E00926"/>
    <w:rsid w:val="00E03476"/>
    <w:rsid w:val="00E114BD"/>
    <w:rsid w:val="00E15382"/>
    <w:rsid w:val="00E23B97"/>
    <w:rsid w:val="00E2692B"/>
    <w:rsid w:val="00E345C7"/>
    <w:rsid w:val="00E34B0D"/>
    <w:rsid w:val="00E373EC"/>
    <w:rsid w:val="00E373F6"/>
    <w:rsid w:val="00E37C74"/>
    <w:rsid w:val="00E43C5B"/>
    <w:rsid w:val="00E459EF"/>
    <w:rsid w:val="00E46DF2"/>
    <w:rsid w:val="00E5434C"/>
    <w:rsid w:val="00E54660"/>
    <w:rsid w:val="00E60C48"/>
    <w:rsid w:val="00E60FB6"/>
    <w:rsid w:val="00E66B24"/>
    <w:rsid w:val="00E67EB7"/>
    <w:rsid w:val="00E714BF"/>
    <w:rsid w:val="00E73C31"/>
    <w:rsid w:val="00E82835"/>
    <w:rsid w:val="00E83E9A"/>
    <w:rsid w:val="00E90335"/>
    <w:rsid w:val="00E906EE"/>
    <w:rsid w:val="00E910AD"/>
    <w:rsid w:val="00EA0869"/>
    <w:rsid w:val="00EA5A60"/>
    <w:rsid w:val="00EA7C52"/>
    <w:rsid w:val="00EB6A40"/>
    <w:rsid w:val="00EC2AC7"/>
    <w:rsid w:val="00EC551C"/>
    <w:rsid w:val="00ED01E9"/>
    <w:rsid w:val="00ED1C6F"/>
    <w:rsid w:val="00ED2EAC"/>
    <w:rsid w:val="00EE439A"/>
    <w:rsid w:val="00EF6D95"/>
    <w:rsid w:val="00F0064C"/>
    <w:rsid w:val="00F04530"/>
    <w:rsid w:val="00F06C8F"/>
    <w:rsid w:val="00F12AE3"/>
    <w:rsid w:val="00F16378"/>
    <w:rsid w:val="00F17F95"/>
    <w:rsid w:val="00F3034F"/>
    <w:rsid w:val="00F32B64"/>
    <w:rsid w:val="00F354B0"/>
    <w:rsid w:val="00F35BC8"/>
    <w:rsid w:val="00F3771C"/>
    <w:rsid w:val="00F40524"/>
    <w:rsid w:val="00F461B9"/>
    <w:rsid w:val="00F46C35"/>
    <w:rsid w:val="00F57BD5"/>
    <w:rsid w:val="00F64B7F"/>
    <w:rsid w:val="00F82C04"/>
    <w:rsid w:val="00F87C21"/>
    <w:rsid w:val="00F90888"/>
    <w:rsid w:val="00FA0727"/>
    <w:rsid w:val="00FA3833"/>
    <w:rsid w:val="00FA5081"/>
    <w:rsid w:val="00FA53C7"/>
    <w:rsid w:val="00FB16C5"/>
    <w:rsid w:val="00FB24B2"/>
    <w:rsid w:val="00FB6B3A"/>
    <w:rsid w:val="00FC19BD"/>
    <w:rsid w:val="00FC6591"/>
    <w:rsid w:val="00FD008C"/>
    <w:rsid w:val="00FD7369"/>
    <w:rsid w:val="00FD740B"/>
    <w:rsid w:val="00FD78BE"/>
    <w:rsid w:val="00FF3444"/>
    <w:rsid w:val="01B23537"/>
    <w:rsid w:val="02BB1282"/>
    <w:rsid w:val="02F53210"/>
    <w:rsid w:val="031902F5"/>
    <w:rsid w:val="035A3484"/>
    <w:rsid w:val="041E0EA1"/>
    <w:rsid w:val="04DA5C7A"/>
    <w:rsid w:val="051B0BD8"/>
    <w:rsid w:val="059A785D"/>
    <w:rsid w:val="05CA2754"/>
    <w:rsid w:val="05F36F23"/>
    <w:rsid w:val="07385D5B"/>
    <w:rsid w:val="07636AE4"/>
    <w:rsid w:val="07A80CA1"/>
    <w:rsid w:val="080214DC"/>
    <w:rsid w:val="08F22BA5"/>
    <w:rsid w:val="09343829"/>
    <w:rsid w:val="09DD1ECA"/>
    <w:rsid w:val="0A3042BB"/>
    <w:rsid w:val="0A35529B"/>
    <w:rsid w:val="0A7F7769"/>
    <w:rsid w:val="0AA80C39"/>
    <w:rsid w:val="0AFA2D06"/>
    <w:rsid w:val="0C6963B8"/>
    <w:rsid w:val="0CE645E5"/>
    <w:rsid w:val="0DC7251D"/>
    <w:rsid w:val="0DE61737"/>
    <w:rsid w:val="0E1D3D52"/>
    <w:rsid w:val="0E25455E"/>
    <w:rsid w:val="0EC36FAF"/>
    <w:rsid w:val="0EEF0C9B"/>
    <w:rsid w:val="0F08517C"/>
    <w:rsid w:val="0F35268C"/>
    <w:rsid w:val="0F3B401D"/>
    <w:rsid w:val="0FB315E5"/>
    <w:rsid w:val="0FBA6E62"/>
    <w:rsid w:val="0FC979F8"/>
    <w:rsid w:val="10BE7A83"/>
    <w:rsid w:val="116F2D2F"/>
    <w:rsid w:val="133760A6"/>
    <w:rsid w:val="135860F0"/>
    <w:rsid w:val="15A10C27"/>
    <w:rsid w:val="15A566FA"/>
    <w:rsid w:val="16B340A7"/>
    <w:rsid w:val="16F1391D"/>
    <w:rsid w:val="171C5808"/>
    <w:rsid w:val="180B2415"/>
    <w:rsid w:val="182E16A5"/>
    <w:rsid w:val="19092FCD"/>
    <w:rsid w:val="19257AE6"/>
    <w:rsid w:val="19261848"/>
    <w:rsid w:val="19273D0C"/>
    <w:rsid w:val="19885F79"/>
    <w:rsid w:val="19A21889"/>
    <w:rsid w:val="19A753B3"/>
    <w:rsid w:val="1AD54C28"/>
    <w:rsid w:val="1ADD0D65"/>
    <w:rsid w:val="1C1E66A1"/>
    <w:rsid w:val="1C54655C"/>
    <w:rsid w:val="1C9E5FBF"/>
    <w:rsid w:val="1CB442A8"/>
    <w:rsid w:val="1CF20492"/>
    <w:rsid w:val="1D0E021B"/>
    <w:rsid w:val="1DD940D8"/>
    <w:rsid w:val="1E534A2B"/>
    <w:rsid w:val="1FB55C5D"/>
    <w:rsid w:val="1FCC3BF2"/>
    <w:rsid w:val="1FE27003"/>
    <w:rsid w:val="207202B9"/>
    <w:rsid w:val="21084AC5"/>
    <w:rsid w:val="222B2EE1"/>
    <w:rsid w:val="23833B7F"/>
    <w:rsid w:val="23A9486B"/>
    <w:rsid w:val="24FE6DEF"/>
    <w:rsid w:val="253E3E36"/>
    <w:rsid w:val="25614DFA"/>
    <w:rsid w:val="262757F6"/>
    <w:rsid w:val="269369B1"/>
    <w:rsid w:val="27B85901"/>
    <w:rsid w:val="27CD4E57"/>
    <w:rsid w:val="28A87C0F"/>
    <w:rsid w:val="28B6240C"/>
    <w:rsid w:val="2A017FA6"/>
    <w:rsid w:val="2C033B37"/>
    <w:rsid w:val="2D465988"/>
    <w:rsid w:val="2D540A02"/>
    <w:rsid w:val="2DCA32B1"/>
    <w:rsid w:val="2DF632D1"/>
    <w:rsid w:val="2E2A4BA8"/>
    <w:rsid w:val="2E983B52"/>
    <w:rsid w:val="2EA842B7"/>
    <w:rsid w:val="314F027E"/>
    <w:rsid w:val="31A00719"/>
    <w:rsid w:val="32166E8D"/>
    <w:rsid w:val="32F37B65"/>
    <w:rsid w:val="334B4422"/>
    <w:rsid w:val="338012BD"/>
    <w:rsid w:val="338B51B6"/>
    <w:rsid w:val="33A40191"/>
    <w:rsid w:val="33AC2D6E"/>
    <w:rsid w:val="34327BA7"/>
    <w:rsid w:val="34751CB5"/>
    <w:rsid w:val="34CA385A"/>
    <w:rsid w:val="35031EAE"/>
    <w:rsid w:val="353B7EC2"/>
    <w:rsid w:val="35C06257"/>
    <w:rsid w:val="36B95D95"/>
    <w:rsid w:val="36DD35AE"/>
    <w:rsid w:val="372322EB"/>
    <w:rsid w:val="37EA7934"/>
    <w:rsid w:val="3829229F"/>
    <w:rsid w:val="38CD2ED1"/>
    <w:rsid w:val="38F63365"/>
    <w:rsid w:val="395E4B08"/>
    <w:rsid w:val="39C23E7B"/>
    <w:rsid w:val="39ED407C"/>
    <w:rsid w:val="3A402E31"/>
    <w:rsid w:val="3A734483"/>
    <w:rsid w:val="3ADB3771"/>
    <w:rsid w:val="3B710E34"/>
    <w:rsid w:val="3C1141BD"/>
    <w:rsid w:val="3E6F19C6"/>
    <w:rsid w:val="3EDE7688"/>
    <w:rsid w:val="3FBC7D00"/>
    <w:rsid w:val="3FD47ADA"/>
    <w:rsid w:val="400D430F"/>
    <w:rsid w:val="40A35F33"/>
    <w:rsid w:val="412B5089"/>
    <w:rsid w:val="41337745"/>
    <w:rsid w:val="413B5C31"/>
    <w:rsid w:val="414209FD"/>
    <w:rsid w:val="41E50CE6"/>
    <w:rsid w:val="422803A6"/>
    <w:rsid w:val="424168D3"/>
    <w:rsid w:val="436F65AA"/>
    <w:rsid w:val="438078BB"/>
    <w:rsid w:val="44797900"/>
    <w:rsid w:val="447F7990"/>
    <w:rsid w:val="45050D25"/>
    <w:rsid w:val="451D18EA"/>
    <w:rsid w:val="45327962"/>
    <w:rsid w:val="458F6DF0"/>
    <w:rsid w:val="46AD2F65"/>
    <w:rsid w:val="471168FA"/>
    <w:rsid w:val="474340F7"/>
    <w:rsid w:val="49E12D9C"/>
    <w:rsid w:val="4A1F6EA1"/>
    <w:rsid w:val="4A5B47AA"/>
    <w:rsid w:val="4A5D182B"/>
    <w:rsid w:val="4B1E2962"/>
    <w:rsid w:val="4B3013B3"/>
    <w:rsid w:val="4B357FBE"/>
    <w:rsid w:val="4C814E1F"/>
    <w:rsid w:val="4E143892"/>
    <w:rsid w:val="4EDE58D3"/>
    <w:rsid w:val="4F69424B"/>
    <w:rsid w:val="4F7E05BF"/>
    <w:rsid w:val="4FA55806"/>
    <w:rsid w:val="5079680F"/>
    <w:rsid w:val="50B13794"/>
    <w:rsid w:val="50D441BD"/>
    <w:rsid w:val="50D9479A"/>
    <w:rsid w:val="50F460FA"/>
    <w:rsid w:val="522F18D3"/>
    <w:rsid w:val="523B0B40"/>
    <w:rsid w:val="527365BA"/>
    <w:rsid w:val="529D74F1"/>
    <w:rsid w:val="52AD3BF8"/>
    <w:rsid w:val="52FC7DA2"/>
    <w:rsid w:val="53112E6B"/>
    <w:rsid w:val="532E2A11"/>
    <w:rsid w:val="53375CE5"/>
    <w:rsid w:val="53B92710"/>
    <w:rsid w:val="54E80783"/>
    <w:rsid w:val="55203B6A"/>
    <w:rsid w:val="558E3370"/>
    <w:rsid w:val="55E45402"/>
    <w:rsid w:val="561D5096"/>
    <w:rsid w:val="5A155D90"/>
    <w:rsid w:val="5A172A28"/>
    <w:rsid w:val="5A466266"/>
    <w:rsid w:val="5AD31F7F"/>
    <w:rsid w:val="5B185B5D"/>
    <w:rsid w:val="5B2A2F63"/>
    <w:rsid w:val="5B601F7F"/>
    <w:rsid w:val="5C316504"/>
    <w:rsid w:val="5C907AF3"/>
    <w:rsid w:val="5CF7011D"/>
    <w:rsid w:val="5DA776A8"/>
    <w:rsid w:val="5DDA06CD"/>
    <w:rsid w:val="5DDE1CA0"/>
    <w:rsid w:val="5E1E558D"/>
    <w:rsid w:val="5E846132"/>
    <w:rsid w:val="5E996D9A"/>
    <w:rsid w:val="5E9C06F8"/>
    <w:rsid w:val="5EB54864"/>
    <w:rsid w:val="5F0B28C9"/>
    <w:rsid w:val="5F2B50E2"/>
    <w:rsid w:val="5F83633E"/>
    <w:rsid w:val="5F904D95"/>
    <w:rsid w:val="5FD01F90"/>
    <w:rsid w:val="60467DE9"/>
    <w:rsid w:val="605534E8"/>
    <w:rsid w:val="60B36E5D"/>
    <w:rsid w:val="61105201"/>
    <w:rsid w:val="612138FC"/>
    <w:rsid w:val="6168233C"/>
    <w:rsid w:val="61C04B60"/>
    <w:rsid w:val="62484E8E"/>
    <w:rsid w:val="627C7728"/>
    <w:rsid w:val="63612A0B"/>
    <w:rsid w:val="637D2282"/>
    <w:rsid w:val="63987C16"/>
    <w:rsid w:val="63CA5194"/>
    <w:rsid w:val="641D2399"/>
    <w:rsid w:val="64A46F5A"/>
    <w:rsid w:val="65534500"/>
    <w:rsid w:val="66A3611F"/>
    <w:rsid w:val="66CD6F5A"/>
    <w:rsid w:val="67FC2130"/>
    <w:rsid w:val="68425501"/>
    <w:rsid w:val="688525BD"/>
    <w:rsid w:val="68A96B74"/>
    <w:rsid w:val="69402E3D"/>
    <w:rsid w:val="6A985B5C"/>
    <w:rsid w:val="6AD14FBF"/>
    <w:rsid w:val="6C073396"/>
    <w:rsid w:val="6C135D9E"/>
    <w:rsid w:val="6CDE1042"/>
    <w:rsid w:val="6CFB3A97"/>
    <w:rsid w:val="6DF66D9E"/>
    <w:rsid w:val="6F2B4BE9"/>
    <w:rsid w:val="6F451624"/>
    <w:rsid w:val="6FB2288B"/>
    <w:rsid w:val="6FD91396"/>
    <w:rsid w:val="715861AD"/>
    <w:rsid w:val="71D1638A"/>
    <w:rsid w:val="724E25AE"/>
    <w:rsid w:val="72844C7F"/>
    <w:rsid w:val="734B0A73"/>
    <w:rsid w:val="737F20EB"/>
    <w:rsid w:val="73A43712"/>
    <w:rsid w:val="7422637D"/>
    <w:rsid w:val="7570792B"/>
    <w:rsid w:val="75DD18B7"/>
    <w:rsid w:val="76505CFD"/>
    <w:rsid w:val="779F3B62"/>
    <w:rsid w:val="781F6786"/>
    <w:rsid w:val="786842FA"/>
    <w:rsid w:val="7898664C"/>
    <w:rsid w:val="79AF42F5"/>
    <w:rsid w:val="79F833A6"/>
    <w:rsid w:val="7D027281"/>
    <w:rsid w:val="7DA47FDE"/>
    <w:rsid w:val="7DF337D4"/>
    <w:rsid w:val="7E0059BC"/>
    <w:rsid w:val="7E3B1D40"/>
    <w:rsid w:val="7E573908"/>
    <w:rsid w:val="7F5719EC"/>
    <w:rsid w:val="7FE810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C6E24C4"/>
  <w15:docId w15:val="{A56F23F8-E88F-4DF6-AF3C-024EDB0BC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0C39"/>
    <w:pPr>
      <w:spacing w:line="300" w:lineRule="auto"/>
      <w:ind w:firstLineChars="200" w:firstLine="200"/>
      <w:jc w:val="both"/>
    </w:pPr>
    <w:rPr>
      <w:rFonts w:cstheme="minorBidi"/>
      <w:kern w:val="2"/>
      <w:sz w:val="24"/>
      <w:szCs w:val="22"/>
    </w:rPr>
  </w:style>
  <w:style w:type="paragraph" w:styleId="1">
    <w:name w:val="heading 1"/>
    <w:basedOn w:val="a"/>
    <w:next w:val="a"/>
    <w:link w:val="10"/>
    <w:uiPriority w:val="9"/>
    <w:qFormat/>
    <w:rsid w:val="00064954"/>
    <w:pPr>
      <w:keepNext/>
      <w:keepLines/>
      <w:numPr>
        <w:numId w:val="4"/>
      </w:numPr>
      <w:spacing w:line="240" w:lineRule="auto"/>
      <w:ind w:firstLineChars="0"/>
      <w:jc w:val="left"/>
      <w:outlineLvl w:val="0"/>
    </w:pPr>
    <w:rPr>
      <w:rFonts w:eastAsiaTheme="minorEastAsia"/>
      <w:b/>
      <w:bCs/>
      <w:kern w:val="44"/>
      <w:sz w:val="28"/>
      <w:szCs w:val="44"/>
    </w:rPr>
  </w:style>
  <w:style w:type="paragraph" w:styleId="2">
    <w:name w:val="heading 2"/>
    <w:basedOn w:val="a"/>
    <w:next w:val="a"/>
    <w:link w:val="20"/>
    <w:unhideWhenUsed/>
    <w:qFormat/>
    <w:rsid w:val="00311D10"/>
    <w:pPr>
      <w:keepNext/>
      <w:keepLines/>
      <w:numPr>
        <w:ilvl w:val="1"/>
        <w:numId w:val="4"/>
      </w:numPr>
      <w:ind w:left="0" w:firstLineChars="0"/>
      <w:jc w:val="left"/>
      <w:outlineLvl w:val="1"/>
    </w:pPr>
    <w:rPr>
      <w:rFonts w:eastAsiaTheme="minorEastAsia" w:cstheme="majorBidi"/>
      <w:b/>
      <w:bCs/>
      <w:szCs w:val="32"/>
    </w:rPr>
  </w:style>
  <w:style w:type="paragraph" w:styleId="3">
    <w:name w:val="heading 3"/>
    <w:basedOn w:val="a"/>
    <w:next w:val="a"/>
    <w:link w:val="30"/>
    <w:uiPriority w:val="9"/>
    <w:unhideWhenUsed/>
    <w:qFormat/>
    <w:rsid w:val="00836C63"/>
    <w:pPr>
      <w:keepNext/>
      <w:keepLines/>
      <w:spacing w:beforeLines="50" w:before="156" w:afterLines="50" w:after="156"/>
      <w:ind w:firstLineChars="0" w:firstLine="0"/>
      <w:jc w:val="left"/>
      <w:outlineLvl w:val="2"/>
    </w:pPr>
    <w:rPr>
      <w:rFonts w:eastAsia="黑体"/>
      <w:b/>
      <w:bCs/>
      <w:sz w:val="28"/>
      <w:szCs w:val="32"/>
    </w:rPr>
  </w:style>
  <w:style w:type="paragraph" w:styleId="4">
    <w:name w:val="heading 4"/>
    <w:basedOn w:val="a"/>
    <w:next w:val="a"/>
    <w:link w:val="40"/>
    <w:uiPriority w:val="9"/>
    <w:unhideWhenUsed/>
    <w:qFormat/>
    <w:rsid w:val="00836C63"/>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836C63"/>
    <w:pPr>
      <w:keepNext/>
      <w:keepLines/>
      <w:spacing w:before="80" w:after="40"/>
      <w:outlineLvl w:val="4"/>
    </w:pPr>
    <w:rPr>
      <w:rFonts w:cstheme="majorBidi"/>
      <w:color w:val="2E74B5" w:themeColor="accent1" w:themeShade="BF"/>
    </w:rPr>
  </w:style>
  <w:style w:type="paragraph" w:styleId="6">
    <w:name w:val="heading 6"/>
    <w:basedOn w:val="a"/>
    <w:next w:val="a"/>
    <w:link w:val="60"/>
    <w:uiPriority w:val="9"/>
    <w:semiHidden/>
    <w:unhideWhenUsed/>
    <w:qFormat/>
    <w:rsid w:val="00836C63"/>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836C6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36C6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36C6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rsid w:val="00836C63"/>
    <w:pPr>
      <w:tabs>
        <w:tab w:val="right" w:leader="dot" w:pos="8664"/>
      </w:tabs>
      <w:ind w:leftChars="400" w:left="400" w:firstLineChars="0" w:firstLine="0"/>
      <w:jc w:val="left"/>
    </w:pPr>
    <w:rPr>
      <w:rFonts w:ascii="黑体" w:eastAsia="黑体" w:hAnsi="黑体"/>
      <w:iCs/>
      <w:noProof/>
      <w:sz w:val="28"/>
      <w:szCs w:val="20"/>
    </w:rPr>
  </w:style>
  <w:style w:type="paragraph" w:styleId="a3">
    <w:name w:val="footer"/>
    <w:basedOn w:val="a"/>
    <w:link w:val="a4"/>
    <w:uiPriority w:val="99"/>
    <w:unhideWhenUsed/>
    <w:rsid w:val="00836C63"/>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rsid w:val="00836C63"/>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rsid w:val="00836C63"/>
    <w:pPr>
      <w:tabs>
        <w:tab w:val="right" w:leader="dot" w:pos="8664"/>
      </w:tabs>
      <w:ind w:firstLineChars="0" w:firstLine="0"/>
      <w:jc w:val="left"/>
    </w:pPr>
    <w:rPr>
      <w:rFonts w:ascii="黑体" w:eastAsia="黑体" w:hAnsi="黑体"/>
      <w:bCs/>
      <w:sz w:val="32"/>
      <w:szCs w:val="20"/>
    </w:rPr>
  </w:style>
  <w:style w:type="paragraph" w:styleId="TOC2">
    <w:name w:val="toc 2"/>
    <w:basedOn w:val="a"/>
    <w:next w:val="a"/>
    <w:autoRedefine/>
    <w:uiPriority w:val="39"/>
    <w:unhideWhenUsed/>
    <w:rsid w:val="00836C63"/>
    <w:pPr>
      <w:tabs>
        <w:tab w:val="right" w:leader="dot" w:pos="8664"/>
      </w:tabs>
      <w:ind w:leftChars="200" w:left="480" w:firstLineChars="0" w:firstLine="0"/>
      <w:jc w:val="left"/>
    </w:pPr>
    <w:rPr>
      <w:rFonts w:ascii="黑体" w:eastAsia="黑体" w:hAnsi="黑体"/>
      <w:smallCaps/>
      <w:noProof/>
      <w:sz w:val="30"/>
      <w:szCs w:val="20"/>
    </w:rPr>
  </w:style>
  <w:style w:type="table" w:styleId="a7">
    <w:name w:val="Table Grid"/>
    <w:basedOn w:val="a1"/>
    <w:uiPriority w:val="39"/>
    <w:rsid w:val="00836C63"/>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836C63"/>
    <w:rPr>
      <w:color w:val="0563C1" w:themeColor="hyperlink"/>
      <w:u w:val="single"/>
    </w:rPr>
  </w:style>
  <w:style w:type="character" w:customStyle="1" w:styleId="a6">
    <w:name w:val="页眉 字符"/>
    <w:basedOn w:val="a0"/>
    <w:link w:val="a5"/>
    <w:uiPriority w:val="99"/>
    <w:rsid w:val="00836C63"/>
    <w:rPr>
      <w:rFonts w:cstheme="minorBidi"/>
      <w:kern w:val="2"/>
      <w:sz w:val="18"/>
      <w:szCs w:val="18"/>
    </w:rPr>
  </w:style>
  <w:style w:type="character" w:customStyle="1" w:styleId="a4">
    <w:name w:val="页脚 字符"/>
    <w:basedOn w:val="a0"/>
    <w:link w:val="a3"/>
    <w:uiPriority w:val="99"/>
    <w:rsid w:val="00836C63"/>
    <w:rPr>
      <w:rFonts w:cstheme="minorBidi"/>
      <w:kern w:val="2"/>
      <w:sz w:val="18"/>
      <w:szCs w:val="18"/>
    </w:rPr>
  </w:style>
  <w:style w:type="character" w:customStyle="1" w:styleId="20">
    <w:name w:val="标题 2 字符"/>
    <w:basedOn w:val="a0"/>
    <w:link w:val="2"/>
    <w:qFormat/>
    <w:rsid w:val="00311D10"/>
    <w:rPr>
      <w:rFonts w:eastAsiaTheme="minorEastAsia" w:cstheme="majorBidi"/>
      <w:b/>
      <w:bCs/>
      <w:kern w:val="2"/>
      <w:sz w:val="24"/>
      <w:szCs w:val="32"/>
    </w:rPr>
  </w:style>
  <w:style w:type="character" w:customStyle="1" w:styleId="30">
    <w:name w:val="标题 3 字符"/>
    <w:basedOn w:val="a0"/>
    <w:link w:val="3"/>
    <w:uiPriority w:val="9"/>
    <w:rsid w:val="00836C63"/>
    <w:rPr>
      <w:rFonts w:eastAsia="黑体" w:cstheme="minorBidi"/>
      <w:b/>
      <w:bCs/>
      <w:kern w:val="2"/>
      <w:sz w:val="28"/>
      <w:szCs w:val="32"/>
    </w:rPr>
  </w:style>
  <w:style w:type="paragraph" w:styleId="a9">
    <w:name w:val="List Paragraph"/>
    <w:basedOn w:val="a"/>
    <w:uiPriority w:val="34"/>
    <w:qFormat/>
    <w:rsid w:val="00836C63"/>
    <w:pPr>
      <w:ind w:firstLine="420"/>
    </w:pPr>
  </w:style>
  <w:style w:type="character" w:styleId="aa">
    <w:name w:val="Placeholder Text"/>
    <w:basedOn w:val="a0"/>
    <w:uiPriority w:val="99"/>
    <w:semiHidden/>
    <w:rsid w:val="00836C63"/>
    <w:rPr>
      <w:color w:val="666666"/>
    </w:rPr>
  </w:style>
  <w:style w:type="character" w:customStyle="1" w:styleId="10">
    <w:name w:val="标题 1 字符"/>
    <w:basedOn w:val="a0"/>
    <w:link w:val="1"/>
    <w:uiPriority w:val="9"/>
    <w:rsid w:val="00064954"/>
    <w:rPr>
      <w:rFonts w:eastAsiaTheme="minorEastAsia" w:cstheme="minorBidi"/>
      <w:b/>
      <w:bCs/>
      <w:kern w:val="44"/>
      <w:sz w:val="28"/>
      <w:szCs w:val="44"/>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MathematicaCellInput">
    <w:name w:val="MathematicaCellInput"/>
    <w:uiPriority w:val="99"/>
    <w:unhideWhenUsed/>
    <w:qFormat/>
    <w:pPr>
      <w:widowControl w:val="0"/>
      <w:autoSpaceDE w:val="0"/>
      <w:autoSpaceDN w:val="0"/>
      <w:adjustRightInd w:val="0"/>
    </w:pPr>
    <w:rPr>
      <w:rFonts w:ascii="Times" w:eastAsia="Times" w:hAnsi="Times" w:hint="eastAsia"/>
      <w:sz w:val="26"/>
    </w:rPr>
  </w:style>
  <w:style w:type="character" w:customStyle="1" w:styleId="MathematicaFormatStandardForm">
    <w:name w:val="MathematicaFormatStandardForm"/>
    <w:uiPriority w:val="99"/>
    <w:unhideWhenUsed/>
    <w:qFormat/>
    <w:rPr>
      <w:rFonts w:ascii="Inherited" w:eastAsia="Inherited" w:hAnsi="Inherited" w:hint="eastAsia"/>
      <w:sz w:val="24"/>
    </w:rPr>
  </w:style>
  <w:style w:type="paragraph" w:customStyle="1" w:styleId="WPSOffice2">
    <w:name w:val="WPSOffice手动目录 2"/>
    <w:pPr>
      <w:ind w:leftChars="200" w:left="200"/>
    </w:pPr>
  </w:style>
  <w:style w:type="paragraph" w:customStyle="1" w:styleId="WPSOffice1">
    <w:name w:val="WPSOffice手动目录 1"/>
  </w:style>
  <w:style w:type="character" w:customStyle="1" w:styleId="40">
    <w:name w:val="标题 4 字符"/>
    <w:basedOn w:val="a0"/>
    <w:link w:val="4"/>
    <w:uiPriority w:val="9"/>
    <w:rsid w:val="00836C63"/>
    <w:rPr>
      <w:rFonts w:cstheme="majorBidi"/>
      <w:color w:val="2E74B5" w:themeColor="accent1" w:themeShade="BF"/>
      <w:kern w:val="2"/>
      <w:sz w:val="28"/>
      <w:szCs w:val="28"/>
    </w:rPr>
  </w:style>
  <w:style w:type="paragraph" w:styleId="ab">
    <w:name w:val="Title"/>
    <w:basedOn w:val="a"/>
    <w:next w:val="a"/>
    <w:link w:val="ac"/>
    <w:uiPriority w:val="10"/>
    <w:qFormat/>
    <w:rsid w:val="00836C63"/>
    <w:pPr>
      <w:spacing w:before="240" w:after="60"/>
      <w:ind w:firstLineChars="0" w:firstLine="0"/>
      <w:jc w:val="left"/>
      <w:outlineLvl w:val="0"/>
    </w:pPr>
    <w:rPr>
      <w:rFonts w:eastAsia="黑体" w:cstheme="majorBidi"/>
      <w:bCs/>
      <w:sz w:val="32"/>
      <w:szCs w:val="32"/>
    </w:rPr>
  </w:style>
  <w:style w:type="character" w:customStyle="1" w:styleId="ac">
    <w:name w:val="标题 字符"/>
    <w:basedOn w:val="a0"/>
    <w:link w:val="ab"/>
    <w:uiPriority w:val="10"/>
    <w:rsid w:val="00836C63"/>
    <w:rPr>
      <w:rFonts w:eastAsia="黑体" w:cstheme="majorBidi"/>
      <w:bCs/>
      <w:kern w:val="2"/>
      <w:sz w:val="32"/>
      <w:szCs w:val="32"/>
    </w:rPr>
  </w:style>
  <w:style w:type="paragraph" w:customStyle="1" w:styleId="17babae4-54f0-44fa-a444-1068224df0ac">
    <w:name w:val="17babae4-54f0-44fa-a444-1068224df0ac"/>
    <w:basedOn w:val="ab"/>
    <w:next w:val="a"/>
    <w:link w:val="17babae4-54f0-44fa-a444-1068224df0ac0"/>
    <w:rsid w:val="00836C63"/>
    <w:pPr>
      <w:adjustRightInd w:val="0"/>
      <w:spacing w:before="0" w:after="0" w:line="288" w:lineRule="auto"/>
      <w:jc w:val="center"/>
    </w:pPr>
    <w:rPr>
      <w:rFonts w:ascii="微软雅黑" w:eastAsia="微软雅黑" w:hAnsi="微软雅黑"/>
      <w:b/>
      <w:color w:val="000000"/>
      <w:sz w:val="40"/>
    </w:rPr>
  </w:style>
  <w:style w:type="character" w:customStyle="1" w:styleId="17babae4-54f0-44fa-a444-1068224df0ac0">
    <w:name w:val="17babae4-54f0-44fa-a444-1068224df0ac 字符"/>
    <w:basedOn w:val="a0"/>
    <w:link w:val="17babae4-54f0-44fa-a444-1068224df0ac"/>
    <w:rsid w:val="00836C63"/>
    <w:rPr>
      <w:rFonts w:ascii="微软雅黑" w:eastAsia="微软雅黑" w:hAnsi="微软雅黑" w:cstheme="majorBidi"/>
      <w:b/>
      <w:bCs/>
      <w:color w:val="000000"/>
      <w:kern w:val="2"/>
      <w:sz w:val="40"/>
      <w:szCs w:val="32"/>
    </w:rPr>
  </w:style>
  <w:style w:type="paragraph" w:customStyle="1" w:styleId="acbfdd8b-e11b-4d36-88ff-6049b138f862">
    <w:name w:val="acbfdd8b-e11b-4d36-88ff-6049b138f862"/>
    <w:basedOn w:val="a"/>
    <w:link w:val="acbfdd8b-e11b-4d36-88ff-6049b138f8620"/>
    <w:rsid w:val="00836C63"/>
    <w:pPr>
      <w:adjustRightInd w:val="0"/>
      <w:spacing w:line="288" w:lineRule="auto"/>
      <w:ind w:firstLineChars="0" w:firstLine="0"/>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836C63"/>
    <w:rPr>
      <w:rFonts w:ascii="微软雅黑" w:eastAsia="微软雅黑" w:hAnsi="微软雅黑" w:cstheme="minorBidi"/>
      <w:color w:val="000000"/>
      <w:kern w:val="2"/>
      <w:sz w:val="22"/>
      <w:szCs w:val="22"/>
    </w:rPr>
  </w:style>
  <w:style w:type="paragraph" w:styleId="TOC4">
    <w:name w:val="toc 4"/>
    <w:basedOn w:val="a"/>
    <w:next w:val="a"/>
    <w:autoRedefine/>
    <w:uiPriority w:val="39"/>
    <w:unhideWhenUsed/>
    <w:rsid w:val="00836C63"/>
    <w:pPr>
      <w:ind w:left="720"/>
      <w:jc w:val="left"/>
    </w:pPr>
    <w:rPr>
      <w:rFonts w:asciiTheme="minorHAnsi" w:eastAsiaTheme="minorHAnsi"/>
      <w:sz w:val="18"/>
      <w:szCs w:val="18"/>
    </w:rPr>
  </w:style>
  <w:style w:type="paragraph" w:styleId="TOC5">
    <w:name w:val="toc 5"/>
    <w:basedOn w:val="a"/>
    <w:next w:val="a"/>
    <w:autoRedefine/>
    <w:uiPriority w:val="39"/>
    <w:unhideWhenUsed/>
    <w:rsid w:val="00836C63"/>
    <w:pPr>
      <w:ind w:left="960"/>
      <w:jc w:val="left"/>
    </w:pPr>
    <w:rPr>
      <w:rFonts w:asciiTheme="minorHAnsi" w:eastAsiaTheme="minorHAnsi"/>
      <w:sz w:val="18"/>
      <w:szCs w:val="18"/>
    </w:rPr>
  </w:style>
  <w:style w:type="paragraph" w:styleId="TOC6">
    <w:name w:val="toc 6"/>
    <w:basedOn w:val="a"/>
    <w:next w:val="a"/>
    <w:autoRedefine/>
    <w:uiPriority w:val="39"/>
    <w:unhideWhenUsed/>
    <w:rsid w:val="00836C63"/>
    <w:pPr>
      <w:ind w:left="1200"/>
      <w:jc w:val="left"/>
    </w:pPr>
    <w:rPr>
      <w:rFonts w:asciiTheme="minorHAnsi" w:eastAsiaTheme="minorHAnsi"/>
      <w:sz w:val="18"/>
      <w:szCs w:val="18"/>
    </w:rPr>
  </w:style>
  <w:style w:type="paragraph" w:styleId="TOC7">
    <w:name w:val="toc 7"/>
    <w:basedOn w:val="a"/>
    <w:next w:val="a"/>
    <w:autoRedefine/>
    <w:uiPriority w:val="39"/>
    <w:unhideWhenUsed/>
    <w:rsid w:val="00836C63"/>
    <w:pPr>
      <w:ind w:left="1440"/>
      <w:jc w:val="left"/>
    </w:pPr>
    <w:rPr>
      <w:rFonts w:asciiTheme="minorHAnsi" w:eastAsiaTheme="minorHAnsi"/>
      <w:sz w:val="18"/>
      <w:szCs w:val="18"/>
    </w:rPr>
  </w:style>
  <w:style w:type="paragraph" w:styleId="TOC8">
    <w:name w:val="toc 8"/>
    <w:basedOn w:val="a"/>
    <w:next w:val="a"/>
    <w:autoRedefine/>
    <w:uiPriority w:val="39"/>
    <w:unhideWhenUsed/>
    <w:rsid w:val="00836C63"/>
    <w:pPr>
      <w:ind w:left="1680"/>
      <w:jc w:val="left"/>
    </w:pPr>
    <w:rPr>
      <w:rFonts w:asciiTheme="minorHAnsi" w:eastAsiaTheme="minorHAnsi"/>
      <w:sz w:val="18"/>
      <w:szCs w:val="18"/>
    </w:rPr>
  </w:style>
  <w:style w:type="paragraph" w:styleId="TOC9">
    <w:name w:val="toc 9"/>
    <w:basedOn w:val="a"/>
    <w:next w:val="a"/>
    <w:autoRedefine/>
    <w:uiPriority w:val="39"/>
    <w:unhideWhenUsed/>
    <w:rsid w:val="00836C63"/>
    <w:pPr>
      <w:ind w:left="1920"/>
      <w:jc w:val="left"/>
    </w:pPr>
    <w:rPr>
      <w:rFonts w:asciiTheme="minorHAnsi" w:eastAsiaTheme="minorHAnsi"/>
      <w:sz w:val="18"/>
      <w:szCs w:val="18"/>
    </w:rPr>
  </w:style>
  <w:style w:type="paragraph" w:styleId="TOC">
    <w:name w:val="TOC Heading"/>
    <w:basedOn w:val="1"/>
    <w:next w:val="a"/>
    <w:uiPriority w:val="39"/>
    <w:unhideWhenUsed/>
    <w:qFormat/>
    <w:rsid w:val="00836C63"/>
    <w:pPr>
      <w:numPr>
        <w:numId w:val="0"/>
      </w:numPr>
      <w:spacing w:before="240" w:line="259" w:lineRule="auto"/>
      <w:outlineLvl w:val="9"/>
    </w:pPr>
    <w:rPr>
      <w:rFonts w:asciiTheme="majorHAnsi" w:eastAsiaTheme="majorEastAsia" w:hAnsiTheme="majorHAnsi" w:cstheme="majorBidi"/>
      <w:bCs w:val="0"/>
      <w:color w:val="2E74B5" w:themeColor="accent1" w:themeShade="BF"/>
      <w:kern w:val="0"/>
      <w:szCs w:val="32"/>
    </w:rPr>
  </w:style>
  <w:style w:type="character" w:customStyle="1" w:styleId="50">
    <w:name w:val="标题 5 字符"/>
    <w:basedOn w:val="a0"/>
    <w:link w:val="5"/>
    <w:uiPriority w:val="9"/>
    <w:semiHidden/>
    <w:rsid w:val="00836C63"/>
    <w:rPr>
      <w:rFonts w:cstheme="majorBidi"/>
      <w:color w:val="2E74B5" w:themeColor="accent1" w:themeShade="BF"/>
      <w:kern w:val="2"/>
      <w:sz w:val="24"/>
      <w:szCs w:val="22"/>
    </w:rPr>
  </w:style>
  <w:style w:type="character" w:customStyle="1" w:styleId="60">
    <w:name w:val="标题 6 字符"/>
    <w:basedOn w:val="a0"/>
    <w:link w:val="6"/>
    <w:uiPriority w:val="9"/>
    <w:semiHidden/>
    <w:rsid w:val="00836C63"/>
    <w:rPr>
      <w:rFonts w:cstheme="majorBidi"/>
      <w:b/>
      <w:bCs/>
      <w:color w:val="2E74B5" w:themeColor="accent1" w:themeShade="BF"/>
      <w:kern w:val="2"/>
      <w:sz w:val="24"/>
      <w:szCs w:val="22"/>
    </w:rPr>
  </w:style>
  <w:style w:type="character" w:customStyle="1" w:styleId="70">
    <w:name w:val="标题 7 字符"/>
    <w:basedOn w:val="a0"/>
    <w:link w:val="7"/>
    <w:uiPriority w:val="9"/>
    <w:semiHidden/>
    <w:rsid w:val="00836C63"/>
    <w:rPr>
      <w:rFonts w:cstheme="majorBidi"/>
      <w:b/>
      <w:bCs/>
      <w:color w:val="595959" w:themeColor="text1" w:themeTint="A6"/>
      <w:kern w:val="2"/>
      <w:sz w:val="24"/>
      <w:szCs w:val="22"/>
    </w:rPr>
  </w:style>
  <w:style w:type="character" w:customStyle="1" w:styleId="80">
    <w:name w:val="标题 8 字符"/>
    <w:basedOn w:val="a0"/>
    <w:link w:val="8"/>
    <w:uiPriority w:val="9"/>
    <w:semiHidden/>
    <w:rsid w:val="00836C63"/>
    <w:rPr>
      <w:rFonts w:cstheme="majorBidi"/>
      <w:color w:val="595959" w:themeColor="text1" w:themeTint="A6"/>
      <w:kern w:val="2"/>
      <w:sz w:val="24"/>
      <w:szCs w:val="22"/>
    </w:rPr>
  </w:style>
  <w:style w:type="character" w:customStyle="1" w:styleId="90">
    <w:name w:val="标题 9 字符"/>
    <w:basedOn w:val="a0"/>
    <w:link w:val="9"/>
    <w:uiPriority w:val="9"/>
    <w:semiHidden/>
    <w:rsid w:val="00836C63"/>
    <w:rPr>
      <w:rFonts w:eastAsiaTheme="majorEastAsia" w:cstheme="majorBidi"/>
      <w:color w:val="595959" w:themeColor="text1" w:themeTint="A6"/>
      <w:kern w:val="2"/>
      <w:sz w:val="24"/>
      <w:szCs w:val="22"/>
    </w:rPr>
  </w:style>
  <w:style w:type="paragraph" w:styleId="ad">
    <w:name w:val="Subtitle"/>
    <w:basedOn w:val="a"/>
    <w:next w:val="a"/>
    <w:link w:val="ae"/>
    <w:uiPriority w:val="11"/>
    <w:qFormat/>
    <w:rsid w:val="00836C63"/>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e">
    <w:name w:val="副标题 字符"/>
    <w:basedOn w:val="a0"/>
    <w:link w:val="ad"/>
    <w:uiPriority w:val="11"/>
    <w:rsid w:val="00836C63"/>
    <w:rPr>
      <w:rFonts w:asciiTheme="majorHAnsi" w:eastAsiaTheme="majorEastAsia" w:hAnsiTheme="majorHAnsi" w:cstheme="majorBidi"/>
      <w:color w:val="595959" w:themeColor="text1" w:themeTint="A6"/>
      <w:spacing w:val="15"/>
      <w:kern w:val="2"/>
      <w:sz w:val="28"/>
      <w:szCs w:val="28"/>
    </w:rPr>
  </w:style>
  <w:style w:type="character" w:styleId="af">
    <w:name w:val="Intense Reference"/>
    <w:basedOn w:val="a0"/>
    <w:uiPriority w:val="32"/>
    <w:qFormat/>
    <w:rsid w:val="00836C63"/>
    <w:rPr>
      <w:b/>
      <w:bCs/>
      <w:smallCaps/>
      <w:color w:val="2E74B5" w:themeColor="accent1" w:themeShade="BF"/>
      <w:spacing w:val="5"/>
    </w:rPr>
  </w:style>
  <w:style w:type="character" w:styleId="af0">
    <w:name w:val="Intense Emphasis"/>
    <w:basedOn w:val="a0"/>
    <w:uiPriority w:val="21"/>
    <w:qFormat/>
    <w:rsid w:val="00836C63"/>
    <w:rPr>
      <w:i/>
      <w:iCs/>
      <w:color w:val="2E74B5" w:themeColor="accent1" w:themeShade="BF"/>
    </w:rPr>
  </w:style>
  <w:style w:type="paragraph" w:styleId="af1">
    <w:name w:val="Intense Quote"/>
    <w:basedOn w:val="a"/>
    <w:next w:val="a"/>
    <w:link w:val="af2"/>
    <w:uiPriority w:val="30"/>
    <w:qFormat/>
    <w:rsid w:val="00836C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2">
    <w:name w:val="明显引用 字符"/>
    <w:basedOn w:val="a0"/>
    <w:link w:val="af1"/>
    <w:uiPriority w:val="30"/>
    <w:rsid w:val="00836C63"/>
    <w:rPr>
      <w:rFonts w:cstheme="minorBidi"/>
      <w:i/>
      <w:iCs/>
      <w:color w:val="2E74B5" w:themeColor="accent1" w:themeShade="BF"/>
      <w:kern w:val="2"/>
      <w:sz w:val="24"/>
      <w:szCs w:val="22"/>
    </w:rPr>
  </w:style>
  <w:style w:type="paragraph" w:styleId="af3">
    <w:name w:val="Normal (Web)"/>
    <w:basedOn w:val="a"/>
    <w:uiPriority w:val="99"/>
    <w:semiHidden/>
    <w:unhideWhenUsed/>
    <w:rsid w:val="00836C63"/>
    <w:rPr>
      <w:rFonts w:cs="Times New Roman"/>
      <w:szCs w:val="24"/>
    </w:rPr>
  </w:style>
  <w:style w:type="paragraph" w:styleId="af4">
    <w:name w:val="Bibliography"/>
    <w:basedOn w:val="a"/>
    <w:next w:val="a"/>
    <w:uiPriority w:val="37"/>
    <w:unhideWhenUsed/>
    <w:rsid w:val="00836C63"/>
    <w:pPr>
      <w:spacing w:line="480" w:lineRule="auto"/>
      <w:ind w:left="720" w:hanging="720"/>
    </w:pPr>
  </w:style>
  <w:style w:type="paragraph" w:styleId="af5">
    <w:name w:val="caption"/>
    <w:basedOn w:val="a"/>
    <w:next w:val="a"/>
    <w:uiPriority w:val="35"/>
    <w:unhideWhenUsed/>
    <w:qFormat/>
    <w:rsid w:val="00836C63"/>
    <w:pPr>
      <w:spacing w:line="460" w:lineRule="exact"/>
      <w:ind w:firstLineChars="0" w:firstLine="0"/>
      <w:jc w:val="center"/>
    </w:pPr>
    <w:rPr>
      <w:rFonts w:cstheme="majorBidi"/>
      <w:sz w:val="21"/>
      <w:szCs w:val="20"/>
    </w:rPr>
  </w:style>
  <w:style w:type="character" w:styleId="af6">
    <w:name w:val="Unresolved Mention"/>
    <w:basedOn w:val="a0"/>
    <w:uiPriority w:val="99"/>
    <w:semiHidden/>
    <w:unhideWhenUsed/>
    <w:rsid w:val="00836C63"/>
    <w:rPr>
      <w:color w:val="605E5C"/>
      <w:shd w:val="clear" w:color="auto" w:fill="E1DFDD"/>
    </w:rPr>
  </w:style>
  <w:style w:type="paragraph" w:styleId="af7">
    <w:name w:val="Quote"/>
    <w:basedOn w:val="a"/>
    <w:next w:val="a"/>
    <w:link w:val="af8"/>
    <w:uiPriority w:val="29"/>
    <w:qFormat/>
    <w:rsid w:val="00836C63"/>
    <w:pPr>
      <w:spacing w:before="160"/>
      <w:jc w:val="center"/>
    </w:pPr>
    <w:rPr>
      <w:i/>
      <w:iCs/>
      <w:color w:val="404040" w:themeColor="text1" w:themeTint="BF"/>
    </w:rPr>
  </w:style>
  <w:style w:type="character" w:customStyle="1" w:styleId="af8">
    <w:name w:val="引用 字符"/>
    <w:basedOn w:val="a0"/>
    <w:link w:val="af7"/>
    <w:uiPriority w:val="29"/>
    <w:rsid w:val="00836C63"/>
    <w:rPr>
      <w:rFonts w:cstheme="minorBidi"/>
      <w:i/>
      <w:iCs/>
      <w:color w:val="404040" w:themeColor="text1" w:themeTint="BF"/>
      <w:kern w:val="2"/>
      <w:sz w:val="24"/>
      <w:szCs w:val="22"/>
    </w:rPr>
  </w:style>
  <w:style w:type="paragraph" w:styleId="af9">
    <w:name w:val="Body Text"/>
    <w:basedOn w:val="a"/>
    <w:link w:val="afa"/>
    <w:qFormat/>
    <w:rsid w:val="00836C63"/>
    <w:pPr>
      <w:spacing w:beforeLines="50" w:line="240" w:lineRule="auto"/>
      <w:ind w:firstLineChars="0" w:firstLine="0"/>
    </w:pPr>
    <w:rPr>
      <w:rFonts w:ascii="楷体_GB2312" w:eastAsia="楷体_GB2312" w:cs="Times New Roman"/>
      <w:sz w:val="18"/>
      <w:szCs w:val="24"/>
    </w:rPr>
  </w:style>
  <w:style w:type="character" w:customStyle="1" w:styleId="afa">
    <w:name w:val="正文文本 字符"/>
    <w:basedOn w:val="a0"/>
    <w:link w:val="af9"/>
    <w:qFormat/>
    <w:rsid w:val="00836C63"/>
    <w:rPr>
      <w:rFonts w:ascii="楷体_GB2312" w:eastAsia="楷体_GB2312"/>
      <w:kern w:val="2"/>
      <w:sz w:val="18"/>
      <w:szCs w:val="24"/>
    </w:rPr>
  </w:style>
  <w:style w:type="character" w:customStyle="1" w:styleId="relative">
    <w:name w:val="relative"/>
    <w:basedOn w:val="a0"/>
    <w:rsid w:val="00311D10"/>
  </w:style>
  <w:style w:type="paragraph" w:customStyle="1" w:styleId="not-prose">
    <w:name w:val="not-prose"/>
    <w:basedOn w:val="a"/>
    <w:rsid w:val="00311D10"/>
    <w:pPr>
      <w:spacing w:before="100" w:beforeAutospacing="1" w:after="100" w:afterAutospacing="1" w:line="240" w:lineRule="auto"/>
      <w:ind w:firstLineChars="0" w:firstLine="0"/>
      <w:jc w:val="left"/>
    </w:pPr>
    <w:rPr>
      <w:rFonts w:ascii="宋体" w:hAnsi="宋体" w:cs="宋体"/>
      <w:kern w:val="0"/>
      <w:szCs w:val="24"/>
    </w:rPr>
  </w:style>
  <w:style w:type="character" w:styleId="afb">
    <w:name w:val="Strong"/>
    <w:basedOn w:val="a0"/>
    <w:uiPriority w:val="22"/>
    <w:qFormat/>
    <w:rsid w:val="00D828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293F357-15A4-4EB0-8049-3799239D16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20</Pages>
  <Words>56911</Words>
  <Characters>104148</Characters>
  <Application>Microsoft Office Word</Application>
  <DocSecurity>0</DocSecurity>
  <Lines>2975</Lines>
  <Paragraphs>1769</Paragraphs>
  <ScaleCrop>false</ScaleCrop>
  <Company/>
  <LinksUpToDate>false</LinksUpToDate>
  <CharactersWithSpaces>159290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宇航 肖</cp:lastModifiedBy>
  <cp:revision>24</cp:revision>
  <dcterms:created xsi:type="dcterms:W3CDTF">2025-12-30T04:12:00Z</dcterms:created>
  <dcterms:modified xsi:type="dcterms:W3CDTF">2026-01-06T03:25:00Z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y fmtid="{D5CDD505-2E9C-101B-9397-08002B2CF9AE}" pid="3" name="ZOTERO_PREF_1">
    <vt:lpwstr>&lt;data data-version="3" zotero-version="7.0.30"&gt;&lt;session id="nIbeCh7s"/&gt;&lt;style id="http://www.zotero.org/styles/apa" locale="en-US" hasBibliography="1" bibliographyStyleHasBeenSet="1"/&gt;&lt;prefs&gt;&lt;pref name="fieldType" value="Field"/&gt;&lt;/prefs&gt;&lt;/data&gt;</vt:lpwstr>
  </property>
</Properties>
</file>