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Verified spectral counting turns Temple and Kahan bounds into a certificate.</w:t>
      </w:r>
    </w:p>
    <w:p>
      <w:pPr>
        <w:pStyle w:val="ListBullet"/>
      </w:pPr>
      <w:r>
        <w:t>Directed rounding makes the 1D and separable 2D eigenvalue counts theorems.</w:t>
      </w:r>
    </w:p>
    <w:p>
      <w:pPr>
        <w:pStyle w:val="ListBullet"/>
      </w:pPr>
      <w:r>
        <w:t>Degenerate levels are certified as subspaces with measured multiplicity.</w:t>
      </w:r>
    </w:p>
    <w:p>
      <w:pPr>
        <w:pStyle w:val="ListBullet"/>
      </w:pPr>
      <w:r>
        <w:t>A variational bound extends the guarantee to the continuous operator.</w:t>
      </w:r>
    </w:p>
    <w:p>
      <w:pPr>
        <w:pStyle w:val="ListBullet"/>
      </w:pPr>
      <w:r>
        <w:t>143 tests and drivers regenerate every table and figure of the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