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rPr>
          <w:sz w:val="22"/>
        </w:rPr>
        <w:t>Gradient-norm loss balancers fail silently on losses decoupled from their anchor.</w:t>
      </w:r>
    </w:p>
    <w:p>
      <w:pPr>
        <w:pStyle w:val="ListBullet"/>
      </w:pPr>
      <w:r>
        <w:rPr>
          <w:sz w:val="22"/>
        </w:rPr>
        <w:t>The failure direction is fixed by the balancer: weight collapses to zero or explodes.</w:t>
      </w:r>
    </w:p>
    <w:p>
      <w:pPr>
        <w:pStyle w:val="ListBullet"/>
      </w:pPr>
      <w:r>
        <w:rPr>
          <w:sz w:val="22"/>
        </w:rPr>
        <w:t>A cheap anchor-coupling ratio detects invisible losses at run time.</w:t>
      </w:r>
    </w:p>
    <w:p>
      <w:pPr>
        <w:pStyle w:val="ListBullet"/>
      </w:pPr>
      <w:r>
        <w:rPr>
          <w:sz w:val="22"/>
        </w:rPr>
        <w:t>An anchor-robust wrapper fixes both directions with no manual tuning.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