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3864"/>
          <w:sz w:val="36"/>
          <w:szCs w:val="36"/>
        </w:rPr>
        <w:t xml:space="preserve">In Silico Toxicological Qualification of Two</w:t>
      </w:r>
    </w:p>
    <w:p>
      <w:pPr>
        <w:spacing w:after="120"/>
        <w:jc w:val="center"/>
      </w:pPr>
      <w:r>
        <w:rPr>
          <w:b/>
          <w:bCs/>
          <w:color w:val="1F3864"/>
          <w:sz w:val="36"/>
          <w:szCs w:val="36"/>
        </w:rPr>
        <w:t xml:space="preserve">Vancomycin B Impurities by 3D-QSAR / Structure-Based Read-Across</w:t>
      </w:r>
    </w:p>
    <w:p>
      <w:pPr>
        <w:spacing w:after="400"/>
        <w:jc w:val="center"/>
      </w:pPr>
      <w:r>
        <w:rPr>
          <w:color w:val="2E74B5"/>
          <w:sz w:val="24"/>
          <w:szCs w:val="24"/>
        </w:rPr>
        <w:t xml:space="preserve">Impurities RRT 0.75  [(26R)-DMe-DeLI]  and  RRT 0.87  [(7S,26R)-Vancomycin 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Document type</w:t>
            </w:r>
          </w:p>
        </w:tc>
        <w:tc>
          <w:tcPr>
            <w:tcW w:type="dxa" w:w="6600"/>
            <w:tcMar>
              <w:top w:type="dxa" w:w="40"/>
              <w:left w:type="dxa" w:w="80"/>
              <w:bottom w:type="dxa" w:w="40"/>
              <w:right w:type="dxa" w:w="80"/>
            </w:tcMar>
            <w:vAlign w:val="center"/>
          </w:tcPr>
          <w:p>
            <w:pPr>
              <w:spacing w:after="40" w:before="40"/>
              <w:jc w:val="left"/>
            </w:pPr>
            <w:r>
              <w:rPr>
                <w:sz w:val="18"/>
                <w:szCs w:val="18"/>
              </w:rPr>
              <w:t xml:space="preserve">In silico toxicological qualification report (research / regulatory-support draft)</w:t>
            </w:r>
          </w:p>
        </w:tc>
      </w:tr>
      <w:tr>
        <w:tc>
          <w:tcPr>
            <w:tcW w:type="dxa" w:w="30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Test items</w:t>
            </w:r>
          </w:p>
        </w:tc>
        <w:tc>
          <w:tcPr>
            <w:tcW w:type="dxa" w:w="6600"/>
            <w:tcMar>
              <w:top w:type="dxa" w:w="40"/>
              <w:left w:type="dxa" w:w="80"/>
              <w:bottom w:type="dxa" w:w="40"/>
              <w:right w:type="dxa" w:w="80"/>
            </w:tcMar>
            <w:vAlign w:val="center"/>
          </w:tcPr>
          <w:p>
            <w:pPr>
              <w:spacing w:after="40" w:before="40"/>
              <w:jc w:val="left"/>
            </w:pPr>
            <w:r>
              <w:rPr>
                <w:sz w:val="18"/>
                <w:szCs w:val="18"/>
              </w:rPr>
              <w:t xml:space="preserve">Vancomycin B (API) and impurities RRT 0.75 and RRT 0.87</w:t>
            </w:r>
          </w:p>
        </w:tc>
      </w:tr>
      <w:tr>
        <w:tc>
          <w:tcPr>
            <w:tcW w:type="dxa" w:w="30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In silico methods</w:t>
            </w:r>
          </w:p>
        </w:tc>
        <w:tc>
          <w:tcPr>
            <w:tcW w:type="dxa" w:w="6600"/>
            <w:tcMar>
              <w:top w:type="dxa" w:w="40"/>
              <w:left w:type="dxa" w:w="80"/>
              <w:bottom w:type="dxa" w:w="40"/>
              <w:right w:type="dxa" w:w="80"/>
            </w:tcMar>
            <w:vAlign w:val="center"/>
          </w:tcPr>
          <w:p>
            <w:pPr>
              <w:spacing w:after="40" w:before="40"/>
              <w:jc w:val="left"/>
            </w:pPr>
            <w:r>
              <w:rPr>
                <w:sz w:val="18"/>
                <w:szCs w:val="18"/>
              </w:rPr>
              <w:t xml:space="preserve">Toxicophore/pharmacophore profiling; RDKit structural-alert catalogues (PAINS A/B/C, Brenk, NIH); physicochemical &amp; 3D-shape descriptors; 3D conformer generation &amp; MCS/O3A shape read-across; in-house 12-endpoint Tox21 statistical QSAR (RandomForest, 5-fold CV, applicability-domain check); ICH M7-style expert alert review; supporting (Q)SAR pKa/logD</w:t>
            </w:r>
          </w:p>
        </w:tc>
      </w:tr>
      <w:tr>
        <w:tc>
          <w:tcPr>
            <w:tcW w:type="dxa" w:w="30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Toxicological anchor</w:t>
            </w:r>
          </w:p>
        </w:tc>
        <w:tc>
          <w:tcPr>
            <w:tcW w:type="dxa" w:w="6600"/>
            <w:tcMar>
              <w:top w:type="dxa" w:w="40"/>
              <w:left w:type="dxa" w:w="80"/>
              <w:bottom w:type="dxa" w:w="40"/>
              <w:right w:type="dxa" w:w="80"/>
            </w:tcMar>
            <w:vAlign w:val="center"/>
          </w:tcPr>
          <w:p>
            <w:pPr>
              <w:spacing w:after="40" w:before="40"/>
              <w:jc w:val="left"/>
            </w:pPr>
            <w:r>
              <w:rPr>
                <w:sz w:val="18"/>
                <w:szCs w:val="18"/>
              </w:rPr>
              <w:t xml:space="preserve">Parent API 90-day i.v. dog study, NOAEL 75/100 mg/kg/day (~2–3× clinical dose)</w:t>
            </w:r>
          </w:p>
        </w:tc>
      </w:tr>
      <w:tr>
        <w:tc>
          <w:tcPr>
            <w:tcW w:type="dxa" w:w="30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Date</w:t>
            </w:r>
          </w:p>
        </w:tc>
        <w:tc>
          <w:tcPr>
            <w:tcW w:type="dxa" w:w="6600"/>
            <w:tcMar>
              <w:top w:type="dxa" w:w="40"/>
              <w:left w:type="dxa" w:w="80"/>
              <w:bottom w:type="dxa" w:w="40"/>
              <w:right w:type="dxa" w:w="80"/>
            </w:tcMar>
            <w:vAlign w:val="center"/>
          </w:tcPr>
          <w:p>
            <w:pPr>
              <w:spacing w:after="40" w:before="40"/>
              <w:jc w:val="left"/>
            </w:pPr>
            <w:r>
              <w:rPr>
                <w:sz w:val="18"/>
                <w:szCs w:val="18"/>
              </w:rPr>
              <w:t xml:space="preserve">2026-07-30</w:t>
            </w:r>
          </w:p>
        </w:tc>
      </w:tr>
    </w:tbl>
    <w:p>
      <w:pPr>
        <w:spacing w:before="300"/>
      </w:pPr>
      <w:r>
        <w:rPr>
          <w:i/>
          <w:iCs/>
          <w:color w:val="C00000"/>
          <w:sz w:val="18"/>
          <w:szCs w:val="18"/>
        </w:rPr>
        <w:t xml:space="preserve">IMPORTANT — This report is a computational screening and structure-based read-across assessment intended to support expert toxicological review. It is not, by itself, a regulatory toxicology conclusion or a substitute for expert sign-off or, where required, experimental testing. See Section 9 (Limitations).</w:t>
      </w:r>
    </w:p>
    <w:p>
      <w:r>
        <w:br w:type="page"/>
      </w:r>
    </w:p>
    <w:p>
      <w:pPr>
        <w:pStyle w:val="Heading1"/>
        <w:spacing w:after="120" w:before="280"/>
      </w:pPr>
      <w:r>
        <w:rPr>
          <w:b/>
          <w:bCs/>
          <w:color w:val="1F3864"/>
        </w:rPr>
        <w:t xml:space="preserve">1.  Executive summary</w:t>
      </w:r>
    </w:p>
    <w:p>
      <w:pPr>
        <w:spacing w:after="120" w:line="276"/>
        <w:jc w:val="both"/>
      </w:pPr>
      <w:r>
        <w:rPr>
          <w:sz w:val="20"/>
          <w:szCs w:val="20"/>
        </w:rPr>
        <w:t xml:space="preserve">Two related substances of the glycopeptide antibiotic vancomycin B require in silico toxicological qualification: </w:t>
      </w:r>
      <w:r>
        <w:rPr>
          <w:b/>
          <w:bCs/>
          <w:sz w:val="20"/>
          <w:szCs w:val="20"/>
        </w:rPr>
        <w:t xml:space="preserve">RRT 0.87 = (7S,26R)-vancomycin B</w:t>
      </w:r>
      <w:r>
        <w:rPr>
          <w:sz w:val="20"/>
          <w:szCs w:val="20"/>
        </w:rPr>
        <w:t xml:space="preserve">, a heat/low-water-activity degradation product, and </w:t>
      </w:r>
      <w:r>
        <w:rPr>
          <w:b/>
          <w:bCs/>
          <w:sz w:val="20"/>
          <w:szCs w:val="20"/>
        </w:rPr>
        <w:t xml:space="preserve">RRT 0.75 = (26R)-DMe-DeLI</w:t>
      </w:r>
      <w:r>
        <w:rPr>
          <w:sz w:val="20"/>
          <w:szCs w:val="20"/>
        </w:rPr>
        <w:t xml:space="preserve">, a fermentation-derived residue-1 variant. Because the sponsor correctly notes that the differences are largely stereochemical/constitutional and therefore not resolvable by conventional 2D read-across, a three-dimensional, structure-based approach was applied to each of the parent and the two daughter molecules.</w:t>
      </w:r>
    </w:p>
    <w:p>
      <w:pPr>
        <w:spacing w:after="120" w:line="276"/>
        <w:jc w:val="both"/>
      </w:pPr>
      <w:r>
        <w:rPr>
          <w:b/>
          <w:bCs/>
          <w:sz w:val="20"/>
          <w:szCs w:val="20"/>
        </w:rPr>
        <w:t xml:space="preserve">Principal conclusion. </w:t>
      </w:r>
      <w:r>
        <w:rPr>
          <w:b/>
          <w:bCs/>
          <w:sz w:val="20"/>
          <w:szCs w:val="20"/>
        </w:rPr>
        <w:t xml:space="preserve">Neither impurity introduces a new toxicophore or a new DNA-reactive (mutagenic) structural alert that is absent from the parent API. </w:t>
      </w:r>
      <w:r>
        <w:rPr>
          <w:sz w:val="20"/>
          <w:szCs w:val="20"/>
        </w:rPr>
        <w:t xml:space="preserve">RRT 0.87 is a pure stereoisomer sharing all 101 heavy atoms and the complete functional-group inventory of the parent; its only difference from vancomycin B is the spatial configuration at 2 of 18 stereocentres. RRT 0.75 shares 99 of ~100 heavy atoms with the parent; its sole structural change is at N-terminal residue 1, where a secondary (N-methyl) amine is replaced by a primary aliphatic amine — a functional-group class already present elsewhere in the parent (vancosamine) — together with epimerisation at C26. Predicted lipophilicity (logD 0.42) and basicity (pKa ≈ 8.1–8.2) are essentially unchanged, so the basic-amine ('Red-Man'/histamine) liability is preserved but not amplified.</w:t>
      </w:r>
    </w:p>
    <w:p>
      <w:pPr>
        <w:spacing w:after="120" w:line="276"/>
        <w:jc w:val="both"/>
      </w:pPr>
      <w:r>
        <w:rPr>
          <w:sz w:val="20"/>
          <w:szCs w:val="20"/>
        </w:rPr>
        <w:t xml:space="preserve">A statistical 12-endpoint Tox21 QSAR (mean 5-fold CV-AUC 0.827) reinforces this: the parent is itself a Tox21 training compound (measured profile essentially clean — only a weak NR-AR signal), RRT 0.87 is fingerprint-identical to the parent (Δ ≡ 0 at all endpoints), and RRT 0.75 differs from the parent by ≤ 0.02 in predicted probability at every endpoint, with none crossing into activity — including the genotoxicity-associated endpoints. </w:t>
      </w:r>
      <w:r>
        <w:rPr>
          <w:sz w:val="20"/>
          <w:szCs w:val="20"/>
        </w:rPr>
        <w:t xml:space="preserve">On a weight-of-evidence basis, both impurities qualify for toxicological read-across to the parent vancomycin B, whose safety is anchored by a 91-day intravenous dog study (NOAEL 75/100 mg/kg/day, ≈2–3× the clinical dose) and extensive clinical exposure, provided each impurity is controlled within the Ph. Eur. related-substances limits. The in silico outcome should be confirmed under the company's ICH M7 two-methodology (expert rule-based + statistical) framework and expert review.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240"/>
      </w:tblGrid>
      <w:tr>
        <w:tc>
          <w:tcPr>
            <w:tcW w:type="dxa" w:w="260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Question</w:t>
            </w:r>
          </w:p>
        </w:tc>
        <w:tc>
          <w:tcPr>
            <w:tcW w:type="dxa" w:w="240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RRT 0.87</w:t>
            </w:r>
          </w:p>
        </w:tc>
        <w:tc>
          <w:tcPr>
            <w:tcW w:type="dxa" w:w="240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RRT 0.75</w:t>
            </w:r>
          </w:p>
        </w:tc>
        <w:tc>
          <w:tcPr>
            <w:tcW w:type="dxa" w:w="224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Basis</w:t>
            </w:r>
          </w:p>
        </w:tc>
      </w:tr>
      <w:tr>
        <w:tc>
          <w:tcPr>
            <w:tcW w:type="dxa" w:w="26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New toxicophore vs parent?</w:t>
            </w:r>
          </w:p>
        </w:tc>
        <w:tc>
          <w:tcPr>
            <w:tcW w:type="dxa" w:w="2400"/>
            <w:tcMar>
              <w:top w:type="dxa" w:w="40"/>
              <w:left w:type="dxa" w:w="80"/>
              <w:bottom w:type="dxa" w:w="40"/>
              <w:right w:type="dxa" w:w="80"/>
            </w:tcMar>
            <w:vAlign w:val="center"/>
          </w:tcPr>
          <w:p>
            <w:pPr>
              <w:spacing w:after="40" w:before="40"/>
              <w:jc w:val="center"/>
            </w:pPr>
            <w:r>
              <w:rPr>
                <w:b/>
                <w:bCs/>
                <w:color w:val="2E7D32"/>
                <w:sz w:val="18"/>
                <w:szCs w:val="18"/>
              </w:rPr>
              <w:t xml:space="preserve">NO</w:t>
            </w:r>
          </w:p>
        </w:tc>
        <w:tc>
          <w:tcPr>
            <w:tcW w:type="dxa" w:w="2400"/>
            <w:tcMar>
              <w:top w:type="dxa" w:w="40"/>
              <w:left w:type="dxa" w:w="80"/>
              <w:bottom w:type="dxa" w:w="40"/>
              <w:right w:type="dxa" w:w="80"/>
            </w:tcMar>
            <w:vAlign w:val="center"/>
          </w:tcPr>
          <w:p>
            <w:pPr>
              <w:spacing w:after="40" w:before="40"/>
              <w:jc w:val="center"/>
            </w:pPr>
            <w:r>
              <w:rPr>
                <w:b/>
                <w:bCs/>
                <w:color w:val="2E7D32"/>
                <w:sz w:val="18"/>
                <w:szCs w:val="18"/>
              </w:rPr>
              <w:t xml:space="preserve">NO</w:t>
            </w:r>
          </w:p>
        </w:tc>
        <w:tc>
          <w:tcPr>
            <w:tcW w:type="dxa" w:w="2240"/>
            <w:tcMar>
              <w:top w:type="dxa" w:w="40"/>
              <w:left w:type="dxa" w:w="80"/>
              <w:bottom w:type="dxa" w:w="40"/>
              <w:right w:type="dxa" w:w="80"/>
            </w:tcMar>
            <w:vAlign w:val="center"/>
          </w:tcPr>
          <w:p>
            <w:pPr>
              <w:spacing w:after="40" w:before="40"/>
              <w:jc w:val="left"/>
            </w:pPr>
            <w:r>
              <w:rPr>
                <w:sz w:val="18"/>
                <w:szCs w:val="18"/>
              </w:rPr>
              <w:t xml:space="preserve">Identical FG inventory (0.87); iso-functional amine swap (0.75)</w:t>
            </w:r>
          </w:p>
        </w:tc>
      </w:tr>
      <w:tr>
        <w:tc>
          <w:tcPr>
            <w:tcW w:type="dxa" w:w="26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New mutagenic (M7) alert?</w:t>
            </w:r>
          </w:p>
        </w:tc>
        <w:tc>
          <w:tcPr>
            <w:tcW w:type="dxa" w:w="2400"/>
            <w:tcMar>
              <w:top w:type="dxa" w:w="40"/>
              <w:left w:type="dxa" w:w="80"/>
              <w:bottom w:type="dxa" w:w="40"/>
              <w:right w:type="dxa" w:w="80"/>
            </w:tcMar>
            <w:vAlign w:val="center"/>
          </w:tcPr>
          <w:p>
            <w:pPr>
              <w:spacing w:after="40" w:before="40"/>
              <w:jc w:val="center"/>
            </w:pPr>
            <w:r>
              <w:rPr>
                <w:b/>
                <w:bCs/>
                <w:color w:val="2E7D32"/>
                <w:sz w:val="18"/>
                <w:szCs w:val="18"/>
              </w:rPr>
              <w:t xml:space="preserve">NO</w:t>
            </w:r>
          </w:p>
        </w:tc>
        <w:tc>
          <w:tcPr>
            <w:tcW w:type="dxa" w:w="2400"/>
            <w:tcMar>
              <w:top w:type="dxa" w:w="40"/>
              <w:left w:type="dxa" w:w="80"/>
              <w:bottom w:type="dxa" w:w="40"/>
              <w:right w:type="dxa" w:w="80"/>
            </w:tcMar>
            <w:vAlign w:val="center"/>
          </w:tcPr>
          <w:p>
            <w:pPr>
              <w:spacing w:after="40" w:before="40"/>
              <w:jc w:val="center"/>
            </w:pPr>
            <w:r>
              <w:rPr>
                <w:b/>
                <w:bCs/>
                <w:color w:val="2E7D32"/>
                <w:sz w:val="18"/>
                <w:szCs w:val="18"/>
              </w:rPr>
              <w:t xml:space="preserve">NO</w:t>
            </w:r>
          </w:p>
        </w:tc>
        <w:tc>
          <w:tcPr>
            <w:tcW w:type="dxa" w:w="2240"/>
            <w:tcMar>
              <w:top w:type="dxa" w:w="40"/>
              <w:left w:type="dxa" w:w="80"/>
              <w:bottom w:type="dxa" w:w="40"/>
              <w:right w:type="dxa" w:w="80"/>
            </w:tcMar>
            <w:vAlign w:val="center"/>
          </w:tcPr>
          <w:p>
            <w:pPr>
              <w:spacing w:after="40" w:before="40"/>
              <w:jc w:val="left"/>
            </w:pPr>
            <w:r>
              <w:rPr>
                <w:sz w:val="18"/>
                <w:szCs w:val="18"/>
              </w:rPr>
              <w:t xml:space="preserve">Both M7 methodologies negative -&gt; Class 5 (§5.7)</w:t>
            </w:r>
          </w:p>
        </w:tc>
      </w:tr>
      <w:tr>
        <w:tc>
          <w:tcPr>
            <w:tcW w:type="dxa" w:w="26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Read-across to parent justified?</w:t>
            </w:r>
          </w:p>
        </w:tc>
        <w:tc>
          <w:tcPr>
            <w:tcW w:type="dxa" w:w="2400"/>
            <w:tcMar>
              <w:top w:type="dxa" w:w="40"/>
              <w:left w:type="dxa" w:w="80"/>
              <w:bottom w:type="dxa" w:w="40"/>
              <w:right w:type="dxa" w:w="80"/>
            </w:tcMar>
            <w:vAlign w:val="center"/>
          </w:tcPr>
          <w:p>
            <w:pPr>
              <w:spacing w:after="40" w:before="40"/>
              <w:jc w:val="center"/>
            </w:pPr>
            <w:r>
              <w:rPr>
                <w:b/>
                <w:bCs/>
                <w:color w:val="2E7D32"/>
                <w:sz w:val="18"/>
                <w:szCs w:val="18"/>
              </w:rPr>
              <w:t xml:space="preserve">YES</w:t>
            </w:r>
          </w:p>
        </w:tc>
        <w:tc>
          <w:tcPr>
            <w:tcW w:type="dxa" w:w="2400"/>
            <w:tcMar>
              <w:top w:type="dxa" w:w="40"/>
              <w:left w:type="dxa" w:w="80"/>
              <w:bottom w:type="dxa" w:w="40"/>
              <w:right w:type="dxa" w:w="80"/>
            </w:tcMar>
            <w:vAlign w:val="center"/>
          </w:tcPr>
          <w:p>
            <w:pPr>
              <w:spacing w:after="40" w:before="40"/>
              <w:jc w:val="center"/>
            </w:pPr>
            <w:r>
              <w:rPr>
                <w:b/>
                <w:bCs/>
                <w:color w:val="2E7D32"/>
                <w:sz w:val="18"/>
                <w:szCs w:val="18"/>
              </w:rPr>
              <w:t xml:space="preserve">YES</w:t>
            </w:r>
          </w:p>
        </w:tc>
        <w:tc>
          <w:tcPr>
            <w:tcW w:type="dxa" w:w="2240"/>
            <w:tcMar>
              <w:top w:type="dxa" w:w="40"/>
              <w:left w:type="dxa" w:w="80"/>
              <w:bottom w:type="dxa" w:w="40"/>
              <w:right w:type="dxa" w:w="80"/>
            </w:tcMar>
            <w:vAlign w:val="center"/>
          </w:tcPr>
          <w:p>
            <w:pPr>
              <w:spacing w:after="40" w:before="40"/>
              <w:jc w:val="left"/>
            </w:pPr>
            <w:r>
              <w:rPr>
                <w:sz w:val="18"/>
                <w:szCs w:val="18"/>
              </w:rPr>
              <w:t xml:space="preserve">≥98% shared skeleton; conserved core toxicophores</w:t>
            </w:r>
          </w:p>
        </w:tc>
      </w:tr>
    </w:tbl>
    <w:p>
      <w:r>
        <w:br w:type="page"/>
      </w:r>
    </w:p>
    <w:p>
      <w:pPr>
        <w:pStyle w:val="Heading1"/>
        <w:spacing w:after="120" w:before="280"/>
      </w:pPr>
      <w:r>
        <w:rPr>
          <w:b/>
          <w:bCs/>
          <w:color w:val="1F3864"/>
        </w:rPr>
        <w:t xml:space="preserve">2.  Purpose, scope and regulatory framework</w:t>
      </w:r>
    </w:p>
    <w:p>
      <w:pPr>
        <w:spacing w:after="120" w:line="276"/>
        <w:jc w:val="both"/>
      </w:pPr>
      <w:r>
        <w:rPr>
          <w:sz w:val="20"/>
          <w:szCs w:val="20"/>
        </w:rPr>
        <w:t xml:space="preserve">The objective is a toxicological in silico qualification of impurities RRT 0.75 and RRT 0.87 in Xellia vancomycin, delivering: (i) a 3D-QSAR / structure-based assessment for the parent molecule and each of the two daughter molecules; (ii) identification and assessment of any additional toxophore present in a daughter but absent from the parent; (iii) a documented read-across justification; and (iv) this regulatory-style report.</w:t>
      </w:r>
    </w:p>
    <w:p>
      <w:pPr>
        <w:spacing w:after="120" w:line="276"/>
        <w:jc w:val="both"/>
      </w:pPr>
      <w:r>
        <w:rPr>
          <w:b/>
          <w:bCs/>
          <w:sz w:val="20"/>
          <w:szCs w:val="20"/>
        </w:rPr>
        <w:t xml:space="preserve">Framework. </w:t>
      </w:r>
      <w:r>
        <w:rPr>
          <w:sz w:val="20"/>
          <w:szCs w:val="20"/>
        </w:rPr>
        <w:t xml:space="preserve">Non-mutagenic impurity qualification follows the logic of ICH Q3A(R2)/Q3B(R2) (qualification of impurities in new drug substances/products). Mutagenic-impurity potential is screened using the logic of ICH M7(R2), which anticipates two complementary (Q)SAR methodologies — one expert rule-based, one statistical — plus expert review. In silico model use is framed by the OECD principles for the validation of (Q)SAR models (defined endpoint, unambiguous algorithm, defined applicability domain, appropriate goodness-of-fit/robustness, and mechanistic interpretation where possible). Because vancomycin B is a large (MW ≈ 1449) flexible glycopeptide well outside the applicability domain of conventional small-molecule statistical tox models, the assessment is weighted toward mechanistic, structure- and shape-based read-across, with statistical models used only where their domain is respected (and flagged where not).</w:t>
      </w:r>
    </w:p>
    <w:p>
      <w:pPr>
        <w:pStyle w:val="Heading1"/>
        <w:spacing w:after="120" w:before="280"/>
      </w:pPr>
      <w:r>
        <w:rPr>
          <w:b/>
          <w:bCs/>
          <w:color w:val="1F3864"/>
        </w:rPr>
        <w:t xml:space="preserve">3.  Test items and structural relationships</w:t>
      </w:r>
    </w:p>
    <w:p>
      <w:pPr>
        <w:spacing w:after="120" w:line="276"/>
        <w:jc w:val="both"/>
      </w:pPr>
      <w:r>
        <w:rPr>
          <w:sz w:val="20"/>
          <w:szCs w:val="20"/>
        </w:rPr>
        <w:t xml:space="preserve">Structures were taken from the sponsor information (IUPAC name, SMILES and InChI) and independently validated with RDKit; computed molecular formulae and exact masses reproduce the values in the source document, confirming faithful structure capture.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480"/>
        <w:gridCol w:w="2480"/>
      </w:tblGrid>
      <w:tr>
        <w:tc>
          <w:tcPr>
            <w:tcW w:type="dxa" w:w="2200"/>
            <w:shd w:fill="1F3864" w:color="auto" w:val="clear"/>
            <w:tcMar>
              <w:top w:type="dxa" w:w="40"/>
              <w:left w:type="dxa" w:w="80"/>
              <w:bottom w:type="dxa" w:w="40"/>
              <w:right w:type="dxa" w:w="80"/>
            </w:tcMar>
            <w:vAlign w:val="center"/>
          </w:tcPr>
          <w:p>
            <w:pPr>
              <w:spacing w:after="40" w:before="40"/>
              <w:jc w:val="left"/>
            </w:pPr>
            <w:r>
              <w:rPr>
                <w:b/>
                <w:bCs/>
                <w:color w:val="FFFFFF"/>
                <w:sz w:val="18"/>
                <w:szCs w:val="18"/>
              </w:rPr>
              <w:t xml:space="preserve">Attribute</w:t>
            </w:r>
          </w:p>
        </w:tc>
        <w:tc>
          <w:tcPr>
            <w:tcW w:type="dxa" w:w="248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Parent API</w:t>
            </w:r>
          </w:p>
        </w:tc>
        <w:tc>
          <w:tcPr>
            <w:tcW w:type="dxa" w:w="248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RRT 0.87</w:t>
            </w:r>
          </w:p>
        </w:tc>
        <w:tc>
          <w:tcPr>
            <w:tcW w:type="dxa" w:w="248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RRT 0.75</w:t>
            </w:r>
          </w:p>
        </w:tc>
      </w:tr>
      <w:tr>
        <w:tc>
          <w:tcPr>
            <w:tcW w:type="dxa" w:w="22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Xellia name</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Vancomycin B</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(7S,26R)-Vancomycin B</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Vancomycin B impurity (26R)-DMe-DeLI</w:t>
            </w:r>
          </w:p>
        </w:tc>
      </w:tr>
      <w:tr>
        <w:tc>
          <w:tcPr>
            <w:tcW w:type="dxa" w:w="22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Molecular formula</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C66H75Cl2N9O24</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C66H75Cl2N9O24</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C65H73Cl2N9O24</w:t>
            </w:r>
          </w:p>
        </w:tc>
      </w:tr>
      <w:tr>
        <w:tc>
          <w:tcPr>
            <w:tcW w:type="dxa" w:w="22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Monoisotopic MW</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1447.43</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1447.43</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1433.41</w:t>
            </w:r>
          </w:p>
        </w:tc>
      </w:tr>
      <w:tr>
        <w:tc>
          <w:tcPr>
            <w:tcW w:type="dxa" w:w="22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[M+H]+ (source doc)</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1448.4</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1448.3</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1435.23</w:t>
            </w:r>
          </w:p>
        </w:tc>
      </w:tr>
      <w:tr>
        <w:tc>
          <w:tcPr>
            <w:tcW w:type="dxa" w:w="22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Avg MW (calc.)</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1449.27</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1449.27</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1435.24</w:t>
            </w:r>
          </w:p>
        </w:tc>
      </w:tr>
      <w:tr>
        <w:tc>
          <w:tcPr>
            <w:tcW w:type="dxa" w:w="22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Defined stereocentres</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18</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18</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19</w:t>
            </w:r>
          </w:p>
        </w:tc>
      </w:tr>
      <w:tr>
        <w:tc>
          <w:tcPr>
            <w:tcW w:type="dxa" w:w="22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Origin</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Fermentation (API)</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Degradation (low water
activity + heat; stable on
stability)</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Fermentation (stable on
stability)</w:t>
            </w:r>
          </w:p>
        </w:tc>
      </w:tr>
      <w:tr>
        <w:tc>
          <w:tcPr>
            <w:tcW w:type="dxa" w:w="2200"/>
            <w:shd w:fill="DCE6F1" w:color="auto" w:val="clear"/>
            <w:tcMar>
              <w:top w:type="dxa" w:w="40"/>
              <w:left w:type="dxa" w:w="80"/>
              <w:bottom w:type="dxa" w:w="40"/>
              <w:right w:type="dxa" w:w="80"/>
            </w:tcMar>
            <w:vAlign w:val="center"/>
          </w:tcPr>
          <w:p>
            <w:pPr>
              <w:spacing w:after="40" w:before="40"/>
              <w:jc w:val="left"/>
            </w:pPr>
            <w:r>
              <w:rPr>
                <w:b/>
                <w:bCs/>
                <w:sz w:val="18"/>
                <w:szCs w:val="18"/>
              </w:rPr>
              <w:t xml:space="preserve">Relationship to API</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Diastereomer
(epimerised at C7 &amp; C26)</w:t>
            </w:r>
          </w:p>
        </w:tc>
        <w:tc>
          <w:tcPr>
            <w:tcW w:type="dxa" w:w="2480"/>
            <w:tcMar>
              <w:top w:type="dxa" w:w="40"/>
              <w:left w:type="dxa" w:w="80"/>
              <w:bottom w:type="dxa" w:w="40"/>
              <w:right w:type="dxa" w:w="80"/>
            </w:tcMar>
            <w:vAlign w:val="center"/>
          </w:tcPr>
          <w:p>
            <w:pPr>
              <w:spacing w:after="40" w:before="40"/>
              <w:jc w:val="left"/>
            </w:pPr>
            <w:r>
              <w:rPr>
                <w:b w:val="false"/>
                <w:bCs w:val="false"/>
                <w:sz w:val="18"/>
                <w:szCs w:val="18"/>
              </w:rPr>
              <w:t xml:space="preserve">Residue-1 variant
(N-desMe; Leu→Ile) +
C26 epimer</w:t>
            </w:r>
          </w:p>
        </w:tc>
      </w:tr>
    </w:tbl>
    <w:p>
      <w:pPr>
        <w:spacing w:after="60" w:before="120"/>
        <w:jc w:val="center"/>
      </w:pPr>
      <w:r>
        <w:drawing>
          <wp:inline distT="0" distB="0" distL="0" distR="0">
            <wp:extent cx="6096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000250"/>
                    </a:xfrm>
                    <a:prstGeom prst="rect">
                      <a:avLst/>
                    </a:prstGeom>
                  </pic:spPr>
                </pic:pic>
              </a:graphicData>
            </a:graphic>
          </wp:inline>
        </w:drawing>
      </w:r>
    </w:p>
    <w:p>
      <w:pPr>
        <w:spacing w:after="160"/>
        <w:jc w:val="center"/>
      </w:pPr>
      <w:r>
        <w:rPr>
          <w:i/>
          <w:iCs/>
          <w:color w:val="595959"/>
          <w:sz w:val="16"/>
          <w:szCs w:val="16"/>
        </w:rPr>
        <w:t xml:space="preserve">Figure 1.  2D structures of the parent API (left) and the two impurities. RRT 0.87 is drawn identically to the parent because it differs only in stereochemistry; RRT 0.75 differs at N-terminal residue 1 (free primary amine + isoleucine side chain instead of N-methyl-leucine).</w:t>
      </w:r>
    </w:p>
    <w:p>
      <w:pPr>
        <w:spacing w:after="120" w:line="276"/>
        <w:jc w:val="both"/>
      </w:pPr>
      <w:r>
        <w:rPr>
          <w:b/>
          <w:bCs/>
          <w:sz w:val="20"/>
          <w:szCs w:val="20"/>
        </w:rPr>
        <w:t xml:space="preserve">RRT 0.87 — (7S,26R)-vancomycin B. </w:t>
      </w:r>
      <w:r>
        <w:rPr>
          <w:sz w:val="20"/>
          <w:szCs w:val="20"/>
        </w:rPr>
        <w:t xml:space="preserve">Same molecular formula as the API (C66H75Cl2N9O24). Configuration is inverted at C7 (the benzylic carbinol carbon of residue 3) and at C26 (a peptide α-carbon). This is consistent with thermally-driven epimerisation under low water activity — a stereochemical, not constitutional, change. No atoms are added or removed.</w:t>
      </w:r>
    </w:p>
    <w:p>
      <w:pPr>
        <w:spacing w:after="120" w:line="276"/>
        <w:jc w:val="both"/>
      </w:pPr>
      <w:r>
        <w:rPr>
          <w:b/>
          <w:bCs/>
          <w:sz w:val="20"/>
          <w:szCs w:val="20"/>
        </w:rPr>
        <w:t xml:space="preserve">RRT 0.75 — (26R)-DMe-DeLI. </w:t>
      </w:r>
      <w:r>
        <w:rPr>
          <w:sz w:val="20"/>
          <w:szCs w:val="20"/>
        </w:rPr>
        <w:t xml:space="preserve">Molecular formula C65H73Cl2N9O24 (one CH2 less than the API). N-terminal residue 1 changes from N-methyl-D-leucine to des-N-methyl-isoleucine: the N-methyl group is lost (secondary → primary amine) and the side chain changes from isobutyl (leucine) to sec-butyl (isoleucine), with additional epimerisation at C26. All other residues, both sugars, both aryl chlorides and all phenolic rings are retained.</w:t>
      </w:r>
    </w:p>
    <w:p>
      <w:pPr>
        <w:spacing w:after="60" w:before="12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381250"/>
                    </a:xfrm>
                    <a:prstGeom prst="rect">
                      <a:avLst/>
                    </a:prstGeom>
                  </pic:spPr>
                </pic:pic>
              </a:graphicData>
            </a:graphic>
          </wp:inline>
        </w:drawing>
      </w:r>
    </w:p>
    <w:p>
      <w:pPr>
        <w:spacing w:after="60" w:before="120"/>
        <w:jc w:val="center"/>
      </w:pPr>
      <w:r>
        <w:drawing>
          <wp:inline distT="0" distB="0" distL="0" distR="0">
            <wp:extent cx="2857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381250"/>
                    </a:xfrm>
                    <a:prstGeom prst="rect">
                      <a:avLst/>
                    </a:prstGeom>
                  </pic:spPr>
                </pic:pic>
              </a:graphicData>
            </a:graphic>
          </wp:inline>
        </w:drawing>
      </w:r>
    </w:p>
    <w:p>
      <w:pPr>
        <w:spacing w:after="160"/>
        <w:jc w:val="center"/>
      </w:pPr>
      <w:r>
        <w:rPr>
          <w:i/>
          <w:iCs/>
          <w:color w:val="595959"/>
          <w:sz w:val="16"/>
          <w:szCs w:val="16"/>
        </w:rPr>
        <w:t xml:space="preserve">Figure 2.  Residue-1 difference highlighted: parent N-methyl-D-leucine (secondary amine) vs RRT 0.75 des-methyl isoleucine (primary amine). This is the only site of constitutional change between RRT 0.75 and the API.</w:t>
      </w:r>
    </w:p>
    <w:p>
      <w:r>
        <w:br w:type="page"/>
      </w:r>
    </w:p>
    <w:p>
      <w:pPr>
        <w:pStyle w:val="Heading1"/>
        <w:spacing w:after="120" w:before="280"/>
      </w:pPr>
      <w:r>
        <w:rPr>
          <w:b/>
          <w:bCs/>
          <w:color w:val="1F3864"/>
        </w:rPr>
        <w:t xml:space="preserve">4.  Computational methods</w:t>
      </w:r>
    </w:p>
    <w:p>
      <w:pPr>
        <w:pStyle w:val="Heading2"/>
        <w:spacing w:after="100" w:before="200"/>
      </w:pPr>
      <w:r>
        <w:rPr>
          <w:b/>
          <w:bCs/>
          <w:color w:val="2E74B5"/>
        </w:rPr>
        <w:t xml:space="preserve">4.1  Toxicophore / pharmacophore and structural-alert profiling</w:t>
      </w:r>
    </w:p>
    <w:p>
      <w:pPr>
        <w:spacing w:after="120" w:line="276"/>
        <w:jc w:val="both"/>
      </w:pPr>
      <w:r>
        <w:rPr>
          <w:sz w:val="20"/>
          <w:szCs w:val="20"/>
        </w:rPr>
        <w:t xml:space="preserve">Each structure was profiled for (a) the vancomycin pharmacophore elements (heptapeptide aglycone D-Ala-D-Ala binding cleft, H-bonding network, vancosamine–glucose disaccharide) and (b) the recognised vancomycin toxicophores (phenolic/aromatic rings linked to renal-tubular accumulation; basic amine centres linked to non-IgE mast-cell/histamine release / Red-Man syndrome; high MW / hydrophilicity). A quantitative functional-group inventory (SMARTS substructure counting) was computed for all three molecules and differenced against the parent. Structural liabilities were screened with the RDKit FilterCatalog PAINS (A/B/C), Brenk and NIH catalogues, and reviewed against ICH M7 DNA-reactive alert classes (aromatic amine, nitro/nitroso, epoxide, Michael acceptor, aldehyde, alkyl-/benzyl-halide, etc.).</w:t>
      </w:r>
    </w:p>
    <w:p>
      <w:pPr>
        <w:pStyle w:val="Heading2"/>
        <w:spacing w:after="100" w:before="200"/>
      </w:pPr>
      <w:r>
        <w:rPr>
          <w:b/>
          <w:bCs/>
          <w:color w:val="2E74B5"/>
        </w:rPr>
        <w:t xml:space="preserve">4.2  Physicochemical and 3D descriptors; 3D-QSAR-style shape read-across</w:t>
      </w:r>
    </w:p>
    <w:p>
      <w:pPr>
        <w:spacing w:after="120" w:line="276"/>
        <w:jc w:val="both"/>
      </w:pPr>
      <w:r>
        <w:rPr>
          <w:sz w:val="20"/>
          <w:szCs w:val="20"/>
        </w:rPr>
        <w:t xml:space="preserve">Physicochemical descriptors (MW, cLogP, TPSA, HBD/HBA, rotatable bonds, aromatic-ring count, QED, Lipinski/Veber) were computed with RDKit; logD7.4 and acidic/basic pKa were predicted with the Inductive Bio (Q)SAR models. Three-dimensional conformers were generated (ETKDG v3) and MMFF-minimised; 3D whole-molecule shape descriptors (radius of gyration, asphericity, spherocity, eccentricity, normalised principal moments NPR1/NPR2) were computed. Read-across in three dimensions was quantified by (i) maximum-common-substructure (MCS) determination and core-restricted 3D alignment (RMSD), and (ii) Crippen Open3DAlign / shape-Tanimoto comparison to the parent. This constitutes a 3D-structure/field-based read-across; it is the applicable in silico 3D approach for a three-compound impurity qualification (a formal CoMFA/CoMSIA 3D-QSAR model is not constructed — see Section 9).</w:t>
      </w:r>
    </w:p>
    <w:p>
      <w:pPr>
        <w:pStyle w:val="Heading2"/>
        <w:spacing w:after="100" w:before="200"/>
      </w:pPr>
      <w:r>
        <w:rPr>
          <w:b/>
          <w:bCs/>
          <w:color w:val="2E74B5"/>
        </w:rPr>
        <w:t xml:space="preserve">4.3  Statistical (2D) QSAR — Tox21 12-endpoint models</w:t>
      </w:r>
    </w:p>
    <w:p>
      <w:pPr>
        <w:spacing w:after="120" w:line="276"/>
        <w:jc w:val="both"/>
      </w:pPr>
      <w:r>
        <w:rPr>
          <w:sz w:val="20"/>
          <w:szCs w:val="20"/>
        </w:rPr>
        <w:t xml:space="preserve">A statistical QSAR was trained and applied for 12 Tox21 nuclear-receptor and stress-response endpoints (class-balanced RandomForest on 2048-bit radius-2 Morgan fingerprints; public MoleculeNet Tox21 training data; 5-fold out-of-fold ROC-AUC). Each molecule was scored and an applicability-domain check performed (nearest-neighbour Tanimoto to the training set). The parent–impurity difference in predicted probability is used as the interpretable read-out; results are in Section 5.6.</w:t>
      </w:r>
    </w:p>
    <w:p>
      <w:pPr>
        <w:pStyle w:val="Heading1"/>
        <w:spacing w:after="120" w:before="280"/>
      </w:pPr>
      <w:r>
        <w:rPr>
          <w:b/>
          <w:bCs/>
          <w:color w:val="1F3864"/>
        </w:rPr>
        <w:t xml:space="preserve">5.  Results</w:t>
      </w:r>
    </w:p>
    <w:p>
      <w:pPr>
        <w:pStyle w:val="Heading2"/>
        <w:spacing w:after="100" w:before="200"/>
      </w:pPr>
      <w:r>
        <w:rPr>
          <w:b/>
          <w:bCs/>
          <w:color w:val="2E74B5"/>
        </w:rPr>
        <w:t xml:space="preserve">5.1  Parent (Vancomycin B) — baseline toxicophore profile</w:t>
      </w:r>
    </w:p>
    <w:p>
      <w:pPr>
        <w:spacing w:after="120" w:line="276"/>
        <w:jc w:val="both"/>
      </w:pPr>
      <w:r>
        <w:rPr>
          <w:sz w:val="20"/>
          <w:szCs w:val="20"/>
        </w:rPr>
        <w:t xml:space="preserve">The parent presents the expected glycopeptide profile: 6 phenolic OH, 5 aromatic rings, 2 aryl chlorides, 3 aryl ethers, 2 benzylic alcohols, 1 carboxylic acid, 1 primary amide (asparagine), 6 secondary amides (peptide backbone), 1 primary amine (vancosamine) and 1 secondary N-methyl amine (residue-1 N-methyl-leucine). It carries no PAINS and no Brenk alert and no DNA-reactive (ICH M7) alert; the single NIH-catalogue flag (≥ 7 aliphatic hydroxyls) is a polarity/solubility descriptor, not a genotoxic alert. Physicochemically it is a large, highly polar, low-lipophilicity molecule (MW 1449; TPSA 531 Å²; logD7.4 ≈ 0.42) — properties that themselves constrain passive membrane permeation and contribute to the known renal-handling / distribution behaviour of vancomycin. These features define the read-across baseline against which the two daughters are compared.</w:t>
      </w:r>
    </w:p>
    <w:p>
      <w:pPr>
        <w:spacing w:after="60" w:before="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0"/>
                    </a:xfrm>
                    <a:prstGeom prst="rect">
                      <a:avLst/>
                    </a:prstGeom>
                  </pic:spPr>
                </pic:pic>
              </a:graphicData>
            </a:graphic>
          </wp:inline>
        </w:drawing>
      </w:r>
    </w:p>
    <w:p>
      <w:pPr>
        <w:spacing w:after="160"/>
        <w:jc w:val="center"/>
      </w:pPr>
      <w:r>
        <w:rPr>
          <w:i/>
          <w:iCs/>
          <w:color w:val="595959"/>
          <w:sz w:val="16"/>
          <w:szCs w:val="16"/>
        </w:rPr>
        <w:t xml:space="preserve">Figure 3.  Toxicophore / functional-group inventory (counts). Parent and RRT 0.87 are identical across every category; RRT 0.75 differs only in the amine columns (red) — one secondary (N-methyl) amine is replaced by one primary amine.</w:t>
      </w:r>
    </w:p>
    <w:p>
      <w:pPr>
        <w:pStyle w:val="Heading2"/>
        <w:spacing w:after="100" w:before="200"/>
      </w:pPr>
      <w:r>
        <w:rPr>
          <w:b/>
          <w:bCs/>
          <w:color w:val="2E74B5"/>
        </w:rPr>
        <w:t xml:space="preserve">5.2  RRT 0.87 — (7S,26R)-vancomycin B</w:t>
      </w:r>
    </w:p>
    <w:p>
      <w:pPr>
        <w:spacing w:after="120" w:line="276"/>
        <w:jc w:val="both"/>
      </w:pPr>
      <w:r>
        <w:rPr>
          <w:sz w:val="20"/>
          <w:szCs w:val="20"/>
        </w:rPr>
        <w:t xml:space="preserve">Because RRT 0.87 differs from the API only in configuration, its 2D structure, functional-group inventory, structural-alert profile and all constitution-based descriptors are identical to the parent (ECFP4 and MACCS Tanimoto = 1.00; 101/101 shared heavy atoms; 0 PAINS/Brenk/M7 alerts). </w:t>
      </w:r>
      <w:r>
        <w:rPr>
          <w:b/>
          <w:bCs/>
          <w:sz w:val="20"/>
          <w:szCs w:val="20"/>
        </w:rPr>
        <w:t xml:space="preserve">No additional toxicophore is present. </w:t>
      </w:r>
      <w:r>
        <w:rPr>
          <w:sz w:val="20"/>
          <w:szCs w:val="20"/>
        </w:rPr>
        <w:t xml:space="preserve">Conventional 2D QSAR/read-across cannot distinguish this impurity from the API at all — which is precisely why a 3D/mechanistic assessment is required. The 3D shape descriptors of the two are near-congruent (radius of gyration 7.45 vs 7.50 Å; NPR1 0.529 vs 0.528; NPR2 0.615 vs 0.603), i.e. the molecule occupies essentially the same shape space. Stereochemical inversion at C7/C26 can modulate D-Ala-D-Ala target engagement (an efficacy/potency consideration raised by the sponsor) but does not create any new reactive, electrophilic or DNA-reactive functionality, and therefore does not introduce a new toxicological hazard relative to the parent.</w:t>
      </w:r>
    </w:p>
    <w:p>
      <w:pPr>
        <w:pStyle w:val="Heading2"/>
        <w:spacing w:after="100" w:before="200"/>
      </w:pPr>
      <w:r>
        <w:rPr>
          <w:b/>
          <w:bCs/>
          <w:color w:val="2E74B5"/>
        </w:rPr>
        <w:t xml:space="preserve">5.3  RRT 0.75 — (26R)-DMe-DeLI</w:t>
      </w:r>
    </w:p>
    <w:p>
      <w:pPr>
        <w:spacing w:after="120" w:line="276"/>
        <w:jc w:val="both"/>
      </w:pPr>
      <w:r>
        <w:rPr>
          <w:sz w:val="20"/>
          <w:szCs w:val="20"/>
        </w:rPr>
        <w:t xml:space="preserve">RRT 0.75 retains the entire aglycone, both sugars, both aryl chlorides, all phenols, the carboxylic acid and the primary amide; 99 of ~100 heavy atoms are shared with the API (ECFP4 0.86 / MACCS 0.94). The single constitutional change is at residue 1: the secondary N-methyl amine becomes a primary aliphatic amine. In the functional-group inventory this appears solely as secondary-amine 1→0 and primary-amine 1→2 (Figure 3, red cells). </w:t>
      </w:r>
      <w:r>
        <w:rPr>
          <w:b/>
          <w:bCs/>
          <w:sz w:val="20"/>
          <w:szCs w:val="20"/>
        </w:rPr>
        <w:t xml:space="preserve">The primary aliphatic amine is not a new functional-group class — the parent already carries one on vancosamine — and a primary aliphatic amine is not a DNA-reactive ICH M7 alert. </w:t>
      </w:r>
      <w:r>
        <w:rPr>
          <w:sz w:val="20"/>
          <w:szCs w:val="20"/>
        </w:rPr>
        <w:t xml:space="preserve">No PAINS/Brenk/M7 alert is introduced. Predicted lipophilicity is unchanged (logD7.4 0.42 vs 0.42) and predicted most-basic pKa is essentially unchanged (8.08 vs 8.21, both 'moderate basicity'), so the basic-amine liability associated with histamine release / Red-Man syndrome is conserved in magnitude rather than amplified. TPSA rises only marginally (+14 Å², reflecting the extra N–H). 3D shape remains close to the parent (radius of gyration 7.46 Å); the residue-1 arm is slightly more extended (NPR1 0.42), consistent with loss of the N-methyl and the Leu→Ile change, but the toxicophore-bearing rigid core is unchanged.</w:t>
      </w:r>
    </w:p>
    <w:p>
      <w:pPr>
        <w:pStyle w:val="Heading2"/>
        <w:spacing w:after="100" w:before="200"/>
      </w:pPr>
      <w:r>
        <w:rPr>
          <w:b/>
          <w:bCs/>
          <w:color w:val="2E74B5"/>
        </w:rPr>
        <w:t xml:space="preserve">5.4  Differential toxicophore analysis — is any new toxophore present?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9"/>
      </w:tblGrid>
      <w:tr>
        <w:tc>
          <w:tcPr>
            <w:tcW w:type="dxa" w:w="320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Potential toxophore</w:t>
            </w:r>
          </w:p>
        </w:tc>
        <w:tc>
          <w:tcPr>
            <w:tcW w:type="dxa" w:w="320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RRT 0.87 vs parent</w:t>
            </w:r>
          </w:p>
        </w:tc>
        <w:tc>
          <w:tcPr>
            <w:tcW w:type="dxa" w:w="3239"/>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RRT 0.75 vs parent</w:t>
            </w:r>
          </w:p>
        </w:tc>
      </w:tr>
      <w:tr>
        <w:tc>
          <w:tcPr>
            <w:tcW w:type="dxa" w:w="3200"/>
            <w:tcMar>
              <w:top w:type="dxa" w:w="40"/>
              <w:left w:type="dxa" w:w="80"/>
              <w:bottom w:type="dxa" w:w="40"/>
              <w:right w:type="dxa" w:w="80"/>
            </w:tcMar>
            <w:vAlign w:val="center"/>
          </w:tcPr>
          <w:p>
            <w:pPr>
              <w:spacing w:after="40" w:before="40"/>
              <w:jc w:val="left"/>
            </w:pPr>
            <w:r>
              <w:rPr>
                <w:sz w:val="18"/>
                <w:szCs w:val="18"/>
              </w:rPr>
              <w:t xml:space="preserve">Phenolic / aromatic rings (renal accumulation)</w:t>
            </w:r>
          </w:p>
        </w:tc>
        <w:tc>
          <w:tcPr>
            <w:tcW w:type="dxa" w:w="3200"/>
            <w:tcMar>
              <w:top w:type="dxa" w:w="40"/>
              <w:left w:type="dxa" w:w="80"/>
              <w:bottom w:type="dxa" w:w="40"/>
              <w:right w:type="dxa" w:w="80"/>
            </w:tcMar>
            <w:vAlign w:val="center"/>
          </w:tcPr>
          <w:p>
            <w:pPr>
              <w:spacing w:after="40" w:before="40"/>
              <w:jc w:val="left"/>
            </w:pPr>
            <w:r>
              <w:rPr>
                <w:sz w:val="18"/>
                <w:szCs w:val="18"/>
              </w:rPr>
              <w:t xml:space="preserve">Identical (6 phenol, 5 aryl)</w:t>
            </w:r>
          </w:p>
        </w:tc>
        <w:tc>
          <w:tcPr>
            <w:tcW w:type="dxa" w:w="3239"/>
            <w:tcMar>
              <w:top w:type="dxa" w:w="40"/>
              <w:left w:type="dxa" w:w="80"/>
              <w:bottom w:type="dxa" w:w="40"/>
              <w:right w:type="dxa" w:w="80"/>
            </w:tcMar>
            <w:vAlign w:val="center"/>
          </w:tcPr>
          <w:p>
            <w:pPr>
              <w:spacing w:after="40" w:before="40"/>
              <w:jc w:val="left"/>
            </w:pPr>
            <w:r>
              <w:rPr>
                <w:sz w:val="18"/>
                <w:szCs w:val="18"/>
              </w:rPr>
              <w:t xml:space="preserve">Identical (6 phenol, 5 aryl)</w:t>
            </w:r>
          </w:p>
        </w:tc>
      </w:tr>
      <w:tr>
        <w:tc>
          <w:tcPr>
            <w:tcW w:type="dxa" w:w="3200"/>
            <w:tcMar>
              <w:top w:type="dxa" w:w="40"/>
              <w:left w:type="dxa" w:w="80"/>
              <w:bottom w:type="dxa" w:w="40"/>
              <w:right w:type="dxa" w:w="80"/>
            </w:tcMar>
            <w:vAlign w:val="center"/>
          </w:tcPr>
          <w:p>
            <w:pPr>
              <w:spacing w:after="40" w:before="40"/>
              <w:jc w:val="left"/>
            </w:pPr>
            <w:r>
              <w:rPr>
                <w:sz w:val="18"/>
                <w:szCs w:val="18"/>
              </w:rPr>
              <w:t xml:space="preserve">Basic amine centres (histamine / Red-Man)</w:t>
            </w:r>
          </w:p>
        </w:tc>
        <w:tc>
          <w:tcPr>
            <w:tcW w:type="dxa" w:w="3200"/>
            <w:tcMar>
              <w:top w:type="dxa" w:w="40"/>
              <w:left w:type="dxa" w:w="80"/>
              <w:bottom w:type="dxa" w:w="40"/>
              <w:right w:type="dxa" w:w="80"/>
            </w:tcMar>
            <w:vAlign w:val="center"/>
          </w:tcPr>
          <w:p>
            <w:pPr>
              <w:spacing w:after="40" w:before="40"/>
              <w:jc w:val="left"/>
            </w:pPr>
            <w:r>
              <w:rPr>
                <w:sz w:val="18"/>
                <w:szCs w:val="18"/>
              </w:rPr>
              <w:t xml:space="preserve">Identical</w:t>
            </w:r>
          </w:p>
        </w:tc>
        <w:tc>
          <w:tcPr>
            <w:tcW w:type="dxa" w:w="3239"/>
            <w:shd w:fill="FBE4D5" w:color="auto" w:val="clear"/>
            <w:tcMar>
              <w:top w:type="dxa" w:w="40"/>
              <w:left w:type="dxa" w:w="80"/>
              <w:bottom w:type="dxa" w:w="40"/>
              <w:right w:type="dxa" w:w="80"/>
            </w:tcMar>
            <w:vAlign w:val="center"/>
          </w:tcPr>
          <w:p>
            <w:pPr>
              <w:spacing w:after="40" w:before="40"/>
              <w:jc w:val="left"/>
            </w:pPr>
            <w:r>
              <w:rPr>
                <w:sz w:val="18"/>
                <w:szCs w:val="18"/>
              </w:rPr>
              <w:t xml:space="preserve">Conserved: sec→prim amine, iso-basic (pKa 8.1); not amplified</w:t>
            </w:r>
          </w:p>
        </w:tc>
      </w:tr>
      <w:tr>
        <w:tc>
          <w:tcPr>
            <w:tcW w:type="dxa" w:w="3200"/>
            <w:tcMar>
              <w:top w:type="dxa" w:w="40"/>
              <w:left w:type="dxa" w:w="80"/>
              <w:bottom w:type="dxa" w:w="40"/>
              <w:right w:type="dxa" w:w="80"/>
            </w:tcMar>
            <w:vAlign w:val="center"/>
          </w:tcPr>
          <w:p>
            <w:pPr>
              <w:spacing w:after="40" w:before="40"/>
              <w:jc w:val="left"/>
            </w:pPr>
            <w:r>
              <w:rPr>
                <w:sz w:val="18"/>
                <w:szCs w:val="18"/>
              </w:rPr>
              <w:t xml:space="preserve">Aryl chlorides</w:t>
            </w:r>
          </w:p>
        </w:tc>
        <w:tc>
          <w:tcPr>
            <w:tcW w:type="dxa" w:w="3200"/>
            <w:tcMar>
              <w:top w:type="dxa" w:w="40"/>
              <w:left w:type="dxa" w:w="80"/>
              <w:bottom w:type="dxa" w:w="40"/>
              <w:right w:type="dxa" w:w="80"/>
            </w:tcMar>
            <w:vAlign w:val="center"/>
          </w:tcPr>
          <w:p>
            <w:pPr>
              <w:spacing w:after="40" w:before="40"/>
              <w:jc w:val="left"/>
            </w:pPr>
            <w:r>
              <w:rPr>
                <w:sz w:val="18"/>
                <w:szCs w:val="18"/>
              </w:rPr>
              <w:t xml:space="preserve">Identical (2)</w:t>
            </w:r>
          </w:p>
        </w:tc>
        <w:tc>
          <w:tcPr>
            <w:tcW w:type="dxa" w:w="3239"/>
            <w:tcMar>
              <w:top w:type="dxa" w:w="40"/>
              <w:left w:type="dxa" w:w="80"/>
              <w:bottom w:type="dxa" w:w="40"/>
              <w:right w:type="dxa" w:w="80"/>
            </w:tcMar>
            <w:vAlign w:val="center"/>
          </w:tcPr>
          <w:p>
            <w:pPr>
              <w:spacing w:after="40" w:before="40"/>
              <w:jc w:val="left"/>
            </w:pPr>
            <w:r>
              <w:rPr>
                <w:sz w:val="18"/>
                <w:szCs w:val="18"/>
              </w:rPr>
              <w:t xml:space="preserve">Identical (2)</w:t>
            </w:r>
          </w:p>
        </w:tc>
      </w:tr>
      <w:tr>
        <w:tc>
          <w:tcPr>
            <w:tcW w:type="dxa" w:w="3200"/>
            <w:tcMar>
              <w:top w:type="dxa" w:w="40"/>
              <w:left w:type="dxa" w:w="80"/>
              <w:bottom w:type="dxa" w:w="40"/>
              <w:right w:type="dxa" w:w="80"/>
            </w:tcMar>
            <w:vAlign w:val="center"/>
          </w:tcPr>
          <w:p>
            <w:pPr>
              <w:spacing w:after="40" w:before="40"/>
              <w:jc w:val="left"/>
            </w:pPr>
            <w:r>
              <w:rPr>
                <w:sz w:val="18"/>
                <w:szCs w:val="18"/>
              </w:rPr>
              <w:t xml:space="preserve">DNA-reactive alert (aromatic amine, nitro, epoxide, Michael acceptor, alkyl halide…)</w:t>
            </w:r>
          </w:p>
        </w:tc>
        <w:tc>
          <w:tcPr>
            <w:tcW w:type="dxa" w:w="3200"/>
            <w:tcMar>
              <w:top w:type="dxa" w:w="40"/>
              <w:left w:type="dxa" w:w="80"/>
              <w:bottom w:type="dxa" w:w="40"/>
              <w:right w:type="dxa" w:w="80"/>
            </w:tcMar>
            <w:vAlign w:val="center"/>
          </w:tcPr>
          <w:p>
            <w:pPr>
              <w:spacing w:after="40" w:before="40"/>
              <w:jc w:val="left"/>
            </w:pPr>
            <w:r>
              <w:rPr>
                <w:sz w:val="18"/>
                <w:szCs w:val="18"/>
              </w:rPr>
              <w:t xml:space="preserve">None (as parent)</w:t>
            </w:r>
          </w:p>
        </w:tc>
        <w:tc>
          <w:tcPr>
            <w:tcW w:type="dxa" w:w="3239"/>
            <w:tcMar>
              <w:top w:type="dxa" w:w="40"/>
              <w:left w:type="dxa" w:w="80"/>
              <w:bottom w:type="dxa" w:w="40"/>
              <w:right w:type="dxa" w:w="80"/>
            </w:tcMar>
            <w:vAlign w:val="center"/>
          </w:tcPr>
          <w:p>
            <w:pPr>
              <w:spacing w:after="40" w:before="40"/>
              <w:jc w:val="left"/>
            </w:pPr>
            <w:r>
              <w:rPr>
                <w:sz w:val="18"/>
                <w:szCs w:val="18"/>
              </w:rPr>
              <w:t xml:space="preserve">None (as parent)</w:t>
            </w:r>
          </w:p>
        </w:tc>
      </w:tr>
      <w:tr>
        <w:tc>
          <w:tcPr>
            <w:tcW w:type="dxa" w:w="3200"/>
            <w:tcMar>
              <w:top w:type="dxa" w:w="40"/>
              <w:left w:type="dxa" w:w="80"/>
              <w:bottom w:type="dxa" w:w="40"/>
              <w:right w:type="dxa" w:w="80"/>
            </w:tcMar>
            <w:vAlign w:val="center"/>
          </w:tcPr>
          <w:p>
            <w:pPr>
              <w:spacing w:after="40" w:before="40"/>
              <w:jc w:val="left"/>
            </w:pPr>
            <w:r>
              <w:rPr>
                <w:sz w:val="18"/>
                <w:szCs w:val="18"/>
              </w:rPr>
              <w:t xml:space="preserve">PAINS / Brenk liability</w:t>
            </w:r>
          </w:p>
        </w:tc>
        <w:tc>
          <w:tcPr>
            <w:tcW w:type="dxa" w:w="3200"/>
            <w:tcMar>
              <w:top w:type="dxa" w:w="40"/>
              <w:left w:type="dxa" w:w="80"/>
              <w:bottom w:type="dxa" w:w="40"/>
              <w:right w:type="dxa" w:w="80"/>
            </w:tcMar>
            <w:vAlign w:val="center"/>
          </w:tcPr>
          <w:p>
            <w:pPr>
              <w:spacing w:after="40" w:before="40"/>
              <w:jc w:val="left"/>
            </w:pPr>
            <w:r>
              <w:rPr>
                <w:sz w:val="18"/>
                <w:szCs w:val="18"/>
              </w:rPr>
              <w:t xml:space="preserve">None</w:t>
            </w:r>
          </w:p>
        </w:tc>
        <w:tc>
          <w:tcPr>
            <w:tcW w:type="dxa" w:w="3239"/>
            <w:tcMar>
              <w:top w:type="dxa" w:w="40"/>
              <w:left w:type="dxa" w:w="80"/>
              <w:bottom w:type="dxa" w:w="40"/>
              <w:right w:type="dxa" w:w="80"/>
            </w:tcMar>
            <w:vAlign w:val="center"/>
          </w:tcPr>
          <w:p>
            <w:pPr>
              <w:spacing w:after="40" w:before="40"/>
              <w:jc w:val="left"/>
            </w:pPr>
            <w:r>
              <w:rPr>
                <w:sz w:val="18"/>
                <w:szCs w:val="18"/>
              </w:rPr>
              <w:t xml:space="preserve">None</w:t>
            </w:r>
          </w:p>
        </w:tc>
      </w:tr>
      <w:tr>
        <w:tc>
          <w:tcPr>
            <w:tcW w:type="dxa" w:w="3200"/>
            <w:tcMar>
              <w:top w:type="dxa" w:w="40"/>
              <w:left w:type="dxa" w:w="80"/>
              <w:bottom w:type="dxa" w:w="40"/>
              <w:right w:type="dxa" w:w="80"/>
            </w:tcMar>
            <w:vAlign w:val="center"/>
          </w:tcPr>
          <w:p>
            <w:pPr>
              <w:spacing w:after="40" w:before="40"/>
              <w:jc w:val="left"/>
            </w:pPr>
            <w:r>
              <w:rPr>
                <w:b/>
                <w:bCs/>
                <w:sz w:val="18"/>
                <w:szCs w:val="18"/>
              </w:rPr>
              <w:t xml:space="preserve">NET: new toxophore introduced?</w:t>
            </w:r>
          </w:p>
        </w:tc>
        <w:tc>
          <w:tcPr>
            <w:tcW w:type="dxa" w:w="3200"/>
            <w:tcMar>
              <w:top w:type="dxa" w:w="40"/>
              <w:left w:type="dxa" w:w="80"/>
              <w:bottom w:type="dxa" w:w="40"/>
              <w:right w:type="dxa" w:w="80"/>
            </w:tcMar>
            <w:vAlign w:val="center"/>
          </w:tcPr>
          <w:p>
            <w:pPr>
              <w:spacing w:after="40" w:before="40"/>
              <w:jc w:val="center"/>
            </w:pPr>
            <w:r>
              <w:rPr>
                <w:b/>
                <w:bCs/>
                <w:color w:val="2E7D32"/>
                <w:sz w:val="18"/>
                <w:szCs w:val="18"/>
              </w:rPr>
              <w:t xml:space="preserve">NO</w:t>
            </w:r>
          </w:p>
        </w:tc>
        <w:tc>
          <w:tcPr>
            <w:tcW w:type="dxa" w:w="3239"/>
            <w:tcMar>
              <w:top w:type="dxa" w:w="40"/>
              <w:left w:type="dxa" w:w="80"/>
              <w:bottom w:type="dxa" w:w="40"/>
              <w:right w:type="dxa" w:w="80"/>
            </w:tcMar>
            <w:vAlign w:val="center"/>
          </w:tcPr>
          <w:p>
            <w:pPr>
              <w:spacing w:after="40" w:before="40"/>
              <w:jc w:val="center"/>
            </w:pPr>
            <w:r>
              <w:rPr>
                <w:b/>
                <w:bCs/>
                <w:color w:val="2E7D32"/>
                <w:sz w:val="18"/>
                <w:szCs w:val="18"/>
              </w:rPr>
              <w:t xml:space="preserve">NO</w:t>
            </w:r>
          </w:p>
        </w:tc>
      </w:tr>
    </w:tbl>
    <w:p>
      <w:pPr>
        <w:spacing w:after="120" w:line="276"/>
        <w:jc w:val="both"/>
      </w:pPr>
      <w:r>
        <w:rPr>
          <w:sz w:val="20"/>
          <w:szCs w:val="20"/>
        </w:rPr>
        <w:t xml:space="preserve">The only element warranting comment is the residue-1 amine in RRT 0.75 (amber). It is a modification of an existing toxicophore class rather than a new one: a secondary amine becomes a primary amine of equal basicity and equal lipophilicity contribution. There is no mechanistic basis for a qualitatively different immunogenic or reactive behaviour, and the change removes (rather than adds) an N-alkyl substituent. Accordingly, no additional toxophore is identified in either daughter molecule.</w:t>
      </w:r>
    </w:p>
    <w:p>
      <w:pPr>
        <w:pStyle w:val="Heading2"/>
        <w:spacing w:after="100" w:before="200"/>
      </w:pPr>
      <w:r>
        <w:rPr>
          <w:b/>
          <w:bCs/>
          <w:color w:val="2E74B5"/>
        </w:rPr>
        <w:t xml:space="preserve">5.5  3D-QSAR / shape read-across metrics</w:t>
      </w:r>
    </w:p>
    <w:p>
      <w:pPr>
        <w:spacing w:after="60" w:before="12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857500"/>
                    </a:xfrm>
                    <a:prstGeom prst="rect">
                      <a:avLst/>
                    </a:prstGeom>
                  </pic:spPr>
                </pic:pic>
              </a:graphicData>
            </a:graphic>
          </wp:inline>
        </w:drawing>
      </w:r>
    </w:p>
    <w:p>
      <w:pPr>
        <w:spacing w:after="160"/>
        <w:jc w:val="center"/>
      </w:pPr>
      <w:r>
        <w:rPr>
          <w:i/>
          <w:iCs/>
          <w:color w:val="595959"/>
          <w:sz w:val="16"/>
          <w:szCs w:val="16"/>
        </w:rPr>
        <w:t xml:space="preserve">Figure 4.  2D similarity and shared-skeleton read-across metrics vs the parent. RRT 0.87 is fingerprint-identical (stereo-blind methods); RRT 0.75 is highly similar with ≥98% of the heavy-atom skeleton in common.</w:t>
      </w:r>
    </w:p>
    <w:p>
      <w:pPr>
        <w:spacing w:after="60" w:before="120"/>
        <w:jc w:val="center"/>
      </w:pPr>
      <w:r>
        <w:drawing>
          <wp:inline distT="0" distB="0" distL="0" distR="0">
            <wp:extent cx="6096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381250"/>
                    </a:xfrm>
                    <a:prstGeom prst="rect">
                      <a:avLst/>
                    </a:prstGeom>
                  </pic:spPr>
                </pic:pic>
              </a:graphicData>
            </a:graphic>
          </wp:inline>
        </w:drawing>
      </w:r>
    </w:p>
    <w:p>
      <w:pPr>
        <w:spacing w:after="160"/>
        <w:jc w:val="center"/>
      </w:pPr>
      <w:r>
        <w:rPr>
          <w:i/>
          <w:iCs/>
          <w:color w:val="595959"/>
          <w:sz w:val="16"/>
          <w:szCs w:val="16"/>
        </w:rPr>
        <w:t xml:space="preserve">Figure 5.  3D whole-molecule shape descriptors (left) and physicochemical descriptors (right, symlog). The three molecules occupy essentially the same shape and property space; the only visible physchem shift is RRT 0.75's marginally lower MW and cLogP from loss of the N-methyl group.</w:t>
      </w:r>
    </w:p>
    <w:p>
      <w:pPr>
        <w:pStyle w:val="Heading2"/>
        <w:spacing w:after="100" w:before="200"/>
      </w:pPr>
      <w:r>
        <w:rPr>
          <w:b/>
          <w:bCs/>
          <w:color w:val="2E74B5"/>
        </w:rPr>
        <w:t xml:space="preserve">5.6  Statistical (2D) QSAR — 12-endpoint Tox21 profiling</w:t>
      </w:r>
    </w:p>
    <w:p>
      <w:pPr>
        <w:spacing w:after="120" w:line="276"/>
        <w:jc w:val="both"/>
      </w:pPr>
      <w:r>
        <w:rPr>
          <w:sz w:val="20"/>
          <w:szCs w:val="20"/>
        </w:rPr>
        <w:t xml:space="preserve">To complement the mechanistic profiling with a quantitative statistical QSAR, a 12-endpoint Tox21 model set (nuclear-receptor and stress-response assays) was trained in-house: class-balanced RandomForest classifiers (300 trees) on 2048-bit radius-2 Morgan fingerprints, built from the public MoleculeNet Tox21 collection (n = 7823 compounds). Performance is honest 5-fold out-of-fold ROC-AUC: mean = 0.827 (range 0.723–0.892). Each of the parent and the two impurities was then scored, with an explicit applicability-domain (AD) check (nearest-neighbour Tanimoto similarity to the training set).</w:t>
      </w:r>
    </w:p>
    <w:p>
      <w:pPr>
        <w:spacing w:after="120" w:line="276"/>
        <w:jc w:val="both"/>
      </w:pPr>
      <w:r>
        <w:rPr>
          <w:b/>
          <w:bCs/>
          <w:sz w:val="20"/>
          <w:szCs w:val="20"/>
        </w:rPr>
        <w:t xml:space="preserve">Applicability domain — a favourable finding. </w:t>
      </w:r>
      <w:r>
        <w:rPr>
          <w:sz w:val="20"/>
          <w:szCs w:val="20"/>
        </w:rPr>
        <w:t xml:space="preserve">Unlike most large biologics, vancomycin is itself represented in the Tox21 collection (training compound TOX25354; nearest-neighbour Tanimoto = 1.00 to the parent and, because 2D fingerprints are stereochemistry-blind, to RRT 0.87). The QSAR is therefore operating in-domain for the parent, and RRT 0.75 sits close by (max Tanimoto 0.863). This means the model's read on this chemistry is anchored to real measured data rather than a blind extrapolation.</w:t>
      </w:r>
    </w:p>
    <w:p>
      <w:pPr>
        <w:spacing w:after="120" w:line="276"/>
        <w:jc w:val="both"/>
      </w:pPr>
      <w:r>
        <w:rPr>
          <w:b/>
          <w:bCs/>
          <w:sz w:val="20"/>
          <w:szCs w:val="20"/>
        </w:rPr>
        <w:t xml:space="preserve">Measured vancomycin profile (ground truth). </w:t>
      </w:r>
      <w:r>
        <w:rPr>
          <w:sz w:val="20"/>
          <w:szCs w:val="20"/>
        </w:rPr>
        <w:t xml:space="preserve">The experimental Tox21 calls for the matched training compound are essentially clean: active only at NR-AR (androgen receptor, a weak single-assay signal), and inactive at every other tested endpoint (NR-AR-LBD, NR-AhR, aromatase, NR-ER/ER-LBD, PPARγ, SR-ATAD5 genotoxicity, SR-MMP, SR-p53). SR-ARE and SR-HSE were not tested in the public set. This measured profile is the toxicological baseline against which the impurities are compared.</w:t>
      </w:r>
    </w:p>
    <w:p>
      <w:pPr>
        <w:spacing w:after="60" w:before="120"/>
        <w:jc w:val="center"/>
      </w:pPr>
      <w:r>
        <w:drawing>
          <wp:inline distT="0" distB="0" distL="0" distR="0">
            <wp:extent cx="6286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286500" cy="3857625"/>
                    </a:xfrm>
                    <a:prstGeom prst="rect">
                      <a:avLst/>
                    </a:prstGeom>
                  </pic:spPr>
                </pic:pic>
              </a:graphicData>
            </a:graphic>
          </wp:inline>
        </w:drawing>
      </w:r>
    </w:p>
    <w:p>
      <w:pPr>
        <w:spacing w:after="160"/>
        <w:jc w:val="center"/>
      </w:pPr>
      <w:r>
        <w:rPr>
          <w:i/>
          <w:iCs/>
          <w:color w:val="595959"/>
          <w:sz w:val="16"/>
          <w:szCs w:val="16"/>
        </w:rPr>
        <w:t xml:space="preserve">Figure 6.  In-house 12-endpoint Tox21 QSAR. (A) Predicted activity probability for the three molecules — parent and RRT 0.87 rows are identical because their 2D fingerprints are identical (the parent row shows the in-set value; the honest held-out parent baseline is used in panel C). (B) 5-fold out-of-fold ROC-AUC per endpoint (mean 0.827). (C) Difference in predicted P(active) between RRT 0.75 and the held-out parent — every endpoint is within ±0.02; RRT 0.87 is identical to the parent by construction (Δ ≡ 0).</w:t>
      </w:r>
    </w:p>
    <w:p>
      <w:pPr>
        <w:spacing w:after="120" w:line="276"/>
        <w:jc w:val="both"/>
      </w:pPr>
      <w:r>
        <w:rPr>
          <w:b/>
          <w:bCs/>
          <w:sz w:val="20"/>
          <w:szCs w:val="20"/>
        </w:rPr>
        <w:t xml:space="preserve">Impurity vs parent — the interpretable quantity. </w:t>
      </w:r>
      <w:r>
        <w:rPr>
          <w:sz w:val="20"/>
          <w:szCs w:val="20"/>
        </w:rPr>
        <w:t xml:space="preserve">Because RRT 0.87 has a fingerprint identical to the parent, the 2D-QSAR returns identical probabilities at all 12 endpoints (Δ ≡ 0): a concrete demonstration that a statistical 2D-QSAR is structurally blind to this stereoisomer, which is precisely why the 3D shape read-across (Section 5.5) carries the weight for RRT 0.87. For RRT 0.75 — a genuine external prediction — every endpoint probability lies within ±0.02 of the held-out parent (maximum |Δ| = 0.02) and none crosses the activity threshold. The QSAR thus predicts no differential nuclear-receptor or stress-response liability for either impurity relative to the parent, including at the genotoxicity-associated endpoints (SR-ATAD5, SR-p53), consistent with the absence of any DNA-reactive structural alert.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60"/>
        <w:gridCol w:w="1500"/>
        <w:gridCol w:w="1900"/>
        <w:gridCol w:w="1900"/>
        <w:gridCol w:w="2179"/>
      </w:tblGrid>
      <w:tr>
        <w:tc>
          <w:tcPr>
            <w:tcW w:type="dxa" w:w="216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Endpoint</w:t>
            </w:r>
          </w:p>
        </w:tc>
        <w:tc>
          <w:tcPr>
            <w:tcW w:type="dxa" w:w="150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CV-AUC</w:t>
            </w:r>
          </w:p>
        </w:tc>
        <w:tc>
          <w:tcPr>
            <w:tcW w:type="dxa" w:w="190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Measured (parent)</w:t>
            </w:r>
          </w:p>
        </w:tc>
        <w:tc>
          <w:tcPr>
            <w:tcW w:type="dxa" w:w="190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Held-out parent P</w:t>
            </w:r>
          </w:p>
        </w:tc>
        <w:tc>
          <w:tcPr>
            <w:tcW w:type="dxa" w:w="2179"/>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RRT 0.75 P (Δ)</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NR-AR  (Androgen receptor (full))</w:t>
            </w:r>
          </w:p>
        </w:tc>
        <w:tc>
          <w:tcPr>
            <w:tcW w:type="dxa" w:w="1500"/>
            <w:tcMar>
              <w:top w:type="dxa" w:w="40"/>
              <w:left w:type="dxa" w:w="80"/>
              <w:bottom w:type="dxa" w:w="40"/>
              <w:right w:type="dxa" w:w="80"/>
            </w:tcMar>
            <w:vAlign w:val="center"/>
          </w:tcPr>
          <w:p>
            <w:pPr>
              <w:spacing w:after="40" w:before="40"/>
              <w:jc w:val="center"/>
            </w:pPr>
            <w:r>
              <w:rPr>
                <w:sz w:val="16"/>
                <w:szCs w:val="16"/>
              </w:rPr>
              <w:t xml:space="preserve">0.793</w:t>
            </w:r>
          </w:p>
        </w:tc>
        <w:tc>
          <w:tcPr>
            <w:tcW w:type="dxa" w:w="1900"/>
            <w:tcMar>
              <w:top w:type="dxa" w:w="40"/>
              <w:left w:type="dxa" w:w="80"/>
              <w:bottom w:type="dxa" w:w="40"/>
              <w:right w:type="dxa" w:w="80"/>
            </w:tcMar>
            <w:vAlign w:val="center"/>
          </w:tcPr>
          <w:p>
            <w:pPr>
              <w:spacing w:after="40" w:before="40"/>
              <w:jc w:val="center"/>
            </w:pPr>
            <w:r>
              <w:rPr>
                <w:b/>
                <w:bCs/>
                <w:color w:val="C00000"/>
                <w:sz w:val="16"/>
                <w:szCs w:val="16"/>
              </w:rPr>
              <w:t xml:space="preserve">active</w:t>
            </w:r>
          </w:p>
        </w:tc>
        <w:tc>
          <w:tcPr>
            <w:tcW w:type="dxa" w:w="1900"/>
            <w:tcMar>
              <w:top w:type="dxa" w:w="40"/>
              <w:left w:type="dxa" w:w="80"/>
              <w:bottom w:type="dxa" w:w="40"/>
              <w:right w:type="dxa" w:w="80"/>
            </w:tcMar>
            <w:vAlign w:val="center"/>
          </w:tcPr>
          <w:p>
            <w:pPr>
              <w:spacing w:after="40" w:before="40"/>
              <w:jc w:val="center"/>
            </w:pPr>
            <w:r>
              <w:rPr>
                <w:sz w:val="16"/>
                <w:szCs w:val="16"/>
              </w:rPr>
              <w:t xml:space="preserve">0.219</w:t>
            </w:r>
          </w:p>
        </w:tc>
        <w:tc>
          <w:tcPr>
            <w:tcW w:type="dxa" w:w="2179"/>
            <w:tcMar>
              <w:top w:type="dxa" w:w="40"/>
              <w:left w:type="dxa" w:w="80"/>
              <w:bottom w:type="dxa" w:w="40"/>
              <w:right w:type="dxa" w:w="80"/>
            </w:tcMar>
            <w:vAlign w:val="center"/>
          </w:tcPr>
          <w:p>
            <w:pPr>
              <w:spacing w:after="40" w:before="40"/>
              <w:jc w:val="center"/>
            </w:pPr>
            <w:r>
              <w:rPr>
                <w:sz w:val="16"/>
                <w:szCs w:val="16"/>
              </w:rPr>
              <w:t xml:space="preserve">0.206  (-0.013)</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NR-AR-LBD  (Androgen receptor (LBD))</w:t>
            </w:r>
          </w:p>
        </w:tc>
        <w:tc>
          <w:tcPr>
            <w:tcW w:type="dxa" w:w="1500"/>
            <w:tcMar>
              <w:top w:type="dxa" w:w="40"/>
              <w:left w:type="dxa" w:w="80"/>
              <w:bottom w:type="dxa" w:w="40"/>
              <w:right w:type="dxa" w:w="80"/>
            </w:tcMar>
            <w:vAlign w:val="center"/>
          </w:tcPr>
          <w:p>
            <w:pPr>
              <w:spacing w:after="40" w:before="40"/>
              <w:jc w:val="center"/>
            </w:pPr>
            <w:r>
              <w:rPr>
                <w:sz w:val="16"/>
                <w:szCs w:val="16"/>
              </w:rPr>
              <w:t xml:space="preserve">0.873</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inactive</w:t>
            </w:r>
          </w:p>
        </w:tc>
        <w:tc>
          <w:tcPr>
            <w:tcW w:type="dxa" w:w="1900"/>
            <w:tcMar>
              <w:top w:type="dxa" w:w="40"/>
              <w:left w:type="dxa" w:w="80"/>
              <w:bottom w:type="dxa" w:w="40"/>
              <w:right w:type="dxa" w:w="80"/>
            </w:tcMar>
            <w:vAlign w:val="center"/>
          </w:tcPr>
          <w:p>
            <w:pPr>
              <w:spacing w:after="40" w:before="40"/>
              <w:jc w:val="center"/>
            </w:pPr>
            <w:r>
              <w:rPr>
                <w:sz w:val="16"/>
                <w:szCs w:val="16"/>
              </w:rPr>
              <w:t xml:space="preserve">0.220</w:t>
            </w:r>
          </w:p>
        </w:tc>
        <w:tc>
          <w:tcPr>
            <w:tcW w:type="dxa" w:w="2179"/>
            <w:tcMar>
              <w:top w:type="dxa" w:w="40"/>
              <w:left w:type="dxa" w:w="80"/>
              <w:bottom w:type="dxa" w:w="40"/>
              <w:right w:type="dxa" w:w="80"/>
            </w:tcMar>
            <w:vAlign w:val="center"/>
          </w:tcPr>
          <w:p>
            <w:pPr>
              <w:spacing w:after="40" w:before="40"/>
              <w:jc w:val="center"/>
            </w:pPr>
            <w:r>
              <w:rPr>
                <w:sz w:val="16"/>
                <w:szCs w:val="16"/>
              </w:rPr>
              <w:t xml:space="preserve">0.230  (+0.010)</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NR-AhR  (Aryl hydrocarbon receptor)</w:t>
            </w:r>
          </w:p>
        </w:tc>
        <w:tc>
          <w:tcPr>
            <w:tcW w:type="dxa" w:w="1500"/>
            <w:tcMar>
              <w:top w:type="dxa" w:w="40"/>
              <w:left w:type="dxa" w:w="80"/>
              <w:bottom w:type="dxa" w:w="40"/>
              <w:right w:type="dxa" w:w="80"/>
            </w:tcMar>
            <w:vAlign w:val="center"/>
          </w:tcPr>
          <w:p>
            <w:pPr>
              <w:spacing w:after="40" w:before="40"/>
              <w:jc w:val="center"/>
            </w:pPr>
            <w:r>
              <w:rPr>
                <w:sz w:val="16"/>
                <w:szCs w:val="16"/>
              </w:rPr>
              <w:t xml:space="preserve">0.892</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inactive</w:t>
            </w:r>
          </w:p>
        </w:tc>
        <w:tc>
          <w:tcPr>
            <w:tcW w:type="dxa" w:w="1900"/>
            <w:tcMar>
              <w:top w:type="dxa" w:w="40"/>
              <w:left w:type="dxa" w:w="80"/>
              <w:bottom w:type="dxa" w:w="40"/>
              <w:right w:type="dxa" w:w="80"/>
            </w:tcMar>
            <w:vAlign w:val="center"/>
          </w:tcPr>
          <w:p>
            <w:pPr>
              <w:spacing w:after="40" w:before="40"/>
              <w:jc w:val="center"/>
            </w:pPr>
            <w:r>
              <w:rPr>
                <w:sz w:val="16"/>
                <w:szCs w:val="16"/>
              </w:rPr>
              <w:t xml:space="preserve">0.200</w:t>
            </w:r>
          </w:p>
        </w:tc>
        <w:tc>
          <w:tcPr>
            <w:tcW w:type="dxa" w:w="2179"/>
            <w:tcMar>
              <w:top w:type="dxa" w:w="40"/>
              <w:left w:type="dxa" w:w="80"/>
              <w:bottom w:type="dxa" w:w="40"/>
              <w:right w:type="dxa" w:w="80"/>
            </w:tcMar>
            <w:vAlign w:val="center"/>
          </w:tcPr>
          <w:p>
            <w:pPr>
              <w:spacing w:after="40" w:before="40"/>
              <w:jc w:val="center"/>
            </w:pPr>
            <w:r>
              <w:rPr>
                <w:sz w:val="16"/>
                <w:szCs w:val="16"/>
              </w:rPr>
              <w:t xml:space="preserve">0.180  (-0.020)</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NR-Aromatase  (Aromatase (CYP19A1))</w:t>
            </w:r>
          </w:p>
        </w:tc>
        <w:tc>
          <w:tcPr>
            <w:tcW w:type="dxa" w:w="1500"/>
            <w:tcMar>
              <w:top w:type="dxa" w:w="40"/>
              <w:left w:type="dxa" w:w="80"/>
              <w:bottom w:type="dxa" w:w="40"/>
              <w:right w:type="dxa" w:w="80"/>
            </w:tcMar>
            <w:vAlign w:val="center"/>
          </w:tcPr>
          <w:p>
            <w:pPr>
              <w:spacing w:after="40" w:before="40"/>
              <w:jc w:val="center"/>
            </w:pPr>
            <w:r>
              <w:rPr>
                <w:sz w:val="16"/>
                <w:szCs w:val="16"/>
              </w:rPr>
              <w:t xml:space="preserve">0.822</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inactive</w:t>
            </w:r>
          </w:p>
        </w:tc>
        <w:tc>
          <w:tcPr>
            <w:tcW w:type="dxa" w:w="1900"/>
            <w:tcMar>
              <w:top w:type="dxa" w:w="40"/>
              <w:left w:type="dxa" w:w="80"/>
              <w:bottom w:type="dxa" w:w="40"/>
              <w:right w:type="dxa" w:w="80"/>
            </w:tcMar>
            <w:vAlign w:val="center"/>
          </w:tcPr>
          <w:p>
            <w:pPr>
              <w:spacing w:after="40" w:before="40"/>
              <w:jc w:val="center"/>
            </w:pPr>
            <w:r>
              <w:rPr>
                <w:sz w:val="16"/>
                <w:szCs w:val="16"/>
              </w:rPr>
              <w:t xml:space="preserve">0.223</w:t>
            </w:r>
          </w:p>
        </w:tc>
        <w:tc>
          <w:tcPr>
            <w:tcW w:type="dxa" w:w="2179"/>
            <w:tcMar>
              <w:top w:type="dxa" w:w="40"/>
              <w:left w:type="dxa" w:w="80"/>
              <w:bottom w:type="dxa" w:w="40"/>
              <w:right w:type="dxa" w:w="80"/>
            </w:tcMar>
            <w:vAlign w:val="center"/>
          </w:tcPr>
          <w:p>
            <w:pPr>
              <w:spacing w:after="40" w:before="40"/>
              <w:jc w:val="center"/>
            </w:pPr>
            <w:r>
              <w:rPr>
                <w:sz w:val="16"/>
                <w:szCs w:val="16"/>
              </w:rPr>
              <w:t xml:space="preserve">0.227  (+0.004)</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NR-ER  (Estrogen receptor (full))</w:t>
            </w:r>
          </w:p>
        </w:tc>
        <w:tc>
          <w:tcPr>
            <w:tcW w:type="dxa" w:w="1500"/>
            <w:tcMar>
              <w:top w:type="dxa" w:w="40"/>
              <w:left w:type="dxa" w:w="80"/>
              <w:bottom w:type="dxa" w:w="40"/>
              <w:right w:type="dxa" w:w="80"/>
            </w:tcMar>
            <w:vAlign w:val="center"/>
          </w:tcPr>
          <w:p>
            <w:pPr>
              <w:spacing w:after="40" w:before="40"/>
              <w:jc w:val="center"/>
            </w:pPr>
            <w:r>
              <w:rPr>
                <w:sz w:val="16"/>
                <w:szCs w:val="16"/>
              </w:rPr>
              <w:t xml:space="preserve">0.723</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inactive</w:t>
            </w:r>
          </w:p>
        </w:tc>
        <w:tc>
          <w:tcPr>
            <w:tcW w:type="dxa" w:w="1900"/>
            <w:tcMar>
              <w:top w:type="dxa" w:w="40"/>
              <w:left w:type="dxa" w:w="80"/>
              <w:bottom w:type="dxa" w:w="40"/>
              <w:right w:type="dxa" w:w="80"/>
            </w:tcMar>
            <w:vAlign w:val="center"/>
          </w:tcPr>
          <w:p>
            <w:pPr>
              <w:spacing w:after="40" w:before="40"/>
              <w:jc w:val="center"/>
            </w:pPr>
            <w:r>
              <w:rPr>
                <w:sz w:val="16"/>
                <w:szCs w:val="16"/>
              </w:rPr>
              <w:t xml:space="preserve">0.306</w:t>
            </w:r>
          </w:p>
        </w:tc>
        <w:tc>
          <w:tcPr>
            <w:tcW w:type="dxa" w:w="2179"/>
            <w:tcMar>
              <w:top w:type="dxa" w:w="40"/>
              <w:left w:type="dxa" w:w="80"/>
              <w:bottom w:type="dxa" w:w="40"/>
              <w:right w:type="dxa" w:w="80"/>
            </w:tcMar>
            <w:vAlign w:val="center"/>
          </w:tcPr>
          <w:p>
            <w:pPr>
              <w:spacing w:after="40" w:before="40"/>
              <w:jc w:val="center"/>
            </w:pPr>
            <w:r>
              <w:rPr>
                <w:sz w:val="16"/>
                <w:szCs w:val="16"/>
              </w:rPr>
              <w:t xml:space="preserve">0.300  (-0.006)</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NR-ER-LBD  (Estrogen receptor (LBD))</w:t>
            </w:r>
          </w:p>
        </w:tc>
        <w:tc>
          <w:tcPr>
            <w:tcW w:type="dxa" w:w="1500"/>
            <w:tcMar>
              <w:top w:type="dxa" w:w="40"/>
              <w:left w:type="dxa" w:w="80"/>
              <w:bottom w:type="dxa" w:w="40"/>
              <w:right w:type="dxa" w:w="80"/>
            </w:tcMar>
            <w:vAlign w:val="center"/>
          </w:tcPr>
          <w:p>
            <w:pPr>
              <w:spacing w:after="40" w:before="40"/>
              <w:jc w:val="center"/>
            </w:pPr>
            <w:r>
              <w:rPr>
                <w:sz w:val="16"/>
                <w:szCs w:val="16"/>
              </w:rPr>
              <w:t xml:space="preserve">0.817</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inactive</w:t>
            </w:r>
          </w:p>
        </w:tc>
        <w:tc>
          <w:tcPr>
            <w:tcW w:type="dxa" w:w="1900"/>
            <w:tcMar>
              <w:top w:type="dxa" w:w="40"/>
              <w:left w:type="dxa" w:w="80"/>
              <w:bottom w:type="dxa" w:w="40"/>
              <w:right w:type="dxa" w:w="80"/>
            </w:tcMar>
            <w:vAlign w:val="center"/>
          </w:tcPr>
          <w:p>
            <w:pPr>
              <w:spacing w:after="40" w:before="40"/>
              <w:jc w:val="center"/>
            </w:pPr>
            <w:r>
              <w:rPr>
                <w:sz w:val="16"/>
                <w:szCs w:val="16"/>
              </w:rPr>
              <w:t xml:space="preserve">0.160</w:t>
            </w:r>
          </w:p>
        </w:tc>
        <w:tc>
          <w:tcPr>
            <w:tcW w:type="dxa" w:w="2179"/>
            <w:tcMar>
              <w:top w:type="dxa" w:w="40"/>
              <w:left w:type="dxa" w:w="80"/>
              <w:bottom w:type="dxa" w:w="40"/>
              <w:right w:type="dxa" w:w="80"/>
            </w:tcMar>
            <w:vAlign w:val="center"/>
          </w:tcPr>
          <w:p>
            <w:pPr>
              <w:spacing w:after="40" w:before="40"/>
              <w:jc w:val="center"/>
            </w:pPr>
            <w:r>
              <w:rPr>
                <w:sz w:val="16"/>
                <w:szCs w:val="16"/>
              </w:rPr>
              <w:t xml:space="preserve">0.153  (-0.007)</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NR-PPAR-gamma  (PPAR-gamma)</w:t>
            </w:r>
          </w:p>
        </w:tc>
        <w:tc>
          <w:tcPr>
            <w:tcW w:type="dxa" w:w="1500"/>
            <w:tcMar>
              <w:top w:type="dxa" w:w="40"/>
              <w:left w:type="dxa" w:w="80"/>
              <w:bottom w:type="dxa" w:w="40"/>
              <w:right w:type="dxa" w:w="80"/>
            </w:tcMar>
            <w:vAlign w:val="center"/>
          </w:tcPr>
          <w:p>
            <w:pPr>
              <w:spacing w:after="40" w:before="40"/>
              <w:jc w:val="center"/>
            </w:pPr>
            <w:r>
              <w:rPr>
                <w:sz w:val="16"/>
                <w:szCs w:val="16"/>
              </w:rPr>
              <w:t xml:space="preserve">0.828</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inactive</w:t>
            </w:r>
          </w:p>
        </w:tc>
        <w:tc>
          <w:tcPr>
            <w:tcW w:type="dxa" w:w="1900"/>
            <w:tcMar>
              <w:top w:type="dxa" w:w="40"/>
              <w:left w:type="dxa" w:w="80"/>
              <w:bottom w:type="dxa" w:w="40"/>
              <w:right w:type="dxa" w:w="80"/>
            </w:tcMar>
            <w:vAlign w:val="center"/>
          </w:tcPr>
          <w:p>
            <w:pPr>
              <w:spacing w:after="40" w:before="40"/>
              <w:jc w:val="center"/>
            </w:pPr>
            <w:r>
              <w:rPr>
                <w:sz w:val="16"/>
                <w:szCs w:val="16"/>
              </w:rPr>
              <w:t xml:space="preserve">0.163</w:t>
            </w:r>
          </w:p>
        </w:tc>
        <w:tc>
          <w:tcPr>
            <w:tcW w:type="dxa" w:w="2179"/>
            <w:tcMar>
              <w:top w:type="dxa" w:w="40"/>
              <w:left w:type="dxa" w:w="80"/>
              <w:bottom w:type="dxa" w:w="40"/>
              <w:right w:type="dxa" w:w="80"/>
            </w:tcMar>
            <w:vAlign w:val="center"/>
          </w:tcPr>
          <w:p>
            <w:pPr>
              <w:spacing w:after="40" w:before="40"/>
              <w:jc w:val="center"/>
            </w:pPr>
            <w:r>
              <w:rPr>
                <w:sz w:val="16"/>
                <w:szCs w:val="16"/>
              </w:rPr>
              <w:t xml:space="preserve">0.173  (+0.010)</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SR-ARE  (Oxidative-stress response (ARE))</w:t>
            </w:r>
          </w:p>
        </w:tc>
        <w:tc>
          <w:tcPr>
            <w:tcW w:type="dxa" w:w="1500"/>
            <w:tcMar>
              <w:top w:type="dxa" w:w="40"/>
              <w:left w:type="dxa" w:w="80"/>
              <w:bottom w:type="dxa" w:w="40"/>
              <w:right w:type="dxa" w:w="80"/>
            </w:tcMar>
            <w:vAlign w:val="center"/>
          </w:tcPr>
          <w:p>
            <w:pPr>
              <w:spacing w:after="40" w:before="40"/>
              <w:jc w:val="center"/>
            </w:pPr>
            <w:r>
              <w:rPr>
                <w:sz w:val="16"/>
                <w:szCs w:val="16"/>
              </w:rPr>
              <w:t xml:space="preserve">0.807</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not tested</w:t>
            </w:r>
          </w:p>
        </w:tc>
        <w:tc>
          <w:tcPr>
            <w:tcW w:type="dxa" w:w="1900"/>
            <w:tcMar>
              <w:top w:type="dxa" w:w="40"/>
              <w:left w:type="dxa" w:w="80"/>
              <w:bottom w:type="dxa" w:w="40"/>
              <w:right w:type="dxa" w:w="80"/>
            </w:tcMar>
            <w:vAlign w:val="center"/>
          </w:tcPr>
          <w:p>
            <w:pPr>
              <w:spacing w:after="40" w:before="40"/>
              <w:jc w:val="center"/>
            </w:pPr>
            <w:r>
              <w:rPr>
                <w:sz w:val="16"/>
                <w:szCs w:val="16"/>
              </w:rPr>
              <w:t xml:space="preserve">0.357</w:t>
            </w:r>
          </w:p>
        </w:tc>
        <w:tc>
          <w:tcPr>
            <w:tcW w:type="dxa" w:w="2179"/>
            <w:tcMar>
              <w:top w:type="dxa" w:w="40"/>
              <w:left w:type="dxa" w:w="80"/>
              <w:bottom w:type="dxa" w:w="40"/>
              <w:right w:type="dxa" w:w="80"/>
            </w:tcMar>
            <w:vAlign w:val="center"/>
          </w:tcPr>
          <w:p>
            <w:pPr>
              <w:spacing w:after="40" w:before="40"/>
              <w:jc w:val="center"/>
            </w:pPr>
            <w:r>
              <w:rPr>
                <w:sz w:val="16"/>
                <w:szCs w:val="16"/>
              </w:rPr>
              <w:t xml:space="preserve">0.340  (-0.017)</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SR-ATAD5  (Genotoxicity / DNA damage (ATAD5))</w:t>
            </w:r>
          </w:p>
        </w:tc>
        <w:tc>
          <w:tcPr>
            <w:tcW w:type="dxa" w:w="1500"/>
            <w:tcMar>
              <w:top w:type="dxa" w:w="40"/>
              <w:left w:type="dxa" w:w="80"/>
              <w:bottom w:type="dxa" w:w="40"/>
              <w:right w:type="dxa" w:w="80"/>
            </w:tcMar>
            <w:vAlign w:val="center"/>
          </w:tcPr>
          <w:p>
            <w:pPr>
              <w:spacing w:after="40" w:before="40"/>
              <w:jc w:val="center"/>
            </w:pPr>
            <w:r>
              <w:rPr>
                <w:sz w:val="16"/>
                <w:szCs w:val="16"/>
              </w:rPr>
              <w:t xml:space="preserve">0.856</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inactive</w:t>
            </w:r>
          </w:p>
        </w:tc>
        <w:tc>
          <w:tcPr>
            <w:tcW w:type="dxa" w:w="1900"/>
            <w:tcMar>
              <w:top w:type="dxa" w:w="40"/>
              <w:left w:type="dxa" w:w="80"/>
              <w:bottom w:type="dxa" w:w="40"/>
              <w:right w:type="dxa" w:w="80"/>
            </w:tcMar>
            <w:vAlign w:val="center"/>
          </w:tcPr>
          <w:p>
            <w:pPr>
              <w:spacing w:after="40" w:before="40"/>
              <w:jc w:val="center"/>
            </w:pPr>
            <w:r>
              <w:rPr>
                <w:sz w:val="16"/>
                <w:szCs w:val="16"/>
              </w:rPr>
              <w:t xml:space="preserve">0.150</w:t>
            </w:r>
          </w:p>
        </w:tc>
        <w:tc>
          <w:tcPr>
            <w:tcW w:type="dxa" w:w="2179"/>
            <w:tcMar>
              <w:top w:type="dxa" w:w="40"/>
              <w:left w:type="dxa" w:w="80"/>
              <w:bottom w:type="dxa" w:w="40"/>
              <w:right w:type="dxa" w:w="80"/>
            </w:tcMar>
            <w:vAlign w:val="center"/>
          </w:tcPr>
          <w:p>
            <w:pPr>
              <w:spacing w:after="40" w:before="40"/>
              <w:jc w:val="center"/>
            </w:pPr>
            <w:r>
              <w:rPr>
                <w:sz w:val="16"/>
                <w:szCs w:val="16"/>
              </w:rPr>
              <w:t xml:space="preserve">0.133  (-0.017)</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SR-HSE  (Heat-shock response)</w:t>
            </w:r>
          </w:p>
        </w:tc>
        <w:tc>
          <w:tcPr>
            <w:tcW w:type="dxa" w:w="1500"/>
            <w:tcMar>
              <w:top w:type="dxa" w:w="40"/>
              <w:left w:type="dxa" w:w="80"/>
              <w:bottom w:type="dxa" w:w="40"/>
              <w:right w:type="dxa" w:w="80"/>
            </w:tcMar>
            <w:vAlign w:val="center"/>
          </w:tcPr>
          <w:p>
            <w:pPr>
              <w:spacing w:after="40" w:before="40"/>
              <w:jc w:val="center"/>
            </w:pPr>
            <w:r>
              <w:rPr>
                <w:sz w:val="16"/>
                <w:szCs w:val="16"/>
              </w:rPr>
              <w:t xml:space="preserve">0.781</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not tested</w:t>
            </w:r>
          </w:p>
        </w:tc>
        <w:tc>
          <w:tcPr>
            <w:tcW w:type="dxa" w:w="1900"/>
            <w:tcMar>
              <w:top w:type="dxa" w:w="40"/>
              <w:left w:type="dxa" w:w="80"/>
              <w:bottom w:type="dxa" w:w="40"/>
              <w:right w:type="dxa" w:w="80"/>
            </w:tcMar>
            <w:vAlign w:val="center"/>
          </w:tcPr>
          <w:p>
            <w:pPr>
              <w:spacing w:after="40" w:before="40"/>
              <w:jc w:val="center"/>
            </w:pPr>
            <w:r>
              <w:rPr>
                <w:sz w:val="16"/>
                <w:szCs w:val="16"/>
              </w:rPr>
              <w:t xml:space="preserve">0.240</w:t>
            </w:r>
          </w:p>
        </w:tc>
        <w:tc>
          <w:tcPr>
            <w:tcW w:type="dxa" w:w="2179"/>
            <w:tcMar>
              <w:top w:type="dxa" w:w="40"/>
              <w:left w:type="dxa" w:w="80"/>
              <w:bottom w:type="dxa" w:w="40"/>
              <w:right w:type="dxa" w:w="80"/>
            </w:tcMar>
            <w:vAlign w:val="center"/>
          </w:tcPr>
          <w:p>
            <w:pPr>
              <w:spacing w:after="40" w:before="40"/>
              <w:jc w:val="center"/>
            </w:pPr>
            <w:r>
              <w:rPr>
                <w:sz w:val="16"/>
                <w:szCs w:val="16"/>
              </w:rPr>
              <w:t xml:space="preserve">0.227  (-0.013)</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SR-MMP  (Mitochondrial membrane potential)</w:t>
            </w:r>
          </w:p>
        </w:tc>
        <w:tc>
          <w:tcPr>
            <w:tcW w:type="dxa" w:w="1500"/>
            <w:tcMar>
              <w:top w:type="dxa" w:w="40"/>
              <w:left w:type="dxa" w:w="80"/>
              <w:bottom w:type="dxa" w:w="40"/>
              <w:right w:type="dxa" w:w="80"/>
            </w:tcMar>
            <w:vAlign w:val="center"/>
          </w:tcPr>
          <w:p>
            <w:pPr>
              <w:spacing w:after="40" w:before="40"/>
              <w:jc w:val="center"/>
            </w:pPr>
            <w:r>
              <w:rPr>
                <w:sz w:val="16"/>
                <w:szCs w:val="16"/>
              </w:rPr>
              <w:t xml:space="preserve">0.879</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inactive</w:t>
            </w:r>
          </w:p>
        </w:tc>
        <w:tc>
          <w:tcPr>
            <w:tcW w:type="dxa" w:w="1900"/>
            <w:tcMar>
              <w:top w:type="dxa" w:w="40"/>
              <w:left w:type="dxa" w:w="80"/>
              <w:bottom w:type="dxa" w:w="40"/>
              <w:right w:type="dxa" w:w="80"/>
            </w:tcMar>
            <w:vAlign w:val="center"/>
          </w:tcPr>
          <w:p>
            <w:pPr>
              <w:spacing w:after="40" w:before="40"/>
              <w:jc w:val="center"/>
            </w:pPr>
            <w:r>
              <w:rPr>
                <w:sz w:val="16"/>
                <w:szCs w:val="16"/>
              </w:rPr>
              <w:t xml:space="preserve">0.260</w:t>
            </w:r>
          </w:p>
        </w:tc>
        <w:tc>
          <w:tcPr>
            <w:tcW w:type="dxa" w:w="2179"/>
            <w:tcMar>
              <w:top w:type="dxa" w:w="40"/>
              <w:left w:type="dxa" w:w="80"/>
              <w:bottom w:type="dxa" w:w="40"/>
              <w:right w:type="dxa" w:w="80"/>
            </w:tcMar>
            <w:vAlign w:val="center"/>
          </w:tcPr>
          <w:p>
            <w:pPr>
              <w:spacing w:after="40" w:before="40"/>
              <w:jc w:val="center"/>
            </w:pPr>
            <w:r>
              <w:rPr>
                <w:sz w:val="16"/>
                <w:szCs w:val="16"/>
              </w:rPr>
              <w:t xml:space="preserve">0.260  (+0.000)</w:t>
            </w:r>
          </w:p>
        </w:tc>
      </w:tr>
      <w:tr>
        <w:tc>
          <w:tcPr>
            <w:tcW w:type="dxa" w:w="2160"/>
            <w:tcMar>
              <w:top w:type="dxa" w:w="40"/>
              <w:left w:type="dxa" w:w="80"/>
              <w:bottom w:type="dxa" w:w="40"/>
              <w:right w:type="dxa" w:w="80"/>
            </w:tcMar>
            <w:vAlign w:val="center"/>
          </w:tcPr>
          <w:p>
            <w:pPr>
              <w:spacing w:after="40" w:before="40"/>
              <w:jc w:val="left"/>
            </w:pPr>
            <w:r>
              <w:rPr>
                <w:sz w:val="16"/>
                <w:szCs w:val="16"/>
              </w:rPr>
              <w:t xml:space="preserve">SR-p53  (p53 DNA-damage response)</w:t>
            </w:r>
          </w:p>
        </w:tc>
        <w:tc>
          <w:tcPr>
            <w:tcW w:type="dxa" w:w="1500"/>
            <w:tcMar>
              <w:top w:type="dxa" w:w="40"/>
              <w:left w:type="dxa" w:w="80"/>
              <w:bottom w:type="dxa" w:w="40"/>
              <w:right w:type="dxa" w:w="80"/>
            </w:tcMar>
            <w:vAlign w:val="center"/>
          </w:tcPr>
          <w:p>
            <w:pPr>
              <w:spacing w:after="40" w:before="40"/>
              <w:jc w:val="center"/>
            </w:pPr>
            <w:r>
              <w:rPr>
                <w:sz w:val="16"/>
                <w:szCs w:val="16"/>
              </w:rPr>
              <w:t xml:space="preserve">0.853</w:t>
            </w:r>
          </w:p>
        </w:tc>
        <w:tc>
          <w:tcPr>
            <w:tcW w:type="dxa" w:w="1900"/>
            <w:tcMar>
              <w:top w:type="dxa" w:w="40"/>
              <w:left w:type="dxa" w:w="80"/>
              <w:bottom w:type="dxa" w:w="40"/>
              <w:right w:type="dxa" w:w="80"/>
            </w:tcMar>
            <w:vAlign w:val="center"/>
          </w:tcPr>
          <w:p>
            <w:pPr>
              <w:spacing w:after="40" w:before="40"/>
              <w:jc w:val="center"/>
            </w:pPr>
            <w:r>
              <w:rPr>
                <w:b w:val="false"/>
                <w:bCs w:val="false"/>
                <w:sz w:val="16"/>
                <w:szCs w:val="16"/>
              </w:rPr>
              <w:t xml:space="preserve">inactive</w:t>
            </w:r>
          </w:p>
        </w:tc>
        <w:tc>
          <w:tcPr>
            <w:tcW w:type="dxa" w:w="1900"/>
            <w:tcMar>
              <w:top w:type="dxa" w:w="40"/>
              <w:left w:type="dxa" w:w="80"/>
              <w:bottom w:type="dxa" w:w="40"/>
              <w:right w:type="dxa" w:w="80"/>
            </w:tcMar>
            <w:vAlign w:val="center"/>
          </w:tcPr>
          <w:p>
            <w:pPr>
              <w:spacing w:after="40" w:before="40"/>
              <w:jc w:val="center"/>
            </w:pPr>
            <w:r>
              <w:rPr>
                <w:sz w:val="16"/>
                <w:szCs w:val="16"/>
              </w:rPr>
              <w:t xml:space="preserve">0.303</w:t>
            </w:r>
          </w:p>
        </w:tc>
        <w:tc>
          <w:tcPr>
            <w:tcW w:type="dxa" w:w="2179"/>
            <w:tcMar>
              <w:top w:type="dxa" w:w="40"/>
              <w:left w:type="dxa" w:w="80"/>
              <w:bottom w:type="dxa" w:w="40"/>
              <w:right w:type="dxa" w:w="80"/>
            </w:tcMar>
            <w:vAlign w:val="center"/>
          </w:tcPr>
          <w:p>
            <w:pPr>
              <w:spacing w:after="40" w:before="40"/>
              <w:jc w:val="center"/>
            </w:pPr>
            <w:r>
              <w:rPr>
                <w:sz w:val="16"/>
                <w:szCs w:val="16"/>
              </w:rPr>
              <w:t xml:space="preserve">0.293  (-0.010)</w:t>
            </w:r>
          </w:p>
        </w:tc>
      </w:tr>
    </w:tbl>
    <w:p>
      <w:pPr>
        <w:spacing w:before="80"/>
      </w:pPr>
      <w:r>
        <w:rPr>
          <w:i/>
          <w:iCs/>
          <w:color w:val="595959"/>
          <w:sz w:val="16"/>
          <w:szCs w:val="16"/>
        </w:rPr>
        <w:t xml:space="preserve">All predicted probabilities are well below the 0.5 activity threshold (parent NR-AR is a measured weak active that the model under-calls — expected at that endpoint's lower AUC of 0.79; the measured label governs). RRT 0.87 omitted from the table: identical fingerprint to the parent ⇒ identical predictions (Δ ≡ 0) at every endpoint.</w:t>
      </w:r>
    </w:p>
    <w:p>
      <w:r>
        <w:br w:type="page"/>
      </w:r>
    </w:p>
    <w:p>
      <w:pPr>
        <w:pStyle w:val="Heading2"/>
        <w:spacing w:after="100" w:before="200"/>
      </w:pPr>
      <w:r>
        <w:rPr>
          <w:b/>
          <w:bCs/>
          <w:color w:val="2E74B5"/>
        </w:rPr>
        <w:t xml:space="preserve">5.7  ICH M7 mutagenicity assessment — two complementary (Q)SAR methodologies</w:t>
      </w:r>
    </w:p>
    <w:p>
      <w:pPr>
        <w:spacing w:after="120" w:line="276"/>
        <w:jc w:val="both"/>
      </w:pPr>
      <w:r>
        <w:rPr>
          <w:sz w:val="20"/>
          <w:szCs w:val="20"/>
        </w:rPr>
        <w:t xml:space="preserve">ICH M7(R2) requires that potential bacterial mutagenicity (Ames) be assessed by two complementary in silico methodologies — one </w:t>
      </w:r>
      <w:r>
        <w:rPr>
          <w:b/>
          <w:bCs/>
          <w:sz w:val="20"/>
          <w:szCs w:val="20"/>
        </w:rPr>
        <w:t xml:space="preserve">expert rule-based</w:t>
      </w:r>
      <w:r>
        <w:rPr>
          <w:sz w:val="20"/>
          <w:szCs w:val="20"/>
        </w:rPr>
        <w:t xml:space="preserve"> and one </w:t>
      </w:r>
      <w:r>
        <w:rPr>
          <w:b/>
          <w:bCs/>
          <w:sz w:val="20"/>
          <w:szCs w:val="20"/>
        </w:rPr>
        <w:t xml:space="preserve">statistical</w:t>
      </w:r>
      <w:r>
        <w:rPr>
          <w:sz w:val="20"/>
          <w:szCs w:val="20"/>
        </w:rPr>
        <w:t xml:space="preserve"> — with any positive resolved by expert review. Both were applied here to the parent and both impurities:</w:t>
      </w:r>
    </w:p>
    <w:p>
      <w:pPr>
        <w:pStyle w:val="ListParagraph"/>
        <w:numPr>
          <w:ilvl w:val="0"/>
          <w:numId w:val="1"/>
        </w:numPr>
        <w:spacing w:after="80"/>
      </w:pPr>
      <w:r>
        <w:rPr>
          <w:b/>
          <w:bCs/>
          <w:sz w:val="20"/>
          <w:szCs w:val="20"/>
        </w:rPr>
        <w:t xml:space="preserve">Methodology 1 (expert rule-based). </w:t>
      </w:r>
      <w:r>
        <w:rPr>
          <w:sz w:val="20"/>
          <w:szCs w:val="20"/>
        </w:rPr>
        <w:t xml:space="preserve">A Benigni–Bossa structural-alert rulebase for mutagenicity / genotoxic carcinogenicity (29 alert classes covering aromatic amines, nitro/nitroso, azo/azoxy, N-nitroso, epoxides/aziridines, Michael acceptors, acyl/alkyl halides, hydrazines, aldehydes, quinones, β-lactams, etc.). This is the public scientific rulebase underlying Derek-type expert systems (as implemented in Toxtree/VEGA).</w:t>
      </w:r>
    </w:p>
    <w:p>
      <w:pPr>
        <w:pStyle w:val="ListParagraph"/>
        <w:numPr>
          <w:ilvl w:val="0"/>
          <w:numId w:val="1"/>
        </w:numPr>
        <w:spacing w:after="80"/>
      </w:pPr>
      <w:r>
        <w:rPr>
          <w:b/>
          <w:bCs/>
          <w:sz w:val="20"/>
          <w:szCs w:val="20"/>
        </w:rPr>
        <w:t xml:space="preserve">Methodology 2 (statistical). </w:t>
      </w:r>
      <w:r>
        <w:rPr>
          <w:sz w:val="20"/>
          <w:szCs w:val="20"/>
        </w:rPr>
        <w:t xml:space="preserve">An Ames QSAR — class-balanced RandomForest on 2048-bit Morgan fingerprints, trained on the public Hansen benchmark (N = 6506; 54% mutagens); 5-fold out-of-fold ROC-AUC = 0.881; decision threshold 0.52 (Youden). An applicability-domain check (nearest-neighbour Tanimoto) is reported.</w:t>
      </w:r>
    </w:p>
    <w:p>
      <w:pPr>
        <w:spacing w:after="60" w:before="120"/>
        <w:jc w:val="center"/>
      </w:pPr>
      <w:r>
        <w:drawing>
          <wp:inline distT="0" distB="0" distL="0" distR="0">
            <wp:extent cx="6286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86500" cy="2238375"/>
                    </a:xfrm>
                    <a:prstGeom prst="rect">
                      <a:avLst/>
                    </a:prstGeom>
                  </pic:spPr>
                </pic:pic>
              </a:graphicData>
            </a:graphic>
          </wp:inline>
        </w:drawing>
      </w:r>
    </w:p>
    <w:p>
      <w:pPr>
        <w:spacing w:after="160"/>
        <w:jc w:val="center"/>
      </w:pPr>
      <w:r>
        <w:rPr>
          <w:i/>
          <w:iCs/>
          <w:color w:val="595959"/>
          <w:sz w:val="16"/>
          <w:szCs w:val="16"/>
        </w:rPr>
        <w:t xml:space="preserve">Figure 7.  ICH M7 two-methodology assessment. (A) Concordance matrix — both methodologies return NEGATIVE for all three molecules (green). (B) Statistical Ames probabilities, all below the decision threshold; the amber note flags the low applicability-domain similarity of these glycopeptides to the Ames training set, which is why the domain-independent expert rulebase is the primary M7 call.</w:t>
      </w:r>
    </w:p>
    <w:tbl>
      <w:tblPr>
        <w:tblW w:type="dxa" w:w="9599"/>
        <w:tblBorders>
          <w:top w:val="single" w:color="auto" w:sz="4"/>
          <w:left w:val="single" w:color="auto" w:sz="4"/>
          <w:bottom w:val="single" w:color="auto" w:sz="4"/>
          <w:right w:val="single" w:color="auto" w:sz="4"/>
          <w:insideH w:val="single" w:color="auto" w:sz="4"/>
          <w:insideV w:val="single" w:color="auto" w:sz="4"/>
        </w:tblBorders>
      </w:tblPr>
      <w:tblGrid>
        <w:gridCol w:w="2760"/>
        <w:gridCol w:w="2960"/>
        <w:gridCol w:w="2960"/>
        <w:gridCol w:w="919"/>
      </w:tblGrid>
      <w:tr>
        <w:tc>
          <w:tcPr>
            <w:tcW w:type="dxa" w:w="276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Molecule</w:t>
            </w:r>
          </w:p>
        </w:tc>
        <w:tc>
          <w:tcPr>
            <w:tcW w:type="dxa" w:w="296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Expert rule-based</w:t>
            </w:r>
          </w:p>
        </w:tc>
        <w:tc>
          <w:tcPr>
            <w:tcW w:type="dxa" w:w="296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Statistical Ames QSAR</w:t>
            </w:r>
          </w:p>
        </w:tc>
        <w:tc>
          <w:tcPr>
            <w:tcW w:type="dxa" w:w="919"/>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M7</w:t>
            </w:r>
          </w:p>
        </w:tc>
      </w:tr>
      <w:tr>
        <w:tc>
          <w:tcPr>
            <w:tcW w:type="dxa" w:w="2760"/>
            <w:tcMar>
              <w:top w:type="dxa" w:w="40"/>
              <w:left w:type="dxa" w:w="80"/>
              <w:bottom w:type="dxa" w:w="40"/>
              <w:right w:type="dxa" w:w="80"/>
            </w:tcMar>
            <w:vAlign w:val="center"/>
          </w:tcPr>
          <w:p>
            <w:pPr>
              <w:spacing w:after="40" w:before="40"/>
              <w:jc w:val="left"/>
            </w:pPr>
            <w:r>
              <w:rPr>
                <w:sz w:val="16"/>
                <w:szCs w:val="16"/>
              </w:rPr>
              <w:t xml:space="preserve">Parent (Vancomycin B)</w:t>
            </w:r>
          </w:p>
        </w:tc>
        <w:tc>
          <w:tcPr>
            <w:tcW w:type="dxa" w:w="2960"/>
            <w:tcMar>
              <w:top w:type="dxa" w:w="40"/>
              <w:left w:type="dxa" w:w="80"/>
              <w:bottom w:type="dxa" w:w="40"/>
              <w:right w:type="dxa" w:w="80"/>
            </w:tcMar>
            <w:vAlign w:val="center"/>
          </w:tcPr>
          <w:p>
            <w:pPr>
              <w:spacing w:after="40" w:before="40"/>
              <w:jc w:val="center"/>
            </w:pPr>
            <w:r>
              <w:rPr>
                <w:color w:val="2E7D32"/>
                <w:sz w:val="16"/>
                <w:szCs w:val="16"/>
              </w:rPr>
              <w:t xml:space="preserve">negative (no structural alert)</w:t>
            </w:r>
          </w:p>
        </w:tc>
        <w:tc>
          <w:tcPr>
            <w:tcW w:type="dxa" w:w="2960"/>
            <w:tcMar>
              <w:top w:type="dxa" w:w="40"/>
              <w:left w:type="dxa" w:w="80"/>
              <w:bottom w:type="dxa" w:w="40"/>
              <w:right w:type="dxa" w:w="80"/>
            </w:tcMar>
            <w:vAlign w:val="center"/>
          </w:tcPr>
          <w:p>
            <w:pPr>
              <w:spacing w:after="40" w:before="40"/>
              <w:jc w:val="center"/>
            </w:pPr>
            <w:r>
              <w:rPr>
                <w:color w:val="2E7D32"/>
                <w:sz w:val="16"/>
                <w:szCs w:val="16"/>
              </w:rPr>
              <w:t xml:space="preserve">negative  (p=0.41, AD sim 0.22)</w:t>
            </w:r>
          </w:p>
        </w:tc>
        <w:tc>
          <w:tcPr>
            <w:tcW w:type="dxa" w:w="919"/>
            <w:tcMar>
              <w:top w:type="dxa" w:w="40"/>
              <w:left w:type="dxa" w:w="80"/>
              <w:bottom w:type="dxa" w:w="40"/>
              <w:right w:type="dxa" w:w="80"/>
            </w:tcMar>
            <w:vAlign w:val="center"/>
          </w:tcPr>
          <w:p>
            <w:pPr>
              <w:spacing w:after="40" w:before="40"/>
              <w:jc w:val="center"/>
            </w:pPr>
            <w:r>
              <w:rPr>
                <w:b/>
                <w:bCs/>
                <w:color w:val="2E7D32"/>
                <w:sz w:val="16"/>
                <w:szCs w:val="16"/>
              </w:rPr>
              <w:t xml:space="preserve">5</w:t>
            </w:r>
          </w:p>
        </w:tc>
      </w:tr>
      <w:tr>
        <w:tc>
          <w:tcPr>
            <w:tcW w:type="dxa" w:w="2760"/>
            <w:tcMar>
              <w:top w:type="dxa" w:w="40"/>
              <w:left w:type="dxa" w:w="80"/>
              <w:bottom w:type="dxa" w:w="40"/>
              <w:right w:type="dxa" w:w="80"/>
            </w:tcMar>
            <w:vAlign w:val="center"/>
          </w:tcPr>
          <w:p>
            <w:pPr>
              <w:spacing w:after="40" w:before="40"/>
              <w:jc w:val="left"/>
            </w:pPr>
            <w:r>
              <w:rPr>
                <w:sz w:val="16"/>
                <w:szCs w:val="16"/>
              </w:rPr>
              <w:t xml:space="preserve">RRT 0.87 (7S,26R)-Vanco B</w:t>
            </w:r>
          </w:p>
        </w:tc>
        <w:tc>
          <w:tcPr>
            <w:tcW w:type="dxa" w:w="2960"/>
            <w:tcMar>
              <w:top w:type="dxa" w:w="40"/>
              <w:left w:type="dxa" w:w="80"/>
              <w:bottom w:type="dxa" w:w="40"/>
              <w:right w:type="dxa" w:w="80"/>
            </w:tcMar>
            <w:vAlign w:val="center"/>
          </w:tcPr>
          <w:p>
            <w:pPr>
              <w:spacing w:after="40" w:before="40"/>
              <w:jc w:val="center"/>
            </w:pPr>
            <w:r>
              <w:rPr>
                <w:color w:val="2E7D32"/>
                <w:sz w:val="16"/>
                <w:szCs w:val="16"/>
              </w:rPr>
              <w:t xml:space="preserve">negative (no structural alert)</w:t>
            </w:r>
          </w:p>
        </w:tc>
        <w:tc>
          <w:tcPr>
            <w:tcW w:type="dxa" w:w="2960"/>
            <w:tcMar>
              <w:top w:type="dxa" w:w="40"/>
              <w:left w:type="dxa" w:w="80"/>
              <w:bottom w:type="dxa" w:w="40"/>
              <w:right w:type="dxa" w:w="80"/>
            </w:tcMar>
            <w:vAlign w:val="center"/>
          </w:tcPr>
          <w:p>
            <w:pPr>
              <w:spacing w:after="40" w:before="40"/>
              <w:jc w:val="center"/>
            </w:pPr>
            <w:r>
              <w:rPr>
                <w:color w:val="2E7D32"/>
                <w:sz w:val="16"/>
                <w:szCs w:val="16"/>
              </w:rPr>
              <w:t xml:space="preserve">negative  (p=0.41, AD sim 0.22)</w:t>
            </w:r>
          </w:p>
        </w:tc>
        <w:tc>
          <w:tcPr>
            <w:tcW w:type="dxa" w:w="919"/>
            <w:tcMar>
              <w:top w:type="dxa" w:w="40"/>
              <w:left w:type="dxa" w:w="80"/>
              <w:bottom w:type="dxa" w:w="40"/>
              <w:right w:type="dxa" w:w="80"/>
            </w:tcMar>
            <w:vAlign w:val="center"/>
          </w:tcPr>
          <w:p>
            <w:pPr>
              <w:spacing w:after="40" w:before="40"/>
              <w:jc w:val="center"/>
            </w:pPr>
            <w:r>
              <w:rPr>
                <w:b/>
                <w:bCs/>
                <w:color w:val="2E7D32"/>
                <w:sz w:val="16"/>
                <w:szCs w:val="16"/>
              </w:rPr>
              <w:t xml:space="preserve">5</w:t>
            </w:r>
          </w:p>
        </w:tc>
      </w:tr>
      <w:tr>
        <w:tc>
          <w:tcPr>
            <w:tcW w:type="dxa" w:w="2760"/>
            <w:tcMar>
              <w:top w:type="dxa" w:w="40"/>
              <w:left w:type="dxa" w:w="80"/>
              <w:bottom w:type="dxa" w:w="40"/>
              <w:right w:type="dxa" w:w="80"/>
            </w:tcMar>
            <w:vAlign w:val="center"/>
          </w:tcPr>
          <w:p>
            <w:pPr>
              <w:spacing w:after="40" w:before="40"/>
              <w:jc w:val="left"/>
            </w:pPr>
            <w:r>
              <w:rPr>
                <w:sz w:val="16"/>
                <w:szCs w:val="16"/>
              </w:rPr>
              <w:t xml:space="preserve">RRT 0.75 (26R)-DMe-DeLI</w:t>
            </w:r>
          </w:p>
        </w:tc>
        <w:tc>
          <w:tcPr>
            <w:tcW w:type="dxa" w:w="2960"/>
            <w:tcMar>
              <w:top w:type="dxa" w:w="40"/>
              <w:left w:type="dxa" w:w="80"/>
              <w:bottom w:type="dxa" w:w="40"/>
              <w:right w:type="dxa" w:w="80"/>
            </w:tcMar>
            <w:vAlign w:val="center"/>
          </w:tcPr>
          <w:p>
            <w:pPr>
              <w:spacing w:after="40" w:before="40"/>
              <w:jc w:val="center"/>
            </w:pPr>
            <w:r>
              <w:rPr>
                <w:color w:val="2E7D32"/>
                <w:sz w:val="16"/>
                <w:szCs w:val="16"/>
              </w:rPr>
              <w:t xml:space="preserve">negative (no structural alert)</w:t>
            </w:r>
          </w:p>
        </w:tc>
        <w:tc>
          <w:tcPr>
            <w:tcW w:type="dxa" w:w="2960"/>
            <w:tcMar>
              <w:top w:type="dxa" w:w="40"/>
              <w:left w:type="dxa" w:w="80"/>
              <w:bottom w:type="dxa" w:w="40"/>
              <w:right w:type="dxa" w:w="80"/>
            </w:tcMar>
            <w:vAlign w:val="center"/>
          </w:tcPr>
          <w:p>
            <w:pPr>
              <w:spacing w:after="40" w:before="40"/>
              <w:jc w:val="center"/>
            </w:pPr>
            <w:r>
              <w:rPr>
                <w:color w:val="2E7D32"/>
                <w:sz w:val="16"/>
                <w:szCs w:val="16"/>
              </w:rPr>
              <w:t xml:space="preserve">negative  (p=0.41, AD sim 0.23)</w:t>
            </w:r>
          </w:p>
        </w:tc>
        <w:tc>
          <w:tcPr>
            <w:tcW w:type="dxa" w:w="919"/>
            <w:tcMar>
              <w:top w:type="dxa" w:w="40"/>
              <w:left w:type="dxa" w:w="80"/>
              <w:bottom w:type="dxa" w:w="40"/>
              <w:right w:type="dxa" w:w="80"/>
            </w:tcMar>
            <w:vAlign w:val="center"/>
          </w:tcPr>
          <w:p>
            <w:pPr>
              <w:spacing w:after="40" w:before="40"/>
              <w:jc w:val="center"/>
            </w:pPr>
            <w:r>
              <w:rPr>
                <w:b/>
                <w:bCs/>
                <w:color w:val="2E7D32"/>
                <w:sz w:val="16"/>
                <w:szCs w:val="16"/>
              </w:rPr>
              <w:t xml:space="preserve">5</w:t>
            </w:r>
          </w:p>
        </w:tc>
      </w:tr>
    </w:tbl>
    <w:p>
      <w:pPr>
        <w:spacing w:after="120" w:line="276"/>
        <w:jc w:val="both"/>
      </w:pPr>
      <w:r>
        <w:rPr>
          <w:b/>
          <w:bCs/>
          <w:sz w:val="20"/>
          <w:szCs w:val="20"/>
        </w:rPr>
        <w:t xml:space="preserve">Outcome. </w:t>
      </w:r>
      <w:r>
        <w:rPr>
          <w:sz w:val="20"/>
          <w:szCs w:val="20"/>
        </w:rPr>
        <w:t xml:space="preserve">The two methodologies are concordant and negative for the parent and both impurities: no mutagenicity structural alert is present, and the statistical Ames prediction is below threshold in every case. Under ICH M7 this corresponds to </w:t>
      </w:r>
      <w:r>
        <w:rPr>
          <w:b/>
          <w:bCs/>
          <w:sz w:val="20"/>
          <w:szCs w:val="20"/>
        </w:rPr>
        <w:t xml:space="preserve">Class 5 (no structural alert) — the impurities are treated as non-mutagenic and controlled as ordinary ICH Q3A related substances, with no need for a dedicated bacterial reverse-mutation (Ames) study. </w:t>
      </w:r>
      <w:r>
        <w:rPr>
          <w:sz w:val="20"/>
          <w:szCs w:val="20"/>
        </w:rPr>
        <w:t xml:space="preserve">Two points are recorded for transparency: (i) RRT 0.87 is fingerprint-identical to the parent, so both methodologies return identical results by construction; (ii) these glycopeptides lie outside the Ames model's applicability domain (nearest-neighbour Tanimoto ≈ 0.22), so the statistical negative is low-confidence and the domain-independent expert rulebase — unambiguously alert-free — is the primary determinant, corroborated by the parent's experimentally inactive Tox21 DNA-damage endpoints (SR-ATAD5, SR-p53; Section 5.6). A licensed Derek/Sarah Nexus run in the validated workflow is expected to reproduce this alert-free, negative call.</w:t>
      </w:r>
    </w:p>
    <w:p>
      <w:r>
        <w:br w:type="page"/>
      </w:r>
    </w:p>
    <w:p>
      <w:pPr>
        <w:pStyle w:val="Heading1"/>
        <w:spacing w:after="120" w:before="280"/>
      </w:pPr>
      <w:r>
        <w:rPr>
          <w:b/>
          <w:bCs/>
          <w:color w:val="1F3864"/>
        </w:rPr>
        <w:t xml:space="preserve">6.  Read-across justification</w:t>
      </w:r>
    </w:p>
    <w:p>
      <w:pPr>
        <w:spacing w:after="120" w:line="276"/>
        <w:jc w:val="both"/>
      </w:pPr>
      <w:r>
        <w:rPr>
          <w:b/>
          <w:bCs/>
          <w:sz w:val="20"/>
          <w:szCs w:val="20"/>
        </w:rPr>
        <w:t xml:space="preserve">Source (analogue): </w:t>
      </w:r>
      <w:r>
        <w:rPr>
          <w:sz w:val="20"/>
          <w:szCs w:val="20"/>
        </w:rPr>
        <w:t xml:space="preserve">the parent API, vancomycin B, for which a full toxicological package exists (including the 91-day intravenous dog study, NOAEL 75/100 mg/kg/day, and decades of human clinical exposure).</w:t>
      </w:r>
    </w:p>
    <w:p>
      <w:pPr>
        <w:spacing w:after="120" w:line="276"/>
        <w:jc w:val="both"/>
      </w:pPr>
      <w:r>
        <w:rPr>
          <w:b/>
          <w:bCs/>
          <w:sz w:val="20"/>
          <w:szCs w:val="20"/>
        </w:rPr>
        <w:t xml:space="preserve">Target(s): </w:t>
      </w:r>
      <w:r>
        <w:rPr>
          <w:sz w:val="20"/>
          <w:szCs w:val="20"/>
        </w:rPr>
        <w:t xml:space="preserve">RRT 0.87 and RRT 0.75.</w:t>
      </w:r>
    </w:p>
    <w:p>
      <w:pPr>
        <w:pStyle w:val="ListParagraph"/>
        <w:numPr>
          <w:ilvl w:val="0"/>
          <w:numId w:val="1"/>
        </w:numPr>
        <w:spacing w:after="80"/>
      </w:pPr>
      <w:r>
        <w:rPr>
          <w:b/>
          <w:bCs/>
          <w:sz w:val="20"/>
          <w:szCs w:val="20"/>
        </w:rPr>
        <w:t xml:space="preserve">Structural similarity. </w:t>
      </w:r>
      <w:r>
        <w:rPr>
          <w:sz w:val="20"/>
          <w:szCs w:val="20"/>
        </w:rPr>
        <w:t xml:space="preserve">RRT 0.87 shares 100% of the heavy-atom skeleton and functional groups (a configurational isomer). RRT 0.75 shares ≥98% (99/100 heavy atoms), with a single localised, non-alerting modification at a peptide N-terminus.</w:t>
      </w:r>
    </w:p>
    <w:p>
      <w:pPr>
        <w:pStyle w:val="ListParagraph"/>
        <w:numPr>
          <w:ilvl w:val="0"/>
          <w:numId w:val="1"/>
        </w:numPr>
        <w:spacing w:after="80"/>
      </w:pPr>
      <w:r>
        <w:rPr>
          <w:b/>
          <w:bCs/>
          <w:sz w:val="20"/>
          <w:szCs w:val="20"/>
        </w:rPr>
        <w:t xml:space="preserve">Common mechanism / conserved toxicophores. </w:t>
      </w:r>
      <w:r>
        <w:rPr>
          <w:sz w:val="20"/>
          <w:szCs w:val="20"/>
        </w:rPr>
        <w:t xml:space="preserve">All phenolic, aromatic, aryl-chloride, amide, carboxyl and basic-amine features that drive vancomycin's known effects are conserved. No new reactive/electrophilic centre is created in either daughter.</w:t>
      </w:r>
    </w:p>
    <w:p>
      <w:pPr>
        <w:pStyle w:val="ListParagraph"/>
        <w:numPr>
          <w:ilvl w:val="0"/>
          <w:numId w:val="1"/>
        </w:numPr>
        <w:spacing w:after="80"/>
      </w:pPr>
      <w:r>
        <w:rPr>
          <w:b/>
          <w:bCs/>
          <w:sz w:val="20"/>
          <w:szCs w:val="20"/>
        </w:rPr>
        <w:t xml:space="preserve">Metabolic / physicochemical congruence. </w:t>
      </w:r>
      <w:r>
        <w:rPr>
          <w:sz w:val="20"/>
          <w:szCs w:val="20"/>
        </w:rPr>
        <w:t xml:space="preserve">Vancomycin is renally cleared essentially unchanged and is minimally metabolised; the impurities' near-identical size, polarity (TPSA), lipophilicity (logD 0.42) and ionisation (pKa ≈ 8.1) predict the same ADME behaviour, supporting common internal exposure and disposition.</w:t>
      </w:r>
    </w:p>
    <w:p>
      <w:pPr>
        <w:pStyle w:val="ListParagraph"/>
        <w:numPr>
          <w:ilvl w:val="0"/>
          <w:numId w:val="1"/>
        </w:numPr>
        <w:spacing w:after="80"/>
      </w:pPr>
      <w:r>
        <w:rPr>
          <w:b/>
          <w:bCs/>
          <w:sz w:val="20"/>
          <w:szCs w:val="20"/>
        </w:rPr>
        <w:t xml:space="preserve">No mutagenic concern. </w:t>
      </w:r>
      <w:r>
        <w:rPr>
          <w:sz w:val="20"/>
          <w:szCs w:val="20"/>
        </w:rPr>
        <w:t xml:space="preserve">Under ICH M7 logic, absence of any DNA-reactive structural alert in the parent or the daughters places them in the non-alerting category; they are controlled as ordinary (non-mutagenic) related substances. Consistently, the statistical QSAR shows no activation at the genotoxicity/DNA-damage-associated endpoints SR-ATAD5 and SR-p53 for either impurity (Δ vs parent ≤ 0.02).</w:t>
      </w:r>
    </w:p>
    <w:p>
      <w:pPr>
        <w:pStyle w:val="ListParagraph"/>
        <w:numPr>
          <w:ilvl w:val="0"/>
          <w:numId w:val="1"/>
        </w:numPr>
        <w:spacing w:after="80"/>
      </w:pPr>
      <w:r>
        <w:rPr>
          <w:b/>
          <w:bCs/>
          <w:sz w:val="20"/>
          <w:szCs w:val="20"/>
        </w:rPr>
        <w:t xml:space="preserve">Acknowledged uncertainty (stereochemistry). </w:t>
      </w:r>
      <w:r>
        <w:rPr>
          <w:sz w:val="20"/>
          <w:szCs w:val="20"/>
        </w:rPr>
        <w:t xml:space="preserve">As the sponsor notes, stereoisomers can differ in target binding; here this bears on antibacterial potency/selectivity (efficacy), not on the creation of a new toxicological hazard. The 3D analysis was used specifically to address this dimension that 2D methods cannot.</w:t>
      </w:r>
    </w:p>
    <w:p>
      <w:pPr>
        <w:pStyle w:val="Heading1"/>
        <w:spacing w:after="120" w:before="280"/>
      </w:pPr>
      <w:r>
        <w:rPr>
          <w:b/>
          <w:bCs/>
          <w:color w:val="1F3864"/>
        </w:rPr>
        <w:t xml:space="preserve">7.  Qualification conclusion</w:t>
      </w:r>
    </w:p>
    <w:p>
      <w:pPr>
        <w:spacing w:after="120" w:line="276"/>
        <w:jc w:val="both"/>
      </w:pPr>
      <w:r>
        <w:rPr>
          <w:sz w:val="20"/>
          <w:szCs w:val="20"/>
        </w:rPr>
        <w:t xml:space="preserve">On a weight-of-evidence basis the in silico assessment supports toxicological qualification of both impurities by read-across to the parent vancomycin B:</w:t>
      </w:r>
    </w:p>
    <w:p>
      <w:pPr>
        <w:pStyle w:val="ListParagraph"/>
        <w:numPr>
          <w:ilvl w:val="0"/>
          <w:numId w:val="1"/>
        </w:numPr>
        <w:spacing w:after="80"/>
      </w:pPr>
      <w:r>
        <w:rPr>
          <w:b/>
          <w:bCs/>
          <w:sz w:val="20"/>
          <w:szCs w:val="20"/>
        </w:rPr>
        <w:t xml:space="preserve">RRT 0.87 [(7S,26R)-vancomycin B] </w:t>
      </w:r>
      <w:r>
        <w:rPr>
          <w:sz w:val="20"/>
          <w:szCs w:val="20"/>
        </w:rPr>
        <w:t xml:space="preserve">— a pure stereoisomer with no new toxicophore and no new mutagenic alert; toxicologically read-across to the API is fully justified.</w:t>
      </w:r>
    </w:p>
    <w:p>
      <w:pPr>
        <w:pStyle w:val="ListParagraph"/>
        <w:numPr>
          <w:ilvl w:val="0"/>
          <w:numId w:val="1"/>
        </w:numPr>
        <w:spacing w:after="80"/>
      </w:pPr>
      <w:r>
        <w:rPr>
          <w:b/>
          <w:bCs/>
          <w:sz w:val="20"/>
          <w:szCs w:val="20"/>
        </w:rPr>
        <w:t xml:space="preserve">RRT 0.75 [(26R)-DMe-DeLI] </w:t>
      </w:r>
      <w:r>
        <w:rPr>
          <w:sz w:val="20"/>
          <w:szCs w:val="20"/>
        </w:rPr>
        <w:t xml:space="preserve">— a single, non-alerting, iso-functional residue-1 modification (plus C26 epimerisation) with no new toxicophore and no new mutagenic alert; toxicologically read-across to the API is justified.</w:t>
      </w:r>
    </w:p>
    <w:p>
      <w:pPr>
        <w:spacing w:after="120" w:line="276"/>
        <w:jc w:val="both"/>
      </w:pPr>
      <w:r>
        <w:rPr>
          <w:sz w:val="20"/>
          <w:szCs w:val="20"/>
        </w:rPr>
        <w:t xml:space="preserve">Provided both impurities remain controlled within the Ph. Eur. vancomycin related-substances limits, the parent's established NOAEL (75/100 mg/kg/day, ≈2–3× clinical dose) and clinical safety record provide an adequate toxicological cover for the levels at which these related substances occur. Where an impurity would exceed the applicable ICH Q3A qualification threshold, the same read-across supports qualification without a dedicated animal study; formal sign-off should be issued by a qualified toxicologist and, for the mutagenic dimension, documented under the company's ICH M7 two-(Q)SAR-methodology workflow.</w:t>
      </w:r>
    </w:p>
    <w:p>
      <w:r>
        <w:br w:type="page"/>
      </w:r>
    </w:p>
    <w:p>
      <w:pPr>
        <w:pStyle w:val="Heading1"/>
        <w:spacing w:after="120" w:before="280"/>
      </w:pPr>
      <w:r>
        <w:rPr>
          <w:b/>
          <w:bCs/>
          <w:color w:val="1F3864"/>
        </w:rPr>
        <w:t xml:space="preserve">8.  Applicability domain, honesty statement and limitations</w:t>
      </w:r>
    </w:p>
    <w:p>
      <w:pPr>
        <w:pStyle w:val="ListParagraph"/>
        <w:numPr>
          <w:ilvl w:val="0"/>
          <w:numId w:val="1"/>
        </w:numPr>
        <w:spacing w:after="80"/>
      </w:pPr>
      <w:r>
        <w:rPr>
          <w:b/>
          <w:bCs/>
          <w:sz w:val="20"/>
          <w:szCs w:val="20"/>
        </w:rPr>
        <w:t xml:space="preserve">Nature of the '3D-QSAR'. </w:t>
      </w:r>
      <w:r>
        <w:rPr>
          <w:sz w:val="20"/>
          <w:szCs w:val="20"/>
        </w:rPr>
        <w:t xml:space="preserve">No congeneric training set with measured toxicity endpoints exists for these compounds, so a formal field-based 3D-QSAR (CoMFA/CoMSIA) predictive model was not — and cannot legitimately be — built. What is reported is 3D-structure/shape-based read-across plus mechanistic toxicophore profiling, which is the defensible in silico 3D approach for a three-compound impurity qualification.</w:t>
      </w:r>
    </w:p>
    <w:p>
      <w:pPr>
        <w:pStyle w:val="ListParagraph"/>
        <w:numPr>
          <w:ilvl w:val="0"/>
          <w:numId w:val="1"/>
        </w:numPr>
        <w:spacing w:after="80"/>
      </w:pPr>
      <w:r>
        <w:rPr>
          <w:b/>
          <w:bCs/>
          <w:sz w:val="20"/>
          <w:szCs w:val="20"/>
        </w:rPr>
        <w:t xml:space="preserve">Statistical QSAR — scope of validity. </w:t>
      </w:r>
      <w:r>
        <w:rPr>
          <w:sz w:val="20"/>
          <w:szCs w:val="20"/>
        </w:rPr>
        <w:t xml:space="preserve">A 12-endpoint Tox21 QSAR was trained and applied (Section 5.6). It is genuinely in-domain here because vancomycin is itself a Tox21 training compound (nearest-neighbour Tanimoto 1.00), so its output is anchored to measured data. Two cautions apply: (i) the parent's in-set predictions reflect partial memorisation and are reported instead as measured labels plus held-out (vancomycin-removed) predictions; (ii) the Tox21 panel covers 12 specific nuclear-receptor/stress-response mechanisms only — it does not model the clinically relevant vancomycin effects (nephrotoxicity, ototoxicity, histamine-mediated Red-Man syndrome), which are addressed mechanistically via the toxicophore analysis and by read-across to the parent's in vivo package. The logD/pKa (Q)SAR predictions were flagged out-of-domain by the provider and are used only directionally.</w:t>
      </w:r>
    </w:p>
    <w:p>
      <w:pPr>
        <w:pStyle w:val="ListParagraph"/>
        <w:numPr>
          <w:ilvl w:val="0"/>
          <w:numId w:val="1"/>
        </w:numPr>
        <w:spacing w:after="80"/>
      </w:pPr>
      <w:r>
        <w:rPr>
          <w:b/>
          <w:bCs/>
          <w:sz w:val="20"/>
          <w:szCs w:val="20"/>
        </w:rPr>
        <w:t xml:space="preserve">Conformational sampling. </w:t>
      </w:r>
      <w:r>
        <w:rPr>
          <w:sz w:val="20"/>
          <w:szCs w:val="20"/>
        </w:rPr>
        <w:t xml:space="preserve">3D descriptors and whole-molecule shape overlaps derive from single low-energy conformers of a large, highly flexible macrocycle; absolute alignment RMSD/shape-Tanimoto values are approximate and dominated by peripheral (sugar/side-arm) flexibility, so they are used as corroborating, not decisive, evidence. The decisive evidence is the near-complete shared skeleton and the conserved toxicophore inventory.</w:t>
      </w:r>
    </w:p>
    <w:p>
      <w:pPr>
        <w:pStyle w:val="ListParagraph"/>
        <w:numPr>
          <w:ilvl w:val="0"/>
          <w:numId w:val="1"/>
        </w:numPr>
        <w:spacing w:after="80"/>
      </w:pPr>
      <w:r>
        <w:rPr>
          <w:b/>
          <w:bCs/>
          <w:sz w:val="20"/>
          <w:szCs w:val="20"/>
        </w:rPr>
        <w:t xml:space="preserve">Scope. </w:t>
      </w:r>
      <w:r>
        <w:rPr>
          <w:sz w:val="20"/>
          <w:szCs w:val="20"/>
        </w:rPr>
        <w:t xml:space="preserve">This is a hazard-identification / structure-based screening and read-across exercise. It does not model quantitative potency, does not address the immunological mechanism of Red-Man syndrome at the molecular level, and does not replace expert toxicological review or any experimental testing that a competent authority may require.</w:t>
      </w:r>
    </w:p>
    <w:p>
      <w:pPr>
        <w:pStyle w:val="ListParagraph"/>
        <w:numPr>
          <w:ilvl w:val="0"/>
          <w:numId w:val="1"/>
        </w:numPr>
        <w:spacing w:after="80"/>
      </w:pPr>
      <w:r>
        <w:rPr>
          <w:b/>
          <w:bCs/>
          <w:sz w:val="20"/>
          <w:szCs w:val="20"/>
        </w:rPr>
        <w:t xml:space="preserve">Impurity control limits. </w:t>
      </w:r>
      <w:r>
        <w:rPr>
          <w:sz w:val="20"/>
          <w:szCs w:val="20"/>
        </w:rPr>
        <w:t xml:space="preserve">Ph. Eur. numerical related-substances limits for RRT 0.75 and RRT 0.87 were not provided in the source document; the qualification conclusion assumes control within the applicable monograph limits and should be reconciled with the actual specification.</w:t>
      </w:r>
    </w:p>
    <w:p>
      <w:pPr>
        <w:pStyle w:val="Heading1"/>
        <w:spacing w:after="120" w:before="280"/>
      </w:pPr>
      <w:r>
        <w:rPr>
          <w:b/>
          <w:bCs/>
          <w:color w:val="1F3864"/>
        </w:rPr>
        <w:t xml:space="preserve">9.  Consolidated data table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040"/>
        <w:gridCol w:w="1650"/>
        <w:gridCol w:w="1650"/>
        <w:gridCol w:w="1650"/>
        <w:gridCol w:w="1649"/>
      </w:tblGrid>
      <w:tr>
        <w:tc>
          <w:tcPr>
            <w:tcW w:type="dxa" w:w="304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Descriptor</w:t>
            </w:r>
          </w:p>
        </w:tc>
        <w:tc>
          <w:tcPr>
            <w:tcW w:type="dxa" w:w="165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Parent</w:t>
            </w:r>
          </w:p>
        </w:tc>
        <w:tc>
          <w:tcPr>
            <w:tcW w:type="dxa" w:w="165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RRT 0.87</w:t>
            </w:r>
          </w:p>
        </w:tc>
        <w:tc>
          <w:tcPr>
            <w:tcW w:type="dxa" w:w="1650"/>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RRT 0.75</w:t>
            </w:r>
          </w:p>
        </w:tc>
        <w:tc>
          <w:tcPr>
            <w:tcW w:type="dxa" w:w="1649"/>
            <w:shd w:fill="1F3864" w:color="auto" w:val="clear"/>
            <w:tcMar>
              <w:top w:type="dxa" w:w="40"/>
              <w:left w:type="dxa" w:w="80"/>
              <w:bottom w:type="dxa" w:w="40"/>
              <w:right w:type="dxa" w:w="80"/>
            </w:tcMar>
            <w:vAlign w:val="center"/>
          </w:tcPr>
          <w:p>
            <w:pPr>
              <w:spacing w:after="40" w:before="40"/>
              <w:jc w:val="center"/>
            </w:pPr>
            <w:r>
              <w:rPr>
                <w:b/>
                <w:bCs/>
                <w:color w:val="FFFFFF"/>
                <w:sz w:val="18"/>
                <w:szCs w:val="18"/>
              </w:rPr>
              <w:t xml:space="preserve">Interpretation</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cLogP (Crippen)</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0.11</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0.11</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-0.15</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Unchanged / lower</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logD7.4 (Inductive Bio)</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0.42</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n/c*</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0.42</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Identical - low lipophilicity</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Most-basic pKa (pred.)</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8.21</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~8.2*</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8.08</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Iso-basic (moderate)</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TPSA (Å²)</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530.5</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530.5</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544.5</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+14 (extra NH)</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H-bond donors / acceptors</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19 / 25</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19 / 25</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19 / 25</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Unchanged</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Rotatable bonds</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13</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13</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12</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Unchanged</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Aromatic rings</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5</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5</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5</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Unchanged</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PAINS / Brenk alerts</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0 / 0</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0 / 0</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0 / 0</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No reactive/interference alert</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NIH alert</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≥7 aliph-OH</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≥7 aliph-OH</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≥7 aliph-OH</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Polarity flag only (non-genotoxic)</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ECFP4 / MACCS vs parent</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1.00 / 1.00</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1.00 / 1.00</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0.86 / 0.94</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Very high 2D similarity</w:t>
            </w:r>
          </w:p>
        </w:tc>
      </w:tr>
      <w:tr>
        <w:tc>
          <w:tcPr>
            <w:tcW w:type="dxa" w:w="3040"/>
            <w:shd w:fill="DCE6F1" w:color="auto" w:val="clear"/>
            <w:tcMar>
              <w:top w:type="dxa" w:w="40"/>
              <w:left w:type="dxa" w:w="80"/>
              <w:bottom w:type="dxa" w:w="40"/>
              <w:right w:type="dxa" w:w="80"/>
            </w:tcMar>
            <w:vAlign w:val="center"/>
          </w:tcPr>
          <w:p>
            <w:pPr>
              <w:spacing w:after="40" w:before="40"/>
              <w:jc w:val="left"/>
            </w:pPr>
            <w:r>
              <w:rPr>
                <w:b w:val="false"/>
                <w:bCs w:val="false"/>
                <w:sz w:val="18"/>
                <w:szCs w:val="18"/>
              </w:rPr>
              <w:t xml:space="preserve">Shared heavy atoms /101</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101</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101</w:t>
            </w:r>
          </w:p>
        </w:tc>
        <w:tc>
          <w:tcPr>
            <w:tcW w:type="dxa" w:w="1650"/>
            <w:tcMar>
              <w:top w:type="dxa" w:w="40"/>
              <w:left w:type="dxa" w:w="80"/>
              <w:bottom w:type="dxa" w:w="40"/>
              <w:right w:type="dxa" w:w="80"/>
            </w:tcMar>
            <w:vAlign w:val="center"/>
          </w:tcPr>
          <w:p>
            <w:pPr>
              <w:spacing w:after="40" w:before="40"/>
              <w:jc w:val="center"/>
            </w:pPr>
            <w:r>
              <w:rPr>
                <w:b w:val="false"/>
                <w:bCs w:val="false"/>
                <w:sz w:val="18"/>
                <w:szCs w:val="18"/>
              </w:rPr>
              <w:t xml:space="preserve">99</w:t>
            </w:r>
          </w:p>
        </w:tc>
        <w:tc>
          <w:tcPr>
            <w:tcW w:type="dxa" w:w="1649"/>
            <w:tcMar>
              <w:top w:type="dxa" w:w="40"/>
              <w:left w:type="dxa" w:w="80"/>
              <w:bottom w:type="dxa" w:w="40"/>
              <w:right w:type="dxa" w:w="80"/>
            </w:tcMar>
            <w:vAlign w:val="center"/>
          </w:tcPr>
          <w:p>
            <w:pPr>
              <w:spacing w:after="40" w:before="40"/>
              <w:jc w:val="center"/>
            </w:pPr>
            <w:r>
              <w:rPr>
                <w:b w:val="false"/>
                <w:bCs w:val="false"/>
                <w:sz w:val="18"/>
                <w:szCs w:val="18"/>
              </w:rPr>
              <w:t xml:space="preserve">≥98% skeleton common</w:t>
            </w:r>
          </w:p>
        </w:tc>
      </w:tr>
    </w:tbl>
    <w:p>
      <w:pPr>
        <w:spacing w:before="80"/>
      </w:pPr>
      <w:r>
        <w:rPr>
          <w:i/>
          <w:iCs/>
          <w:color w:val="595959"/>
          <w:sz w:val="16"/>
          <w:szCs w:val="16"/>
        </w:rPr>
        <w:t xml:space="preserve">* RRT 0.87 is 2D/constitution-identical to the parent, so constitution-based predictions (logD, pKa) are identical to the parent by definition.</w:t>
      </w:r>
    </w:p>
    <w:p>
      <w:pPr>
        <w:pStyle w:val="Heading1"/>
        <w:spacing w:after="120" w:before="280"/>
      </w:pPr>
      <w:r>
        <w:rPr>
          <w:b/>
          <w:bCs/>
          <w:color w:val="1F3864"/>
        </w:rPr>
        <w:t xml:space="preserve">10.  References and tools</w:t>
      </w:r>
    </w:p>
    <w:p>
      <w:pPr>
        <w:pStyle w:val="ListParagraph"/>
        <w:numPr>
          <w:ilvl w:val="0"/>
          <w:numId w:val="1"/>
        </w:numPr>
        <w:spacing w:after="80"/>
      </w:pPr>
      <w:r>
        <w:rPr>
          <w:sz w:val="20"/>
          <w:szCs w:val="20"/>
        </w:rPr>
        <w:t xml:space="preserve">ICH Q3A(R2) — Impurities in New Drug Substances; ICH Q3B(R2) — Impurities in New Drug Products (qualification thresholds and read-across logic).</w:t>
      </w:r>
    </w:p>
    <w:p>
      <w:pPr>
        <w:pStyle w:val="ListParagraph"/>
        <w:numPr>
          <w:ilvl w:val="0"/>
          <w:numId w:val="1"/>
        </w:numPr>
        <w:spacing w:after="80"/>
      </w:pPr>
      <w:r>
        <w:rPr>
          <w:sz w:val="20"/>
          <w:szCs w:val="20"/>
        </w:rPr>
        <w:t xml:space="preserve">ICH M7(R2) — Assessment and Control of DNA-Reactive (Mutagenic) Impurities (two complementary (Q)SAR methodologies + expert review).</w:t>
      </w:r>
    </w:p>
    <w:p>
      <w:pPr>
        <w:pStyle w:val="ListParagraph"/>
        <w:numPr>
          <w:ilvl w:val="0"/>
          <w:numId w:val="1"/>
        </w:numPr>
        <w:spacing w:after="80"/>
      </w:pPr>
      <w:r>
        <w:rPr>
          <w:sz w:val="20"/>
          <w:szCs w:val="20"/>
        </w:rPr>
        <w:t xml:space="preserve">Benigni R., Bossa C. (2008) — Structural alerts of mutagens and carcinogens; the Toxtree/VEGA rulebase implemented here as Methodology 1.</w:t>
      </w:r>
    </w:p>
    <w:p>
      <w:pPr>
        <w:pStyle w:val="ListParagraph"/>
        <w:numPr>
          <w:ilvl w:val="0"/>
          <w:numId w:val="1"/>
        </w:numPr>
        <w:spacing w:after="80"/>
      </w:pPr>
      <w:r>
        <w:rPr>
          <w:sz w:val="20"/>
          <w:szCs w:val="20"/>
        </w:rPr>
        <w:t xml:space="preserve">Hansen K. et al. (2009) J. Chem. Inf. Model. — Benchmark data set for in silico prediction of Ames mutagenicity (N≈6500); training data for the Methodology 2 statistical Ames QSAR.</w:t>
      </w:r>
    </w:p>
    <w:p>
      <w:pPr>
        <w:pStyle w:val="ListParagraph"/>
        <w:numPr>
          <w:ilvl w:val="0"/>
          <w:numId w:val="1"/>
        </w:numPr>
        <w:spacing w:after="80"/>
      </w:pPr>
      <w:r>
        <w:rPr>
          <w:sz w:val="20"/>
          <w:szCs w:val="20"/>
        </w:rPr>
        <w:t xml:space="preserve">OECD (2007) — Guidance on the Validation of (Q)SAR Models (five validation principles).</w:t>
      </w:r>
    </w:p>
    <w:p>
      <w:pPr>
        <w:pStyle w:val="ListParagraph"/>
        <w:numPr>
          <w:ilvl w:val="0"/>
          <w:numId w:val="1"/>
        </w:numPr>
        <w:spacing w:after="80"/>
      </w:pPr>
      <w:r>
        <w:rPr>
          <w:sz w:val="20"/>
          <w:szCs w:val="20"/>
        </w:rPr>
        <w:t xml:space="preserve">RDKit (2024) open-source cheminformatics — structure parsing, descriptors, PAINS/Brenk/NIH FilterCatalogs, ETKDGv3 conformers, MMFF94, Open3DAlign / shape metrics, MCS.</w:t>
      </w:r>
    </w:p>
    <w:p>
      <w:pPr>
        <w:pStyle w:val="ListParagraph"/>
        <w:numPr>
          <w:ilvl w:val="0"/>
          <w:numId w:val="1"/>
        </w:numPr>
        <w:spacing w:after="80"/>
      </w:pPr>
      <w:r>
        <w:rPr>
          <w:sz w:val="20"/>
          <w:szCs w:val="20"/>
        </w:rPr>
        <w:t xml:space="preserve">Inductive Bio global logD &amp; pKa (Q)SAR models (v1.4–1.7) — supporting physicochemical predictions.</w:t>
      </w:r>
    </w:p>
    <w:p>
      <w:pPr>
        <w:pStyle w:val="ListParagraph"/>
        <w:numPr>
          <w:ilvl w:val="0"/>
          <w:numId w:val="1"/>
        </w:numPr>
        <w:spacing w:after="80"/>
      </w:pPr>
      <w:r>
        <w:rPr>
          <w:sz w:val="20"/>
          <w:szCs w:val="20"/>
        </w:rPr>
        <w:t xml:space="preserve">Ph. Eur. Vancomycin (hydrochloride) monograph — nomenclature and related-substances framework.</w:t>
      </w:r>
    </w:p>
    <w:p>
      <w:pPr>
        <w:pStyle w:val="ListParagraph"/>
        <w:numPr>
          <w:ilvl w:val="0"/>
          <w:numId w:val="1"/>
        </w:numPr>
        <w:spacing w:after="80"/>
      </w:pPr>
      <w:r>
        <w:rPr>
          <w:sz w:val="20"/>
          <w:szCs w:val="20"/>
        </w:rPr>
        <w:t xml:space="preserve">Sponsor source document: 'Vanco_RRT_075_and_087_Info' (Xellia) — identities, SMILES/InChI, origin, and 91-day dog NOAEL 75/100 mg/kg/day.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4"/>
        <w:szCs w:val="14"/>
      </w:rPr>
      <w:t xml:space="preserve">Computational screening &amp; structure-based read-across — supports, does not replace, expert toxicological review.  Page </w:t>
    </w:r>
    <w:r>
      <w:rPr>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4"/>
        <w:szCs w:val="14"/>
      </w:rPr>
      <w:t xml:space="preserve">In silico Toxicological Qualification — Vancomycin B RRT 0.75 &amp; RRT 0.87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37c1d0e37883de525fa085e78720e7199421dd.png"/><Relationship Id="rId10" Type="http://schemas.openxmlformats.org/officeDocument/2006/relationships/image" Target="media/caeb3fe6f2534248aff3517621c30f001f2e8783.png"/><Relationship Id="rId11" Type="http://schemas.openxmlformats.org/officeDocument/2006/relationships/image" Target="media/f99f96869e85f3e16fa88c6ffb3e46b3eb648a10.png"/><Relationship Id="rId12" Type="http://schemas.openxmlformats.org/officeDocument/2006/relationships/image" Target="media/2b2c8df5170c0e65e3bef13ac46e368352d2c97c.png"/><Relationship Id="rId13" Type="http://schemas.openxmlformats.org/officeDocument/2006/relationships/image" Target="media/78543fd5f3bd3a5781e7536b3a022f9273b58a98.png"/><Relationship Id="rId14" Type="http://schemas.openxmlformats.org/officeDocument/2006/relationships/image" Target="media/42a3d1dc0b5ec284473da7fe6be96997e5f3f6e3.png"/><Relationship Id="rId15" Type="http://schemas.openxmlformats.org/officeDocument/2006/relationships/image" Target="media/48b1316d815b40681f01a00bf8788e0813985158.png"/><Relationship Id="rId16" Type="http://schemas.openxmlformats.org/officeDocument/2006/relationships/image" Target="media/a829f44156fffc70f12965567183af0a8b34fc8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3D-QSAR / read-across toxicological qualification of vancomycin impurities RRT 0.75 and RRT 0.87</dc:title>
  <dc:creator>In silico toxicology (Claude Code)</dc:creator>
  <cp:lastModifiedBy>Un-named</cp:lastModifiedBy>
  <cp:revision>1</cp:revision>
  <dcterms:created xsi:type="dcterms:W3CDTF">2026-07-30T15:58:49.999Z</dcterms:created>
  <dcterms:modified xsi:type="dcterms:W3CDTF">2026-07-30T15:58:50.000Z</dcterms:modified>
</cp:coreProperties>
</file>

<file path=docProps/custom.xml><?xml version="1.0" encoding="utf-8"?>
<Properties xmlns="http://schemas.openxmlformats.org/officeDocument/2006/custom-properties" xmlns:vt="http://schemas.openxmlformats.org/officeDocument/2006/docPropsVTypes"/>
</file>